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13" w:rsidRPr="009E20F2" w:rsidRDefault="00CA4513" w:rsidP="00CA4513">
      <w:bookmarkStart w:id="0" w:name="_GoBack"/>
      <w:bookmarkEnd w:id="0"/>
      <w:r w:rsidRPr="009E20F2">
        <w:t>We claim:</w:t>
      </w:r>
    </w:p>
    <w:p w:rsidR="00CA4513" w:rsidRPr="007A3A4F" w:rsidRDefault="00CA4513" w:rsidP="00CA4513">
      <w:pPr>
        <w:tabs>
          <w:tab w:val="left" w:pos="720"/>
        </w:tabs>
        <w:spacing w:line="360" w:lineRule="auto"/>
        <w:jc w:val="both"/>
      </w:pPr>
      <w:r w:rsidRPr="007A3A4F">
        <w:t xml:space="preserve"> </w:t>
      </w: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  <w:rPr>
          <w:u w:val="single"/>
        </w:rPr>
      </w:pPr>
      <w:r w:rsidRPr="007A3A4F">
        <w:t>A solid oral dosage form comprising a</w:t>
      </w:r>
      <w:r w:rsidRPr="00D60908">
        <w:t xml:space="preserve"> plurality of particles</w:t>
      </w:r>
      <w:r w:rsidRPr="00354237">
        <w:t xml:space="preserve">, each particle comprising a core comprising an active agent </w:t>
      </w:r>
      <w:r w:rsidRPr="003A360A">
        <w:t>susceptible to abuse and an internal adhesion promoter, wherein the cores are (</w:t>
      </w:r>
      <w:proofErr w:type="spellStart"/>
      <w:r w:rsidRPr="003A360A">
        <w:t>i</w:t>
      </w:r>
      <w:proofErr w:type="spellEnd"/>
      <w:r w:rsidRPr="003A360A">
        <w:t>) dispersed in a matrix comprising a controlled release material or (ii) coated with a controlled release material.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  <w:rPr>
          <w:u w:val="single"/>
        </w:rPr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  <w:rPr>
          <w:u w:val="single"/>
        </w:rPr>
      </w:pPr>
      <w:r w:rsidRPr="003A360A">
        <w:t>The solid oral dosage form of claim 1, wherein the core further comprises a dissolution enhancer.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  <w:rPr>
          <w:u w:val="single"/>
        </w:rPr>
      </w:pPr>
      <w:r w:rsidRPr="003A360A">
        <w:t xml:space="preserve">The solid oral dosage form of </w:t>
      </w:r>
      <w:r w:rsidR="001F2917">
        <w:t xml:space="preserve">any of </w:t>
      </w:r>
      <w:r w:rsidRPr="003A360A">
        <w:t>claim</w:t>
      </w:r>
      <w:r w:rsidR="001F2917">
        <w:t>s</w:t>
      </w:r>
      <w:r w:rsidRPr="003A360A">
        <w:t xml:space="preserve"> 1</w:t>
      </w:r>
      <w:r w:rsidR="001F2917">
        <w:t xml:space="preserve"> or 2</w:t>
      </w:r>
      <w:r w:rsidRPr="003A360A">
        <w:t>, wherein the coating or matrix further comprises a pore former</w:t>
      </w:r>
      <w:r w:rsidR="00D30736">
        <w:t>, preferably sodium chloride</w:t>
      </w:r>
      <w:r w:rsidRPr="003A360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  <w:rPr>
          <w:u w:val="single"/>
        </w:rPr>
      </w:pPr>
      <w:r w:rsidRPr="003A360A">
        <w:t xml:space="preserve">The </w:t>
      </w:r>
      <w:r w:rsidR="001F2917">
        <w:t xml:space="preserve">solid oral dosage form of any of claims </w:t>
      </w:r>
      <w:r w:rsidRPr="003A360A">
        <w:t>1</w:t>
      </w:r>
      <w:r w:rsidR="001F2917">
        <w:t>-3</w:t>
      </w:r>
      <w:r w:rsidRPr="003A360A">
        <w:t>, further comprising an alcohol resistant material.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  <w:rPr>
          <w:u w:val="single"/>
        </w:rPr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  <w:rPr>
          <w:u w:val="single"/>
        </w:rPr>
      </w:pPr>
      <w:r w:rsidRPr="003A360A">
        <w:t xml:space="preserve">The solid oral dosage form of </w:t>
      </w:r>
      <w:r w:rsidR="001F2917">
        <w:t xml:space="preserve">any of </w:t>
      </w:r>
      <w:r w:rsidRPr="003A360A">
        <w:t>claim</w:t>
      </w:r>
      <w:r w:rsidR="001F2917">
        <w:t>s</w:t>
      </w:r>
      <w:r w:rsidRPr="003A360A">
        <w:t xml:space="preserve"> </w:t>
      </w:r>
      <w:r w:rsidR="001F2917">
        <w:t>1-</w:t>
      </w:r>
      <w:r w:rsidRPr="003A360A">
        <w:t>4, further comprising an external adhesion promoter to promote the adhesion of the alcohol resistant material and the controlled release material.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>The solid oral dosage form of</w:t>
      </w:r>
      <w:r w:rsidR="001F2917">
        <w:t xml:space="preserve"> any of</w:t>
      </w:r>
      <w:r w:rsidRPr="003A360A">
        <w:t xml:space="preserve"> claim</w:t>
      </w:r>
      <w:r w:rsidR="001F2917">
        <w:t>s</w:t>
      </w:r>
      <w:r w:rsidRPr="003A360A">
        <w:t xml:space="preserve"> 1</w:t>
      </w:r>
      <w:r w:rsidR="001F2917">
        <w:t>-5</w:t>
      </w:r>
      <w:r w:rsidRPr="003A360A">
        <w:t xml:space="preserve">, wherein the controlled release material </w:t>
      </w:r>
      <w:r>
        <w:t>is a polymer, preferably an acrylic polymer, preferably a neutral acrylic polymer.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1F2917">
        <w:t xml:space="preserve">any of </w:t>
      </w:r>
      <w:r w:rsidRPr="003A360A">
        <w:t>claim</w:t>
      </w:r>
      <w:r w:rsidR="001F2917">
        <w:t>s</w:t>
      </w:r>
      <w:r w:rsidRPr="003A360A">
        <w:t xml:space="preserve"> 1</w:t>
      </w:r>
      <w:r w:rsidR="001F2917">
        <w:t>-6</w:t>
      </w:r>
      <w:r w:rsidRPr="003A360A">
        <w:t xml:space="preserve">, wherein the internal adhesion promoter is selected from the group consisting of </w:t>
      </w:r>
      <w:r w:rsidR="00006FBA">
        <w:t xml:space="preserve">a </w:t>
      </w:r>
      <w:proofErr w:type="spellStart"/>
      <w:r w:rsidR="00006FBA">
        <w:t>carbomer</w:t>
      </w:r>
      <w:proofErr w:type="spellEnd"/>
      <w:r w:rsidR="00006FBA">
        <w:t xml:space="preserve">, </w:t>
      </w:r>
      <w:r w:rsidRPr="003A360A">
        <w:t>a cellulosic material</w:t>
      </w:r>
      <w:r>
        <w:t xml:space="preserve">, preferably </w:t>
      </w:r>
      <w:proofErr w:type="spellStart"/>
      <w:r>
        <w:t>hydroxypropylmethylcellulose</w:t>
      </w:r>
      <w:proofErr w:type="spellEnd"/>
      <w:r w:rsidRPr="003A360A">
        <w:t>, a surfactant</w:t>
      </w:r>
      <w:r>
        <w:t xml:space="preserve">, preferably a non-ionic surfactant, preferably selected from the group consisting of </w:t>
      </w:r>
      <w:proofErr w:type="spellStart"/>
      <w:r w:rsidR="00006FBA" w:rsidRPr="003A360A">
        <w:t>nonoxynol</w:t>
      </w:r>
      <w:proofErr w:type="spellEnd"/>
      <w:r w:rsidR="00006FBA" w:rsidRPr="003A360A">
        <w:t xml:space="preserve">, a </w:t>
      </w:r>
      <w:proofErr w:type="spellStart"/>
      <w:r w:rsidR="00006FBA" w:rsidRPr="003A360A">
        <w:t>sorbitan</w:t>
      </w:r>
      <w:proofErr w:type="spellEnd"/>
      <w:r w:rsidR="00006FBA" w:rsidRPr="003A360A">
        <w:t xml:space="preserve"> ester and a mixture thereof</w:t>
      </w:r>
      <w:r w:rsidR="00006FB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pStyle w:val="Heading1"/>
        <w:numPr>
          <w:ilvl w:val="0"/>
          <w:numId w:val="1"/>
        </w:numPr>
        <w:tabs>
          <w:tab w:val="clear" w:pos="1440"/>
          <w:tab w:val="left" w:pos="720"/>
        </w:tabs>
        <w:ind w:left="0" w:firstLine="0"/>
      </w:pPr>
      <w:r w:rsidRPr="003A360A">
        <w:t>The solid oral dosage form of claim 2, wherein the dissolution enhancer is a cellulosic material</w:t>
      </w:r>
      <w:r>
        <w:t>, a sugar, a starch or a polymer</w:t>
      </w:r>
      <w:r w:rsidR="00006FBA">
        <w:t xml:space="preserve">, preferably an </w:t>
      </w:r>
      <w:proofErr w:type="spellStart"/>
      <w:r w:rsidR="00006FBA">
        <w:t>alkylcellulose</w:t>
      </w:r>
      <w:proofErr w:type="spellEnd"/>
      <w:r w:rsidR="00006FBA">
        <w:t>, preferably methylcellulose</w:t>
      </w:r>
      <w:r w:rsidRPr="003A360A">
        <w:t>.</w:t>
      </w:r>
      <w:r>
        <w:t xml:space="preserve">  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lastRenderedPageBreak/>
        <w:t>The solid oral dosage form of claim 3, wherein the pore former is a polysaccharide</w:t>
      </w:r>
      <w:r>
        <w:t>, a polymer, an organic solvent or an inorganic material</w:t>
      </w:r>
      <w:r w:rsidR="00006FBA">
        <w:t xml:space="preserve">, preferably selected from the group consisting of </w:t>
      </w:r>
      <w:r w:rsidR="00006FBA">
        <w:rPr>
          <w:lang w:val="en"/>
        </w:rPr>
        <w:t xml:space="preserve">sodium chloride, </w:t>
      </w:r>
      <w:r w:rsidR="00006FBA" w:rsidRPr="003A360A">
        <w:rPr>
          <w:lang w:val="en"/>
        </w:rPr>
        <w:t xml:space="preserve">lactose, dextrose, </w:t>
      </w:r>
      <w:proofErr w:type="spellStart"/>
      <w:r w:rsidR="00006FBA" w:rsidRPr="003A360A">
        <w:rPr>
          <w:lang w:val="en"/>
        </w:rPr>
        <w:t>mannitol</w:t>
      </w:r>
      <w:proofErr w:type="spellEnd"/>
      <w:r w:rsidR="00006FBA" w:rsidRPr="003A360A">
        <w:rPr>
          <w:lang w:val="en"/>
        </w:rPr>
        <w:t>, microcrystalline cellulose, methylcellulose and a mixture thereof</w:t>
      </w:r>
      <w:r>
        <w:t xml:space="preserve">. 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</w:t>
      </w:r>
      <w:proofErr w:type="gramStart"/>
      <w:r w:rsidRPr="003A360A">
        <w:t>dosage form</w:t>
      </w:r>
      <w:proofErr w:type="gramEnd"/>
      <w:r w:rsidRPr="003A360A">
        <w:t xml:space="preserve"> of claim 4, wherein the alcohol resistant material is a cellulosic material</w:t>
      </w:r>
      <w:r w:rsidR="00006FBA">
        <w:t xml:space="preserve">, preferably an </w:t>
      </w:r>
      <w:proofErr w:type="spellStart"/>
      <w:r w:rsidR="00006FBA">
        <w:t>alkylcellulose</w:t>
      </w:r>
      <w:proofErr w:type="spellEnd"/>
      <w:r w:rsidR="00006FBA">
        <w:t>, preferably methylcellulose</w:t>
      </w:r>
      <w:r w:rsidRPr="003A360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claim 5, wherein the external adhesion promoter is selected from the group consisting of </w:t>
      </w:r>
      <w:r w:rsidR="00113A96">
        <w:t xml:space="preserve">a </w:t>
      </w:r>
      <w:proofErr w:type="spellStart"/>
      <w:r w:rsidR="00113A96">
        <w:t>carbomer</w:t>
      </w:r>
      <w:proofErr w:type="spellEnd"/>
      <w:r w:rsidR="00113A96">
        <w:t xml:space="preserve">, </w:t>
      </w:r>
      <w:r w:rsidRPr="003A360A">
        <w:t>a cellulosic material</w:t>
      </w:r>
      <w:r w:rsidR="00113A96">
        <w:t xml:space="preserve">, preferably </w:t>
      </w:r>
      <w:proofErr w:type="spellStart"/>
      <w:r w:rsidR="00113A96">
        <w:t>hydroxypropylmethylcellulose</w:t>
      </w:r>
      <w:proofErr w:type="spellEnd"/>
      <w:r w:rsidRPr="003A360A">
        <w:t xml:space="preserve">, a </w:t>
      </w:r>
      <w:r w:rsidR="00113A96">
        <w:t>surfactant, preferably a non-ionic surfactant, preferably selected from the group consisting of</w:t>
      </w:r>
      <w:r w:rsidR="00113A96" w:rsidRPr="00113A96">
        <w:t xml:space="preserve"> </w:t>
      </w:r>
      <w:r w:rsidR="00113A96" w:rsidRPr="003A360A">
        <w:t xml:space="preserve">a </w:t>
      </w:r>
      <w:proofErr w:type="spellStart"/>
      <w:r w:rsidR="00113A96" w:rsidRPr="003A360A">
        <w:t>nonoxynol</w:t>
      </w:r>
      <w:proofErr w:type="spellEnd"/>
      <w:r w:rsidR="00113A96" w:rsidRPr="003A360A">
        <w:t xml:space="preserve">, a </w:t>
      </w:r>
      <w:proofErr w:type="spellStart"/>
      <w:r w:rsidR="00113A96" w:rsidRPr="003A360A">
        <w:t>sorbitan</w:t>
      </w:r>
      <w:proofErr w:type="spellEnd"/>
      <w:r w:rsidR="00113A96" w:rsidRPr="003A360A">
        <w:t xml:space="preserve"> ester and a mixture thereof</w:t>
      </w:r>
      <w:r w:rsidRPr="003A360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EE4704">
        <w:t xml:space="preserve">any of </w:t>
      </w:r>
      <w:r w:rsidRPr="003A360A">
        <w:t>claim</w:t>
      </w:r>
      <w:r w:rsidR="00EE4704">
        <w:t>s</w:t>
      </w:r>
      <w:r w:rsidRPr="003A360A">
        <w:t xml:space="preserve"> 1</w:t>
      </w:r>
      <w:r w:rsidR="00EE4704">
        <w:t>-11</w:t>
      </w:r>
      <w:r w:rsidRPr="003A360A">
        <w:t>, wherein the particles are contained in a pharmaceutically acceptable capsule</w:t>
      </w:r>
      <w:r w:rsidR="00113A96">
        <w:t xml:space="preserve"> or compressed into a tablet</w:t>
      </w:r>
      <w:r w:rsidRPr="003A360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>The solid oral dosage form of</w:t>
      </w:r>
      <w:r w:rsidR="00EE4704">
        <w:t xml:space="preserve"> any of</w:t>
      </w:r>
      <w:r w:rsidRPr="003A360A">
        <w:t xml:space="preserve"> claim</w:t>
      </w:r>
      <w:r w:rsidR="00EE4704">
        <w:t>s</w:t>
      </w:r>
      <w:r w:rsidRPr="003A360A">
        <w:t xml:space="preserve"> </w:t>
      </w:r>
      <w:r w:rsidR="00EE4704">
        <w:t>4 or 10</w:t>
      </w:r>
      <w:r w:rsidRPr="003A360A">
        <w:t xml:space="preserve">, wherein the active agent and </w:t>
      </w:r>
      <w:r w:rsidR="00EE4704">
        <w:t xml:space="preserve">internal </w:t>
      </w:r>
      <w:r w:rsidRPr="003A360A">
        <w:t>the adhesion promoter are granulated to form core granules</w:t>
      </w:r>
      <w:r w:rsidR="00113A96">
        <w:t xml:space="preserve">, preferably </w:t>
      </w:r>
      <w:r w:rsidR="00113A96" w:rsidRPr="003A360A">
        <w:t>wherein the cores are mixed, granulated or coated with the controlled release material to obtain controlled release particles</w:t>
      </w:r>
      <w:r w:rsidR="00113A96">
        <w:t>, preferably</w:t>
      </w:r>
      <w:r w:rsidR="00565A24">
        <w:t xml:space="preserve"> </w:t>
      </w:r>
      <w:r w:rsidR="00565A24" w:rsidRPr="003A360A">
        <w:t>wherein the controlled release particles are mixed, granulated or coated with the alcohol resistant material to obtain alcohol resistant controlled release particles</w:t>
      </w:r>
      <w:r w:rsidR="00565A24">
        <w:t xml:space="preserve">, preferably </w:t>
      </w:r>
      <w:r w:rsidR="00565A24" w:rsidRPr="003A360A">
        <w:t>wherein the alcohol resistant controlled release particles are compressed into a tablet</w:t>
      </w:r>
      <w:r w:rsidRPr="003A360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>The s</w:t>
      </w:r>
      <w:r w:rsidR="00565A24">
        <w:t xml:space="preserve">olid oral dosage form of </w:t>
      </w:r>
      <w:r w:rsidR="00EE4704">
        <w:t xml:space="preserve">any of </w:t>
      </w:r>
      <w:r w:rsidR="00565A24">
        <w:t>claim</w:t>
      </w:r>
      <w:r w:rsidR="00EE4704">
        <w:t>s</w:t>
      </w:r>
      <w:r w:rsidR="00565A24">
        <w:t xml:space="preserve"> 12</w:t>
      </w:r>
      <w:r w:rsidRPr="003A360A">
        <w:t xml:space="preserve"> or </w:t>
      </w:r>
      <w:r w:rsidR="00565A24">
        <w:t>13</w:t>
      </w:r>
      <w:r w:rsidRPr="003A360A">
        <w:t>, wherein the tablet has a breaking strength of less than 400N.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565A24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EE4704">
        <w:t xml:space="preserve">any of </w:t>
      </w:r>
      <w:r w:rsidRPr="003A360A">
        <w:t>claim</w:t>
      </w:r>
      <w:r w:rsidR="00EE4704">
        <w:t>s</w:t>
      </w:r>
      <w:r w:rsidRPr="003A360A">
        <w:t xml:space="preserve"> 1</w:t>
      </w:r>
      <w:r w:rsidR="00EE4704">
        <w:t>-14</w:t>
      </w:r>
      <w:r w:rsidRPr="003A360A">
        <w:t>, wherein the weight ratio of the active agent to the controlled release material is from about 2:1 to about 1:100.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>The solid oral dosage form of</w:t>
      </w:r>
      <w:r w:rsidR="00EE4704">
        <w:t xml:space="preserve"> any of</w:t>
      </w:r>
      <w:r w:rsidRPr="003A360A">
        <w:t xml:space="preserve"> claim</w:t>
      </w:r>
      <w:r w:rsidR="00EE4704">
        <w:t>s</w:t>
      </w:r>
      <w:r w:rsidRPr="003A360A">
        <w:t xml:space="preserve"> 1</w:t>
      </w:r>
      <w:r w:rsidR="00EE4704">
        <w:t>-15</w:t>
      </w:r>
      <w:r w:rsidRPr="003A360A">
        <w:t>, wherein the particles have a mean diameter from about 0.01 mm to about 3 mm</w:t>
      </w:r>
      <w:r>
        <w:t>.</w:t>
      </w:r>
    </w:p>
    <w:p w:rsidR="00565A24" w:rsidRDefault="00565A24" w:rsidP="00565A24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1</w:t>
      </w:r>
      <w:r w:rsidR="0097497A">
        <w:t>-16</w:t>
      </w:r>
      <w:r w:rsidRPr="003A360A">
        <w:t>, comprising from about 0.1 % to about 80% (w/w) active agent.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1</w:t>
      </w:r>
      <w:r w:rsidR="0097497A">
        <w:t>-17</w:t>
      </w:r>
      <w:r w:rsidRPr="003A360A">
        <w:t>, comprising from about 10 % to about 90% (w/w) controlled release material.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1</w:t>
      </w:r>
      <w:r w:rsidR="0097497A">
        <w:t>-18</w:t>
      </w:r>
      <w:r w:rsidRPr="003A360A">
        <w:t>, comprising from about 0.05 % to about 10% (w/w) internal adhesion promoter.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>The solid oral dosage form of</w:t>
      </w:r>
      <w:r w:rsidR="0097497A">
        <w:t xml:space="preserve"> any of</w:t>
      </w:r>
      <w:r w:rsidRPr="003A360A">
        <w:t xml:space="preserve"> claim</w:t>
      </w:r>
      <w:r w:rsidR="0097497A">
        <w:t>s</w:t>
      </w:r>
      <w:r w:rsidRPr="003A360A">
        <w:t xml:space="preserve"> </w:t>
      </w:r>
      <w:r w:rsidR="0097497A">
        <w:t>2 or 8</w:t>
      </w:r>
      <w:r w:rsidRPr="003A360A">
        <w:t>, comprising from about 1 % to about 40% (w/w) dissolution enhancer.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</w:t>
      </w:r>
      <w:r w:rsidR="0097497A">
        <w:t>3 or 9</w:t>
      </w:r>
      <w:r w:rsidRPr="003A360A">
        <w:t>, comprising from about 0.5 % to about 25% (w/w) pore former.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</w:t>
      </w:r>
      <w:r w:rsidR="0097497A">
        <w:t>4 or 10 or 13</w:t>
      </w:r>
      <w:r w:rsidRPr="003A360A">
        <w:t>, comprising from about 1 % to about 50% (w/w) alcohol resistant material.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 5 or</w:t>
      </w:r>
      <w:r w:rsidRPr="003A360A">
        <w:t xml:space="preserve"> </w:t>
      </w:r>
      <w:r w:rsidR="0097497A">
        <w:t>1</w:t>
      </w:r>
      <w:r w:rsidRPr="003A360A">
        <w:t>1, comprising from about 0.5 % to about 15% (w/w) external adhesion promoter.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1</w:t>
      </w:r>
      <w:r w:rsidR="0097497A">
        <w:t>-23</w:t>
      </w:r>
      <w:r w:rsidRPr="003A360A">
        <w:t>, which provides a dissolution release rate in-vitro of the active agent, when measured by the USP Type 2, Paddle Method at 50 rpm in 900 ml Simulated Gastric Fluid (SGF) without enzymes at 37° C of at least about 15% by weight of the active agent released at 1 hour, from about 25% to about 65% by weight of the active agent released at 2 hours, from about 45% to about 85% by weight of the active agent released at 4 hours, and at least about 60% by weight of the active agent released at 8 hours.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>The oral dosage form of</w:t>
      </w:r>
      <w:r w:rsidR="0097497A">
        <w:t xml:space="preserve"> any of</w:t>
      </w:r>
      <w:r w:rsidRPr="003A360A">
        <w:t xml:space="preserve"> claim</w:t>
      </w:r>
      <w:r w:rsidR="0097497A">
        <w:t>s</w:t>
      </w:r>
      <w:r w:rsidRPr="003A360A">
        <w:t xml:space="preserve"> 1</w:t>
      </w:r>
      <w:r w:rsidR="0097497A">
        <w:t>-24</w:t>
      </w:r>
      <w:r w:rsidRPr="003A360A">
        <w:t xml:space="preserve">, </w:t>
      </w:r>
      <w:r w:rsidRPr="003A360A">
        <w:rPr>
          <w:lang w:val="en"/>
        </w:rPr>
        <w:t xml:space="preserve">wherein the amount of active agent released at 0.5 hour, 1 hour, 2 hours or 4 hours when measured in a </w:t>
      </w:r>
      <w:r w:rsidRPr="003A360A">
        <w:t xml:space="preserve">USP Type 2, Paddle Method at 50 </w:t>
      </w:r>
      <w:r w:rsidRPr="003A360A">
        <w:lastRenderedPageBreak/>
        <w:t>rpm</w:t>
      </w:r>
      <w:r w:rsidRPr="003A360A">
        <w:rPr>
          <w:lang w:val="en"/>
        </w:rPr>
        <w:t xml:space="preserve"> in 900 ml simulated gastric fluid (SGF) without enzymes with 40% ethanol at 37° C, is less than the amount of active agent released at the same time period when measured in a </w:t>
      </w:r>
      <w:r w:rsidRPr="003A360A">
        <w:t>USP Type 2, Paddle Method at 50 rpm</w:t>
      </w:r>
      <w:r w:rsidRPr="003A360A">
        <w:rPr>
          <w:lang w:val="en"/>
        </w:rPr>
        <w:t xml:space="preserve"> in 900 ml simulated gastric fluid without enzymes (SGF) with 0% ethanol at 37°.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1</w:t>
      </w:r>
      <w:r w:rsidR="0097497A">
        <w:t>-25</w:t>
      </w:r>
      <w:r w:rsidRPr="003A360A">
        <w:t xml:space="preserve">, </w:t>
      </w:r>
      <w:r w:rsidRPr="003A360A">
        <w:rPr>
          <w:lang w:val="en"/>
        </w:rPr>
        <w:t xml:space="preserve">wherein the amount of active agent released from a crushed dosage form at 0.5 hour, 1 hour, 2 hours or 4 hours when measured in a </w:t>
      </w:r>
      <w:r w:rsidRPr="003A360A">
        <w:t>USP Type 2, Paddle Method at 50 rpm</w:t>
      </w:r>
      <w:r w:rsidRPr="003A360A">
        <w:rPr>
          <w:lang w:val="en"/>
        </w:rPr>
        <w:t xml:space="preserve"> in 900 ml simulated gastric fluid (SGF) without enzymes at 37° C, is within 50%, 40%, 30% or 20% of the amount of active agent released from an intact dosage form at the same time period when measured in a </w:t>
      </w:r>
      <w:r w:rsidRPr="003A360A">
        <w:t>USP Type 2, Paddle Method at 50 rpm</w:t>
      </w:r>
      <w:r w:rsidRPr="003A360A">
        <w:rPr>
          <w:lang w:val="en"/>
        </w:rPr>
        <w:t xml:space="preserve"> in 900 ml simulated gastric fluid without enzymes (SGF) with 0% ethanol at 37°.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t xml:space="preserve">The solid oral dosage form of </w:t>
      </w:r>
      <w:r w:rsidR="0097497A">
        <w:t xml:space="preserve">any of </w:t>
      </w:r>
      <w:r w:rsidRPr="003A360A">
        <w:t>claim</w:t>
      </w:r>
      <w:r w:rsidR="0097497A">
        <w:t>s</w:t>
      </w:r>
      <w:r w:rsidRPr="003A360A">
        <w:t xml:space="preserve"> 1</w:t>
      </w:r>
      <w:r w:rsidR="0097497A">
        <w:t>-26</w:t>
      </w:r>
      <w:r w:rsidRPr="003A360A">
        <w:t xml:space="preserve">, wherein the recovery of the active agent is less than about 50%, less than about 30%, or less than about 10% based on a </w:t>
      </w:r>
      <w:proofErr w:type="spellStart"/>
      <w:r w:rsidRPr="003A360A">
        <w:t>syringability</w:t>
      </w:r>
      <w:proofErr w:type="spellEnd"/>
      <w:r w:rsidRPr="003A360A">
        <w:t xml:space="preserve"> test whereby the dosage form is crushed and mixed with 5 </w:t>
      </w:r>
      <w:r>
        <w:t xml:space="preserve">or 10 </w:t>
      </w:r>
      <w:r w:rsidRPr="003A360A">
        <w:t xml:space="preserve">mL solvent and the resultant solution is </w:t>
      </w:r>
      <w:r>
        <w:t>aspirated</w:t>
      </w:r>
      <w:r w:rsidRPr="003A360A">
        <w:t xml:space="preserve"> with a</w:t>
      </w:r>
      <w:r>
        <w:t xml:space="preserve"> 18, 22, 25, or</w:t>
      </w:r>
      <w:r w:rsidRPr="003A360A">
        <w:t xml:space="preserve"> 27 gauge needle.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rPr>
          <w:lang w:val="en"/>
        </w:rPr>
        <w:t xml:space="preserve">The solid oral dosage form of </w:t>
      </w:r>
      <w:r w:rsidR="0097497A">
        <w:rPr>
          <w:lang w:val="en"/>
        </w:rPr>
        <w:t xml:space="preserve">any of </w:t>
      </w:r>
      <w:r w:rsidRPr="003A360A">
        <w:rPr>
          <w:lang w:val="en"/>
        </w:rPr>
        <w:t>claim</w:t>
      </w:r>
      <w:r w:rsidR="0097497A">
        <w:rPr>
          <w:lang w:val="en"/>
        </w:rPr>
        <w:t>s</w:t>
      </w:r>
      <w:r w:rsidRPr="003A360A">
        <w:rPr>
          <w:lang w:val="en"/>
        </w:rPr>
        <w:t xml:space="preserve"> 1</w:t>
      </w:r>
      <w:r w:rsidR="0097497A">
        <w:rPr>
          <w:lang w:val="en"/>
        </w:rPr>
        <w:t>-27</w:t>
      </w:r>
      <w:r w:rsidRPr="003A360A">
        <w:rPr>
          <w:lang w:val="en"/>
        </w:rPr>
        <w:t xml:space="preserve">, </w:t>
      </w:r>
      <w:r w:rsidRPr="003A360A">
        <w:t>wherein the active agent is selected from the group consisting of opioid agonists, tranquilizers, CNS depressants, CNS stimulants, sedative hypnotics, and mixtures thereof</w:t>
      </w:r>
      <w:r w:rsidR="00DA375C">
        <w:t xml:space="preserve">, preferably an opioid agonist, preferably selected from </w:t>
      </w:r>
      <w:r w:rsidR="00DA375C" w:rsidRPr="003A360A">
        <w:t xml:space="preserve">the group consisting of codeine, morphine, oxycodone, </w:t>
      </w:r>
      <w:proofErr w:type="spellStart"/>
      <w:r w:rsidR="00DA375C" w:rsidRPr="003A360A">
        <w:t>oxymorphone</w:t>
      </w:r>
      <w:proofErr w:type="spellEnd"/>
      <w:r w:rsidR="00DA375C" w:rsidRPr="003A360A">
        <w:t xml:space="preserve">, hydrocodone, </w:t>
      </w:r>
      <w:proofErr w:type="spellStart"/>
      <w:r w:rsidR="00DA375C" w:rsidRPr="003A360A">
        <w:t>hydromorphone</w:t>
      </w:r>
      <w:proofErr w:type="spellEnd"/>
      <w:r w:rsidR="00DA375C" w:rsidRPr="003A360A">
        <w:t>, pharmaceutically acceptable salts thereof, and mixtures thereof</w:t>
      </w:r>
      <w:r w:rsidR="00DA375C">
        <w:t>, preferably oxycodone</w:t>
      </w:r>
      <w:r w:rsidR="00D30736">
        <w:t>, morphine</w:t>
      </w:r>
      <w:r w:rsidR="00DA375C">
        <w:t xml:space="preserve"> </w:t>
      </w:r>
      <w:r w:rsidR="00D30736">
        <w:t>and</w:t>
      </w:r>
      <w:r w:rsidR="00DA375C">
        <w:t xml:space="preserve"> pharmaceutically acceptable salt</w:t>
      </w:r>
      <w:r w:rsidR="00D30736">
        <w:t>s</w:t>
      </w:r>
      <w:r w:rsidR="00DA375C">
        <w:t xml:space="preserve"> thereof, preferably comprising from about 5 mg to about 320 mg oxycodone or a pharmaceutically acceptable salt thereof</w:t>
      </w:r>
      <w:r w:rsidR="00F86BE1">
        <w:t xml:space="preserve"> or </w:t>
      </w:r>
      <w:r w:rsidR="00F86BE1" w:rsidRPr="003A360A">
        <w:t xml:space="preserve">from about 5 mg to about </w:t>
      </w:r>
      <w:r w:rsidR="00F86BE1">
        <w:t>250</w:t>
      </w:r>
      <w:r w:rsidR="00F86BE1" w:rsidRPr="003A360A">
        <w:t xml:space="preserve"> mg </w:t>
      </w:r>
      <w:r w:rsidR="00F86BE1">
        <w:t>morphine</w:t>
      </w:r>
      <w:r w:rsidR="00F86BE1" w:rsidRPr="003A360A">
        <w:t xml:space="preserve"> or a pharmaceutically acceptable salt thereof</w:t>
      </w:r>
      <w:r w:rsidRPr="003A360A">
        <w:t>.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A360A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</w:pPr>
      <w:r w:rsidRPr="003A360A">
        <w:rPr>
          <w:lang w:val="en"/>
        </w:rPr>
        <w:t xml:space="preserve">The solid oral dosage form of </w:t>
      </w:r>
      <w:r w:rsidR="00F44A15">
        <w:rPr>
          <w:lang w:val="en"/>
        </w:rPr>
        <w:t xml:space="preserve">any of </w:t>
      </w:r>
      <w:r w:rsidRPr="003A360A">
        <w:rPr>
          <w:lang w:val="en"/>
        </w:rPr>
        <w:t>claim</w:t>
      </w:r>
      <w:r w:rsidR="00F44A15">
        <w:rPr>
          <w:lang w:val="en"/>
        </w:rPr>
        <w:t>s</w:t>
      </w:r>
      <w:r w:rsidRPr="003A360A">
        <w:rPr>
          <w:lang w:val="en"/>
        </w:rPr>
        <w:t xml:space="preserve"> 1</w:t>
      </w:r>
      <w:r w:rsidR="00F44A15">
        <w:rPr>
          <w:lang w:val="en"/>
        </w:rPr>
        <w:t>-28</w:t>
      </w:r>
      <w:r w:rsidRPr="003A360A">
        <w:rPr>
          <w:lang w:val="en"/>
        </w:rPr>
        <w:t xml:space="preserve">, </w:t>
      </w:r>
      <w:r w:rsidRPr="003A360A">
        <w:t>further comprising an aversive agent</w:t>
      </w:r>
      <w:r w:rsidR="00D30736">
        <w:t xml:space="preserve">, preferably </w:t>
      </w:r>
      <w:r w:rsidR="00D30736" w:rsidRPr="003A360A">
        <w:t>selected from the group consisting of emetics, antagonists, bittering agents, irritants, gelling agents and mixtures thereof</w:t>
      </w:r>
      <w:r w:rsidRPr="003A360A">
        <w:t xml:space="preserve">. </w:t>
      </w:r>
    </w:p>
    <w:p w:rsidR="00CA4513" w:rsidRPr="003A360A" w:rsidRDefault="00CA4513" w:rsidP="00CA4513">
      <w:pPr>
        <w:tabs>
          <w:tab w:val="left" w:pos="720"/>
        </w:tabs>
        <w:spacing w:line="360" w:lineRule="auto"/>
        <w:jc w:val="both"/>
      </w:pPr>
    </w:p>
    <w:p w:rsidR="00CA4513" w:rsidRPr="003B07FC" w:rsidRDefault="00CA4513" w:rsidP="00CA4513">
      <w:pPr>
        <w:numPr>
          <w:ilvl w:val="0"/>
          <w:numId w:val="1"/>
        </w:numPr>
        <w:tabs>
          <w:tab w:val="clear" w:pos="1440"/>
          <w:tab w:val="left" w:pos="720"/>
        </w:tabs>
        <w:spacing w:line="360" w:lineRule="auto"/>
        <w:ind w:left="0" w:firstLine="0"/>
        <w:jc w:val="both"/>
        <w:rPr>
          <w:b/>
        </w:rPr>
      </w:pPr>
      <w:r w:rsidRPr="003A360A">
        <w:lastRenderedPageBreak/>
        <w:t>The solid oral dosage form of any of claims 1</w:t>
      </w:r>
      <w:r w:rsidR="00F44A15">
        <w:t>-29</w:t>
      </w:r>
      <w:r w:rsidRPr="003A360A">
        <w:t>, wherein the ratio of extraction from an unheated extraction test at 10 minutes and/or 60 minutes to a corresponding heated extraction test is from about 1:50 to about 50:1; from about 1:40 to about 40:1; from about 1:30 to about 30:1; from about 1:20 to about 20:1; from about 1:10 to about 10:1; from about 1:5 to about 5:1; from about 1:4 to about 4:1; from about 1:3 to about 3:1; from about 1:2 to about 2:1; from about 1:1.5 to about 1.5:1; from about 1:1.3 to about 1.3:1 or from about 1:1.1 to about 1.1:11.</w:t>
      </w:r>
    </w:p>
    <w:p w:rsidR="00CA4513" w:rsidRPr="003B07FC" w:rsidRDefault="00CA4513" w:rsidP="00CA4513">
      <w:pPr>
        <w:tabs>
          <w:tab w:val="left" w:pos="720"/>
        </w:tabs>
        <w:spacing w:line="360" w:lineRule="auto"/>
        <w:jc w:val="both"/>
        <w:rPr>
          <w:b/>
        </w:rPr>
      </w:pPr>
    </w:p>
    <w:p w:rsidR="0031343B" w:rsidRDefault="0031343B"/>
    <w:sectPr w:rsidR="0031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9999999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261C"/>
    <w:multiLevelType w:val="hybridMultilevel"/>
    <w:tmpl w:val="83CA860E"/>
    <w:lvl w:ilvl="0" w:tplc="661241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70997148"/>
    <w:multiLevelType w:val="multilevel"/>
    <w:tmpl w:val="D3D04E24"/>
    <w:lvl w:ilvl="0">
      <w:start w:val="1"/>
      <w:numFmt w:val="decimalZero"/>
      <w:pStyle w:val="Heading1"/>
      <w:lvlText w:val="[00%1]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pStyle w:val="Heading2"/>
      <w:lvlText w:val="[0%2]"/>
      <w:lvlJc w:val="left"/>
      <w:pPr>
        <w:tabs>
          <w:tab w:val="num" w:pos="810"/>
        </w:tabs>
        <w:ind w:left="810" w:firstLine="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ascii="9999999" w:hAnsi="9999999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13"/>
    <w:rsid w:val="00001837"/>
    <w:rsid w:val="00006FBA"/>
    <w:rsid w:val="00113A96"/>
    <w:rsid w:val="00134826"/>
    <w:rsid w:val="001F2917"/>
    <w:rsid w:val="0031343B"/>
    <w:rsid w:val="004B6102"/>
    <w:rsid w:val="00565A24"/>
    <w:rsid w:val="00730814"/>
    <w:rsid w:val="0097497A"/>
    <w:rsid w:val="00A73D83"/>
    <w:rsid w:val="00CA4513"/>
    <w:rsid w:val="00D30736"/>
    <w:rsid w:val="00D511D9"/>
    <w:rsid w:val="00DA375C"/>
    <w:rsid w:val="00EE4704"/>
    <w:rsid w:val="00F44A15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CA4513"/>
    <w:pPr>
      <w:widowControl w:val="0"/>
      <w:numPr>
        <w:numId w:val="2"/>
      </w:numPr>
      <w:spacing w:line="360" w:lineRule="auto"/>
      <w:jc w:val="both"/>
      <w:outlineLvl w:val="0"/>
    </w:pPr>
    <w:rPr>
      <w:rFonts w:eastAsiaTheme="majorEastAsia"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nhideWhenUsed/>
    <w:qFormat/>
    <w:rsid w:val="00CA4513"/>
    <w:pPr>
      <w:widowControl w:val="0"/>
      <w:numPr>
        <w:ilvl w:val="1"/>
        <w:numId w:val="2"/>
      </w:numPr>
      <w:spacing w:line="360" w:lineRule="auto"/>
      <w:jc w:val="both"/>
      <w:outlineLvl w:val="1"/>
    </w:pPr>
    <w:rPr>
      <w:rFonts w:eastAsiaTheme="majorEastAsia"/>
      <w:bCs/>
      <w:iCs/>
      <w:szCs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CA4513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CA4513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CA4513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CA4513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CA4513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CA4513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CA4513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4513"/>
    <w:rPr>
      <w:rFonts w:ascii="Times New Roman" w:eastAsiaTheme="majorEastAsia" w:hAnsi="Times New Roman" w:cs="Times New Roman"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CA4513"/>
    <w:rPr>
      <w:rFonts w:ascii="Times New Roman" w:eastAsiaTheme="majorEastAsia" w:hAnsi="Times New Roman" w:cs="Times New Roman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CA45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A451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A451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A4513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A451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A451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A4513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A4513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CA4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45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CA4513"/>
    <w:pPr>
      <w:widowControl w:val="0"/>
      <w:numPr>
        <w:numId w:val="2"/>
      </w:numPr>
      <w:spacing w:line="360" w:lineRule="auto"/>
      <w:jc w:val="both"/>
      <w:outlineLvl w:val="0"/>
    </w:pPr>
    <w:rPr>
      <w:rFonts w:eastAsiaTheme="majorEastAsia"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nhideWhenUsed/>
    <w:qFormat/>
    <w:rsid w:val="00CA4513"/>
    <w:pPr>
      <w:widowControl w:val="0"/>
      <w:numPr>
        <w:ilvl w:val="1"/>
        <w:numId w:val="2"/>
      </w:numPr>
      <w:spacing w:line="360" w:lineRule="auto"/>
      <w:jc w:val="both"/>
      <w:outlineLvl w:val="1"/>
    </w:pPr>
    <w:rPr>
      <w:rFonts w:eastAsiaTheme="majorEastAsia"/>
      <w:bCs/>
      <w:iCs/>
      <w:szCs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CA4513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CA4513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CA4513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CA4513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CA4513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CA4513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CA4513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4513"/>
    <w:rPr>
      <w:rFonts w:ascii="Times New Roman" w:eastAsiaTheme="majorEastAsia" w:hAnsi="Times New Roman" w:cs="Times New Roman"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CA4513"/>
    <w:rPr>
      <w:rFonts w:ascii="Times New Roman" w:eastAsiaTheme="majorEastAsia" w:hAnsi="Times New Roman" w:cs="Times New Roman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CA45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A451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A451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A4513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A451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A451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A4513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A4513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CA45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45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Lowenstein Sandler LLP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Kopelevich, Sofia</dc:creator>
  <cp:lastModifiedBy>Kopelevich, Sofia</cp:lastModifiedBy>
  <cp:revision>2</cp:revision>
  <dcterms:created xsi:type="dcterms:W3CDTF">2015-08-05T15:04:00Z</dcterms:created>
  <dcterms:modified xsi:type="dcterms:W3CDTF">2015-08-05T15:04:00Z</dcterms:modified>
</cp:coreProperties>
</file>