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cb2d77089370ed41f957604544e7ba657e3ee4a"/>
    <w:p>
      <w:pPr>
        <w:pStyle w:val="Heading1"/>
      </w:pPr>
      <w:r>
        <w:t xml:space="preserve">Australian Anomalous Humanoid Encounter Archive Audit</w:t>
      </w:r>
    </w:p>
    <w:bookmarkStart w:id="27" w:name="diagnosis-and-scope"/>
    <w:p>
      <w:pPr>
        <w:pStyle w:val="Heading2"/>
      </w:pPr>
      <w:r>
        <w:t xml:space="preserve">Diagnosis and scope</w:t>
      </w:r>
    </w:p>
    <w:p>
      <w:pPr>
        <w:pStyle w:val="FirstParagraph"/>
      </w:pPr>
      <w:r>
        <w:rPr>
          <w:b/>
          <w:bCs/>
        </w:rPr>
        <w:t xml:space="preserve">1. Executive diagnosis</w:t>
      </w:r>
    </w:p>
    <w:p>
      <w:pPr>
        <w:pStyle w:val="BodyText"/>
      </w:pPr>
      <w:r>
        <w:t xml:space="preserve">The current repository already contains valuable work, but it is not yet an encounter archive in a defensible archival sense. Its public export reports</w:t>
      </w:r>
      <w:r>
        <w:t xml:space="preserve"> </w:t>
      </w:r>
      <w:r>
        <w:rPr>
          <w:b/>
          <w:bCs/>
        </w:rPr>
        <w:t xml:space="preserve">707 records</w:t>
      </w:r>
      <w:r>
        <w:t xml:space="preserve">,</w:t>
      </w:r>
      <w:r>
        <w:t xml:space="preserve"> </w:t>
      </w:r>
      <w:r>
        <w:rPr>
          <w:b/>
          <w:bCs/>
        </w:rPr>
        <w:t xml:space="preserve">32 figures</w:t>
      </w:r>
      <w:r>
        <w:t xml:space="preserve">, and a date span from</w:t>
      </w:r>
      <w:r>
        <w:t xml:space="preserve"> </w:t>
      </w:r>
      <w:r>
        <w:rPr>
          <w:b/>
          <w:bCs/>
        </w:rPr>
        <w:t xml:space="preserve">1831 to 2026</w:t>
      </w:r>
      <w:r>
        <w:t xml:space="preserve">, but the current card count mixes encounter claims, contextual folklore pages, tourism discourse, Wikipedia summaries, search planning, and later aggregator reproductions into one visible corpus. The summary also shows that the present public dataset is almost entirely built from</w:t>
      </w:r>
      <w:r>
        <w:t xml:space="preserve"> </w:t>
      </w:r>
      <w:r>
        <w:rPr>
          <w:b/>
          <w:bCs/>
        </w:rPr>
        <w:t xml:space="preserve">modern web sources</w:t>
      </w:r>
      <w:r>
        <w:t xml:space="preserve">, while planned Trove, AIATSIS, catalogue, and other source streams have not yet been converted into comparable source-item records. In practice, this means the current front-end count is a count of heterogeneous</w:t>
      </w:r>
      <w:r>
        <w:t xml:space="preserve"> </w:t>
      </w:r>
      <w:r>
        <w:rPr>
          <w:b/>
          <w:bCs/>
        </w:rPr>
        <w:t xml:space="preserve">rows</w:t>
      </w:r>
      <w:r>
        <w:t xml:space="preserve">, not a count of normalized encounter events.</w:t>
      </w:r>
      <w:r>
        <w:t xml:space="preserve"> </w:t>
      </w:r>
      <w:hyperlink r:id="rId21">
        <w:r>
          <w:rPr>
            <w:rStyle w:val="Hyperlink"/>
          </w:rPr>
          <w:t xml:space="preserve">[1]</w:t>
        </w:r>
      </w:hyperlink>
    </w:p>
    <w:p>
      <w:pPr>
        <w:pStyle w:val="BodyText"/>
      </w:pPr>
      <w:r>
        <w:t xml:space="preserve">The existing repository is also highly dependent on Australian Yowie Research as both a discovery layer and a visible public corpus. AYR describes itself as Australia’s “#1 hub of Yowie research,” “the centre for all Yowie sighting information,” and the “largest” Yowie research organisation, with files “beginning in the late 1700s.” That self-description is useful for provenance assessment, but it also shows why AYR should not be treated as a neutral master authority for ontology or event counting.</w:t>
      </w:r>
      <w:r>
        <w:t xml:space="preserve"> </w:t>
      </w:r>
      <w:hyperlink r:id="rId22">
        <w:r>
          <w:rPr>
            <w:rStyle w:val="Hyperlink"/>
          </w:rPr>
          <w:t xml:space="preserve">[2]</w:t>
        </w:r>
      </w:hyperlink>
    </w:p>
    <w:p>
      <w:pPr>
        <w:pStyle w:val="BodyText"/>
      </w:pPr>
      <w:r>
        <w:t xml:space="preserve">A narrower scope is necessary not because the broad material is useless, but because the project’s current object of study is unstable. At present, one can move in a single interface from a bounded sighting claim, to a reproduced nineteenth-century newspaper, to a Wikipedia page on Wandjina, to a tourism story about Kilcoy branding itself with the yowie. Those are all legitimate</w:t>
      </w:r>
      <w:r>
        <w:t xml:space="preserve"> </w:t>
      </w:r>
      <w:r>
        <w:rPr>
          <w:b/>
          <w:bCs/>
        </w:rPr>
        <w:t xml:space="preserve">public texts</w:t>
      </w:r>
      <w:r>
        <w:t xml:space="preserve">, but they are not the same analytic object.</w:t>
      </w:r>
      <w:r>
        <w:t xml:space="preserve"> </w:t>
      </w:r>
      <w:hyperlink r:id="rId23">
        <w:r>
          <w:rPr>
            <w:rStyle w:val="Hyperlink"/>
          </w:rPr>
          <w:t xml:space="preserve">[3]</w:t>
        </w:r>
      </w:hyperlink>
    </w:p>
    <w:p>
      <w:pPr>
        <w:pStyle w:val="BodyText"/>
      </w:pPr>
      <w:r>
        <w:rPr>
          <w:b/>
          <w:bCs/>
        </w:rPr>
        <w:t xml:space="preserve">2. Recommended primary scope</w:t>
      </w:r>
    </w:p>
    <w:p>
      <w:pPr>
        <w:pStyle w:val="BodyText"/>
      </w:pPr>
      <w:r>
        <w:t xml:space="preserve">The strongest v1 choice is</w:t>
      </w:r>
      <w:r>
        <w:t xml:space="preserve"> </w:t>
      </w:r>
      <w:r>
        <w:rPr>
          <w:b/>
          <w:bCs/>
        </w:rPr>
        <w:t xml:space="preserve">Model A: Non-human anomalous humanoid encounters</w:t>
      </w:r>
      <w:r>
        <w:t xml:space="preserve">. In operational terms, v1 should study</w:t>
      </w:r>
      <w:r>
        <w:t xml:space="preserve"> </w:t>
      </w:r>
      <w:r>
        <w:rPr>
          <w:b/>
          <w:bCs/>
        </w:rPr>
        <w:t xml:space="preserve">specific Australian public reports of a bounded alleged encounter with an apparently physical or quasi-physical, non-ordinary humanoid figure</w:t>
      </w:r>
      <w:r>
        <w:t xml:space="preserve">, while explicitly separating those events from folklore texts, later retellings, tourism discourse, and culturally sensitive contextual material. This recommendation favours conceptual consistency over corpus size. It is the only model that can support strict inclusion rules, event normalization, and meaningful source auditing without collapsing radically different domains into a single “humanoid supernatural” basket.</w:t>
      </w:r>
      <w:r>
        <w:t xml:space="preserve"> </w:t>
      </w:r>
      <w:hyperlink r:id="rId24">
        <w:r>
          <w:rPr>
            <w:rStyle w:val="Hyperlink"/>
          </w:rPr>
          <w:t xml:space="preserve">[4]</w:t>
        </w:r>
      </w:hyperlink>
    </w:p>
    <w:p>
      <w:pPr>
        <w:pStyle w:val="BodyText"/>
      </w:pPr>
      <w:r>
        <w:t xml:space="preserve">A comparison of the three candidate models: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Strengths</w:t>
            </w:r>
          </w:p>
        </w:tc>
        <w:tc>
          <w:tcPr/>
          <w:p>
            <w:pPr>
              <w:pStyle w:val="Compact"/>
            </w:pPr>
            <w:r>
              <w:t xml:space="preserve">Weaknesses</w:t>
            </w:r>
          </w:p>
        </w:tc>
        <w:tc>
          <w:tcPr/>
          <w:p>
            <w:pPr>
              <w:pStyle w:val="Compact"/>
            </w:pPr>
            <w:r>
              <w:t xml:space="preserve">Ethical risk</w:t>
            </w:r>
          </w:p>
        </w:tc>
        <w:tc>
          <w:tcPr/>
          <w:p>
            <w:pPr>
              <w:pStyle w:val="Compact"/>
            </w:pPr>
            <w:r>
              <w:t xml:space="preserve">Corpus implications</w:t>
            </w:r>
          </w:p>
        </w:tc>
        <w:tc>
          <w:tcPr/>
          <w:p>
            <w:pPr>
              <w:pStyle w:val="Compact"/>
            </w:pPr>
            <w:r>
              <w:t xml:space="preserve">Recommendation</w:t>
            </w:r>
          </w:p>
        </w:tc>
      </w:tr>
      <w:tr>
        <w:tc>
          <w:tcPr/>
          <w:p>
            <w:pPr>
              <w:pStyle w:val="Compact"/>
            </w:pPr>
            <w:r>
              <w:rPr>
                <w:b/>
                <w:bCs/>
              </w:rPr>
              <w:t xml:space="preserve">Model A</w:t>
            </w:r>
            <w:r>
              <w:t xml:space="preserve"> </w:t>
            </w:r>
            <w:r>
              <w:t xml:space="preserve">Non-human anomalous humanoid encounters</w:t>
            </w:r>
          </w:p>
        </w:tc>
        <w:tc>
          <w:tcPr/>
          <w:p>
            <w:pPr>
              <w:pStyle w:val="Compact"/>
            </w:pPr>
            <w:r>
              <w:t xml:space="preserve">Cleanest event ontology; best fit for encounter archive; easier de-duplication; easier to separate event from source and retelling</w:t>
            </w:r>
          </w:p>
        </w:tc>
        <w:tc>
          <w:tcPr/>
          <w:p>
            <w:pPr>
              <w:pStyle w:val="Compact"/>
            </w:pPr>
            <w:r>
              <w:t xml:space="preserve">Smaller corpus; some borderline cases need manual review; excludes a large amount of culturally important but non-event material</w:t>
            </w:r>
          </w:p>
        </w:tc>
        <w:tc>
          <w:tcPr/>
          <w:p>
            <w:pPr>
              <w:pStyle w:val="Compact"/>
            </w:pPr>
            <w:r>
              <w:t xml:space="preserve">Lowest, because named ancestral/spirit beings and sensitive cultural materials can remain outside the core</w:t>
            </w:r>
          </w:p>
        </w:tc>
        <w:tc>
          <w:tcPr/>
          <w:p>
            <w:pPr>
              <w:pStyle w:val="Compact"/>
            </w:pPr>
            <w:r>
              <w:t xml:space="preserve">Smaller but much more auditable corpus</w:t>
            </w:r>
          </w:p>
        </w:tc>
        <w:tc>
          <w:tcPr/>
          <w:p>
            <w:pPr>
              <w:pStyle w:val="Compact"/>
            </w:pPr>
            <w:r>
              <w:rPr>
                <w:b/>
                <w:bCs/>
              </w:rPr>
              <w:t xml:space="preserve">Adopt for v1</w:t>
            </w:r>
          </w:p>
        </w:tc>
      </w:tr>
      <w:tr>
        <w:tc>
          <w:tcPr/>
          <w:p>
            <w:pPr>
              <w:pStyle w:val="Compact"/>
            </w:pPr>
            <w:r>
              <w:rPr>
                <w:b/>
                <w:bCs/>
              </w:rPr>
              <w:t xml:space="preserve">Model B</w:t>
            </w:r>
            <w:r>
              <w:t xml:space="preserve"> </w:t>
            </w:r>
            <w:r>
              <w:t xml:space="preserve">Broad anomalous humanoid phenomena</w:t>
            </w:r>
          </w:p>
        </w:tc>
        <w:tc>
          <w:tcPr/>
          <w:p>
            <w:pPr>
              <w:pStyle w:val="Compact"/>
            </w:pPr>
            <w:r>
              <w:t xml:space="preserve">Captures more public reports, including apparitions and spirit-person encounters</w:t>
            </w:r>
          </w:p>
        </w:tc>
        <w:tc>
          <w:tcPr/>
          <w:p>
            <w:pPr>
              <w:pStyle w:val="Compact"/>
            </w:pPr>
            <w:r>
              <w:t xml:space="preserve">Lumps together incompatible ontologies: cryptid-style reports, ghosts, apparitions, ancestral beings, visions</w:t>
            </w:r>
          </w:p>
        </w:tc>
        <w:tc>
          <w:tcPr/>
          <w:p>
            <w:pPr>
              <w:pStyle w:val="Compact"/>
            </w:pPr>
            <w:r>
              <w:t xml:space="preserve">High, because culturally specific beings risk being reclassified into a generic paranormal taxonomy</w:t>
            </w:r>
          </w:p>
        </w:tc>
        <w:tc>
          <w:tcPr/>
          <w:p>
            <w:pPr>
              <w:pStyle w:val="Compact"/>
            </w:pPr>
            <w:r>
              <w:t xml:space="preserve">Larger but much noisier corpus</w:t>
            </w:r>
          </w:p>
        </w:tc>
        <w:tc>
          <w:tcPr/>
          <w:p>
            <w:pPr>
              <w:pStyle w:val="Compact"/>
            </w:pPr>
            <w:r>
              <w:t xml:space="preserve">Defer to later extension, not v1</w:t>
            </w:r>
          </w:p>
        </w:tc>
      </w:tr>
      <w:tr>
        <w:tc>
          <w:tcPr/>
          <w:p>
            <w:pPr>
              <w:pStyle w:val="Compact"/>
            </w:pPr>
            <w:r>
              <w:rPr>
                <w:b/>
                <w:bCs/>
              </w:rPr>
              <w:t xml:space="preserve">Model C</w:t>
            </w:r>
            <w:r>
              <w:t xml:space="preserve"> </w:t>
            </w:r>
            <w:r>
              <w:t xml:space="preserve">All public representations of humanoid supernatural beings</w:t>
            </w:r>
          </w:p>
        </w:tc>
        <w:tc>
          <w:tcPr/>
          <w:p>
            <w:pPr>
              <w:pStyle w:val="Compact"/>
            </w:pPr>
            <w:r>
              <w:t xml:space="preserve">Broad cultural map; useful for discourse history</w:t>
            </w:r>
          </w:p>
        </w:tc>
        <w:tc>
          <w:tcPr/>
          <w:p>
            <w:pPr>
              <w:pStyle w:val="Compact"/>
            </w:pPr>
            <w:r>
              <w:t xml:space="preserve">Too broad for an encounter archive; source items become indistinguishable from events; counts become misleading</w:t>
            </w:r>
          </w:p>
        </w:tc>
        <w:tc>
          <w:tcPr/>
          <w:p>
            <w:pPr>
              <w:pStyle w:val="Compact"/>
            </w:pPr>
            <w:r>
              <w:t xml:space="preserve">Highest, because public representation does not equal permission to extract or normalize culturally sensitive material</w:t>
            </w:r>
          </w:p>
        </w:tc>
        <w:tc>
          <w:tcPr/>
          <w:p>
            <w:pPr>
              <w:pStyle w:val="Compact"/>
            </w:pPr>
            <w:r>
              <w:t xml:space="preserve">Very large, but analytically unstable</w:t>
            </w:r>
          </w:p>
        </w:tc>
        <w:tc>
          <w:tcPr/>
          <w:p>
            <w:pPr>
              <w:pStyle w:val="Compact"/>
            </w:pPr>
            <w:r>
              <w:t xml:space="preserve">Reject as the core model</w:t>
            </w:r>
          </w:p>
        </w:tc>
      </w:tr>
    </w:tbl>
    <w:p>
      <w:pPr>
        <w:pStyle w:val="BodyText"/>
      </w:pPr>
      <w:r>
        <w:t xml:space="preserve">The ethical case for preferring a narrow encounter model is strengthened by AIATSIS guidance and related protocols. AIATSIS’s Code treats research using archival and collection materials about Aboriginal and Torres Strait Islander peoples as ethically significant research, including archival or “desktop” work; it also warns that existing collections do not automatically carry low risk. ATSILIRN Protocol 5 likewise emphasises careful, culturally appropriate description and rejects outdated or value-laden classification.</w:t>
      </w:r>
      <w:r>
        <w:t xml:space="preserve"> </w:t>
      </w:r>
      <w:hyperlink r:id="rId25">
        <w:r>
          <w:rPr>
            <w:rStyle w:val="Hyperlink"/>
          </w:rPr>
          <w:t xml:space="preserve">[5]</w:t>
        </w:r>
      </w:hyperlink>
    </w:p>
    <w:p>
      <w:pPr>
        <w:pStyle w:val="BodyText"/>
      </w:pPr>
      <w:r>
        <w:rPr>
          <w:b/>
          <w:bCs/>
        </w:rPr>
        <w:t xml:space="preserve">3. Recommended project title and positioning</w:t>
      </w:r>
    </w:p>
    <w:p>
      <w:pPr>
        <w:pStyle w:val="BodyText"/>
      </w:pPr>
      <w:r>
        <w:rPr>
          <w:b/>
          <w:bCs/>
        </w:rPr>
        <w:t xml:space="preserve">Recommended title:</w:t>
      </w:r>
      <w:r>
        <w:br/>
      </w:r>
      <w:r>
        <w:rPr>
          <w:b/>
          <w:bCs/>
        </w:rPr>
        <w:t xml:space="preserve">Australian Reported Anomalous Humanoid Encounters Archive</w:t>
      </w:r>
    </w:p>
    <w:p>
      <w:pPr>
        <w:pStyle w:val="BodyText"/>
      </w:pPr>
      <w:r>
        <w:rPr>
          <w:b/>
          <w:bCs/>
        </w:rPr>
        <w:t xml:space="preserve">One-sentence description:</w:t>
      </w:r>
      <w:r>
        <w:br/>
      </w:r>
      <w:r>
        <w:t xml:space="preserve">A provenance-aware public archive of Australian source-documented reports describing alleged encounters with non-ordinary humanoid figures, organised as encounter events, source items, and retellings rather than as a catalogue of proven beings.</w:t>
      </w:r>
    </w:p>
    <w:p>
      <w:pPr>
        <w:pStyle w:val="BodyText"/>
      </w:pPr>
      <w:r>
        <w:rPr>
          <w:b/>
          <w:bCs/>
        </w:rPr>
        <w:t xml:space="preserve">Positioning statement:</w:t>
      </w:r>
      <w:r>
        <w:br/>
      </w:r>
      <w:r>
        <w:t xml:space="preserve">This project is a</w:t>
      </w:r>
      <w:r>
        <w:t xml:space="preserve"> </w:t>
      </w:r>
      <w:r>
        <w:rPr>
          <w:b/>
          <w:bCs/>
        </w:rPr>
        <w:t xml:space="preserve">research-extensible, research-oriented public evidence archive</w:t>
      </w:r>
      <w:r>
        <w:t xml:space="preserve">, not a proof-of-existence project. It documents how alleged anomalous humanoid encounters in Australia were</w:t>
      </w:r>
      <w:r>
        <w:t xml:space="preserve"> </w:t>
      </w:r>
      <w:r>
        <w:rPr>
          <w:b/>
          <w:bCs/>
        </w:rPr>
        <w:t xml:space="preserve">publicly reported, published, reproduced, classified, and retold</w:t>
      </w:r>
      <w:r>
        <w:t xml:space="preserve"> </w:t>
      </w:r>
      <w:r>
        <w:t xml:space="preserve">across newspapers, books, archival catalogues, websites, and related public sources. “Verified-source” means that a source exists and contains the reported material; it does</w:t>
      </w:r>
      <w:r>
        <w:t xml:space="preserve"> </w:t>
      </w:r>
      <w:r>
        <w:rPr>
          <w:b/>
          <w:bCs/>
        </w:rPr>
        <w:t xml:space="preserve">not</w:t>
      </w:r>
      <w:r>
        <w:t xml:space="preserve"> </w:t>
      </w:r>
      <w:r>
        <w:t xml:space="preserve">mean that the reported entity or supernatural interpretation is true. The archive is designed to be provenance-aware, versioned, auditable, and suitable for future extension, while remaining conservative about ethical risk, classification drift, and duplicate counting. Public catalogue metadata, public webpages, and public reproductions are used as evidence of reporting and circulation, not as blanket permission to reproduce culturally sensitive or restricted knowledge.</w:t>
      </w:r>
      <w:r>
        <w:t xml:space="preserve"> </w:t>
      </w:r>
      <w:hyperlink r:id="rId25">
        <w:r>
          <w:rPr>
            <w:rStyle w:val="Hyperlink"/>
          </w:rPr>
          <w:t xml:space="preserve">[6]</w:t>
        </w:r>
      </w:hyperlink>
    </w:p>
    <w:p>
      <w:pPr>
        <w:pStyle w:val="BodyText"/>
      </w:pPr>
      <w:r>
        <w:rPr>
          <w:b/>
          <w:bCs/>
        </w:rPr>
        <w:t xml:space="preserve">Scope statement:</w:t>
      </w:r>
      <w:r>
        <w:br/>
      </w:r>
      <w:r>
        <w:t xml:space="preserve">Version 1 covers only</w:t>
      </w:r>
      <w:r>
        <w:t xml:space="preserve"> </w:t>
      </w:r>
      <w:r>
        <w:rPr>
          <w:b/>
          <w:bCs/>
        </w:rPr>
        <w:t xml:space="preserve">specific alleged Australian encounter events</w:t>
      </w:r>
      <w:r>
        <w:t xml:space="preserve"> </w:t>
      </w:r>
      <w:r>
        <w:t xml:space="preserve">involving an explicitly humanoid, apparently non-ordinary figure described in a traceable public source, plus the source items and retellings attached to those events.</w:t>
      </w:r>
    </w:p>
    <w:p>
      <w:pPr>
        <w:pStyle w:val="BodyText"/>
      </w:pPr>
      <w:r>
        <w:rPr>
          <w:b/>
          <w:bCs/>
        </w:rPr>
        <w:t xml:space="preserve">Non-goals statement:</w:t>
      </w:r>
      <w:r>
        <w:br/>
      </w:r>
      <w:r>
        <w:t xml:space="preserve">Version 1 is not a national census of supernatural beings, not an authoritative Indigenous knowledge resource, not a comprehensive folklore encyclopedia, not a catalogue of verified entities, and not a complete map of all Australian paranormal traditions.</w:t>
      </w:r>
    </w:p>
    <w:p>
      <w:pPr>
        <w:pStyle w:val="BodyText"/>
      </w:pPr>
      <w:r>
        <w:rPr>
          <w:b/>
          <w:bCs/>
        </w:rPr>
        <w:t xml:space="preserve">README and frontend disclaimer:</w:t>
      </w:r>
      <w:r>
        <w:br/>
      </w:r>
      <w:r>
        <w:t xml:space="preserve">This archive documents</w:t>
      </w:r>
      <w:r>
        <w:t xml:space="preserve"> </w:t>
      </w:r>
      <w:r>
        <w:rPr>
          <w:b/>
          <w:bCs/>
        </w:rPr>
        <w:t xml:space="preserve">reported encounters and public reporting practices</w:t>
      </w:r>
      <w:r>
        <w:t xml:space="preserve">. Inclusion means that a public source describing the report has been identified and reviewed to some degree. It does</w:t>
      </w:r>
      <w:r>
        <w:t xml:space="preserve"> </w:t>
      </w:r>
      <w:r>
        <w:rPr>
          <w:b/>
          <w:bCs/>
        </w:rPr>
        <w:t xml:space="preserve">not</w:t>
      </w:r>
      <w:r>
        <w:t xml:space="preserve"> </w:t>
      </w:r>
      <w:r>
        <w:t xml:space="preserve">mean that the reported event, entity, or supernatural explanation has been verified. Public catalogue metadata and public pages are used for discovery and source attribution only; they are not blanket permission to reproduce restricted, secret, sacred, unpublished, or community-controlled cultural knowledge.</w:t>
      </w:r>
      <w:r>
        <w:t xml:space="preserve"> </w:t>
      </w:r>
      <w:hyperlink r:id="rId26">
        <w:r>
          <w:rPr>
            <w:rStyle w:val="Hyperlink"/>
          </w:rPr>
          <w:t xml:space="preserve">[7]</w:t>
        </w:r>
      </w:hyperlink>
    </w:p>
    <w:p>
      <w:pPr>
        <w:pStyle w:val="BodyText"/>
      </w:pPr>
      <w:r>
        <w:rPr>
          <w:b/>
          <w:bCs/>
        </w:rPr>
        <w:t xml:space="preserve">Pilot language for v1:</w:t>
      </w:r>
      <w:r>
        <w:br/>
      </w:r>
      <w:r>
        <w:t xml:space="preserve">Version 1 is a</w:t>
      </w:r>
      <w:r>
        <w:t xml:space="preserve"> </w:t>
      </w:r>
      <w:r>
        <w:rPr>
          <w:b/>
          <w:bCs/>
        </w:rPr>
        <w:t xml:space="preserve">pilot structured archive</w:t>
      </w:r>
      <w:r>
        <w:t xml:space="preserve">, not a final or comprehensive corpus. It prioritises a small, coherent, auditable set of encounter events over nominal scale.</w:t>
      </w:r>
    </w:p>
    <w:bookmarkEnd w:id="27"/>
    <w:bookmarkStart w:id="32" w:name="eligibility-and-ontology"/>
    <w:p>
      <w:pPr>
        <w:pStyle w:val="Heading2"/>
      </w:pPr>
      <w:r>
        <w:t xml:space="preserve">Eligibility and ontology</w:t>
      </w:r>
    </w:p>
    <w:p>
      <w:pPr>
        <w:pStyle w:val="FirstParagraph"/>
      </w:pPr>
      <w:r>
        <w:rPr>
          <w:b/>
          <w:bCs/>
        </w:rPr>
        <w:t xml:space="preserve">4. Operational definition of an eligible encounter</w:t>
      </w:r>
    </w:p>
    <w:p>
      <w:pPr>
        <w:pStyle w:val="BodyText"/>
      </w:pPr>
      <w:r>
        <w:t xml:space="preserve">An eligible v1 encounter is a</w:t>
      </w:r>
      <w:r>
        <w:t xml:space="preserve"> </w:t>
      </w:r>
      <w:r>
        <w:rPr>
          <w:b/>
          <w:bCs/>
        </w:rPr>
        <w:t xml:space="preserve">specific alleged occurrence</w:t>
      </w:r>
      <w:r>
        <w:t xml:space="preserve"> </w:t>
      </w:r>
      <w:r>
        <w:t xml:space="preserve">in the Australian study area, described in a</w:t>
      </w:r>
      <w:r>
        <w:t xml:space="preserve"> </w:t>
      </w:r>
      <w:r>
        <w:rPr>
          <w:b/>
          <w:bCs/>
        </w:rPr>
        <w:t xml:space="preserve">traceable public source</w:t>
      </w:r>
      <w:r>
        <w:t xml:space="preserve">, in which the source presents a</w:t>
      </w:r>
      <w:r>
        <w:t xml:space="preserve"> </w:t>
      </w:r>
      <w:r>
        <w:rPr>
          <w:b/>
          <w:bCs/>
        </w:rPr>
        <w:t xml:space="preserve">humanoid figure</w:t>
      </w:r>
      <w:r>
        <w:t xml:space="preserve"> </w:t>
      </w:r>
      <w:r>
        <w:t xml:space="preserve">as non-ordinary, unknown, supernatural, cryptid-like, or otherwise anomalous. The archive records the</w:t>
      </w:r>
      <w:r>
        <w:t xml:space="preserve"> </w:t>
      </w:r>
      <w:r>
        <w:rPr>
          <w:b/>
          <w:bCs/>
        </w:rPr>
        <w:t xml:space="preserve">report and its mediation</w:t>
      </w:r>
      <w:r>
        <w:t xml:space="preserve">, not the truth of the claim.</w:t>
      </w:r>
    </w:p>
    <w:p>
      <w:pPr>
        <w:pStyle w:val="BodyText"/>
      </w:pPr>
      <w:r>
        <w:t xml:space="preserve">The project should distinguish four different things that are often collapsed: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What can be assessed</w:t>
            </w:r>
          </w:p>
        </w:tc>
        <w:tc>
          <w:tcPr/>
          <w:p>
            <w:pPr>
              <w:pStyle w:val="Compact"/>
            </w:pPr>
            <w:r>
              <w:t xml:space="preserve">Meaning</w:t>
            </w:r>
          </w:p>
        </w:tc>
        <w:tc>
          <w:tcPr/>
          <w:p>
            <w:pPr>
              <w:pStyle w:val="Compact"/>
            </w:pPr>
            <w:r>
              <w:t xml:space="preserve">Can it sometimes be verified?</w:t>
            </w:r>
          </w:p>
        </w:tc>
      </w:tr>
      <w:tr>
        <w:tc>
          <w:tcPr/>
          <w:p>
            <w:pPr>
              <w:pStyle w:val="Compact"/>
            </w:pPr>
            <w:r>
              <w:rPr>
                <w:b/>
                <w:bCs/>
              </w:rPr>
              <w:t xml:space="preserve">Source verification</w:t>
            </w:r>
          </w:p>
        </w:tc>
        <w:tc>
          <w:tcPr/>
          <w:p>
            <w:pPr>
              <w:pStyle w:val="Compact"/>
            </w:pPr>
            <w:r>
              <w:t xml:space="preserve">A source item exists and can be inspected</w:t>
            </w:r>
          </w:p>
        </w:tc>
        <w:tc>
          <w:tcPr/>
          <w:p>
            <w:pPr>
              <w:pStyle w:val="Compact"/>
            </w:pPr>
            <w:r>
              <w:t xml:space="preserve">Yes</w:t>
            </w:r>
          </w:p>
        </w:tc>
      </w:tr>
      <w:tr>
        <w:tc>
          <w:tcPr/>
          <w:p>
            <w:pPr>
              <w:pStyle w:val="Compact"/>
            </w:pPr>
            <w:r>
              <w:rPr>
                <w:b/>
                <w:bCs/>
              </w:rPr>
              <w:t xml:space="preserve">Publication verification</w:t>
            </w:r>
          </w:p>
        </w:tc>
        <w:tc>
          <w:tcPr/>
          <w:p>
            <w:pPr>
              <w:pStyle w:val="Compact"/>
            </w:pPr>
            <w:r>
              <w:t xml:space="preserve">A report was published, issued, catalogued, or publicly posted</w:t>
            </w:r>
          </w:p>
        </w:tc>
        <w:tc>
          <w:tcPr/>
          <w:p>
            <w:pPr>
              <w:pStyle w:val="Compact"/>
            </w:pPr>
            <w:r>
              <w:t xml:space="preserve">Yes</w:t>
            </w:r>
          </w:p>
        </w:tc>
      </w:tr>
      <w:tr>
        <w:tc>
          <w:tcPr/>
          <w:p>
            <w:pPr>
              <w:pStyle w:val="Compact"/>
            </w:pPr>
            <w:r>
              <w:rPr>
                <w:b/>
                <w:bCs/>
              </w:rPr>
              <w:t xml:space="preserve">Event-location verification</w:t>
            </w:r>
          </w:p>
        </w:tc>
        <w:tc>
          <w:tcPr/>
          <w:p>
            <w:pPr>
              <w:pStyle w:val="Compact"/>
            </w:pPr>
            <w:r>
              <w:t xml:space="preserve">A stated location can be confirmed as a real place or administrative area</w:t>
            </w:r>
          </w:p>
        </w:tc>
        <w:tc>
          <w:tcPr/>
          <w:p>
            <w:pPr>
              <w:pStyle w:val="Compact"/>
            </w:pPr>
            <w:r>
              <w:t xml:space="preserve">Sometimes</w:t>
            </w:r>
          </w:p>
        </w:tc>
      </w:tr>
      <w:tr>
        <w:tc>
          <w:tcPr/>
          <w:p>
            <w:pPr>
              <w:pStyle w:val="Compact"/>
            </w:pPr>
            <w:r>
              <w:rPr>
                <w:b/>
                <w:bCs/>
              </w:rPr>
              <w:t xml:space="preserve">Underlying supernatural claim verification</w:t>
            </w:r>
          </w:p>
        </w:tc>
        <w:tc>
          <w:tcPr/>
          <w:p>
            <w:pPr>
              <w:pStyle w:val="Compact"/>
            </w:pPr>
            <w:r>
              <w:t xml:space="preserve">The entity or event actually happened as described</w:t>
            </w:r>
          </w:p>
        </w:tc>
        <w:tc>
          <w:tcPr/>
          <w:p>
            <w:pPr>
              <w:pStyle w:val="Compact"/>
            </w:pPr>
            <w:r>
              <w:rPr>
                <w:b/>
                <w:bCs/>
              </w:rPr>
              <w:t xml:space="preserve">No; remain unverified</w:t>
            </w:r>
          </w:p>
        </w:tc>
      </w:tr>
    </w:tbl>
    <w:p>
      <w:pPr>
        <w:pStyle w:val="BodyText"/>
      </w:pPr>
      <w:r>
        <w:t xml:space="preserve">That distinction is essential. Trove can verify that a nineteenth-century newspaper article exists and says what it says; it cannot verify that the “hairy man” it reported truly existed. Likewise, a stable AYR page can verify that AYR publicly published a witness narrative; it cannot verify the underlying encounter.</w:t>
      </w:r>
      <w:r>
        <w:t xml:space="preserve"> </w:t>
      </w:r>
      <w:hyperlink r:id="rId28">
        <w:r>
          <w:rPr>
            <w:rStyle w:val="Hyperlink"/>
          </w:rPr>
          <w:t xml:space="preserve">[8]</w:t>
        </w:r>
      </w:hyperlink>
    </w:p>
    <w:p>
      <w:pPr>
        <w:pStyle w:val="BodyText"/>
      </w:pPr>
      <w:r>
        <w:rPr>
          <w:b/>
          <w:bCs/>
        </w:rPr>
        <w:t xml:space="preserve">Minimum required v1 encounter fields</w:t>
      </w:r>
    </w:p>
    <w:p>
      <w:pPr>
        <w:pStyle w:val="BodyText"/>
      </w:pPr>
      <w:r>
        <w:t xml:space="preserve">An event should not enter the core unless it has, at minimum:</w:t>
      </w:r>
    </w:p>
    <w:p>
      <w:pPr>
        <w:pStyle w:val="Compact"/>
        <w:numPr>
          <w:ilvl w:val="0"/>
          <w:numId w:val="1001"/>
        </w:numPr>
      </w:pPr>
      <w:r>
        <w:rPr>
          <w:rStyle w:val="VerbatimChar"/>
        </w:rPr>
        <w:t xml:space="preserve">encounter_id</w:t>
      </w:r>
    </w:p>
    <w:p>
      <w:pPr>
        <w:pStyle w:val="Compact"/>
        <w:numPr>
          <w:ilvl w:val="0"/>
          <w:numId w:val="1001"/>
        </w:numPr>
      </w:pPr>
      <w:r>
        <w:rPr>
          <w:rStyle w:val="VerbatimChar"/>
        </w:rPr>
        <w:t xml:space="preserve">eligibility_status</w:t>
      </w:r>
    </w:p>
    <w:p>
      <w:pPr>
        <w:pStyle w:val="Compact"/>
        <w:numPr>
          <w:ilvl w:val="0"/>
          <w:numId w:val="1001"/>
        </w:numPr>
      </w:pPr>
      <w:r>
        <w:rPr>
          <w:rStyle w:val="VerbatimChar"/>
        </w:rPr>
        <w:t xml:space="preserve">event_summary</w:t>
      </w:r>
    </w:p>
    <w:p>
      <w:pPr>
        <w:pStyle w:val="Compact"/>
        <w:numPr>
          <w:ilvl w:val="0"/>
          <w:numId w:val="1001"/>
        </w:numPr>
      </w:pPr>
      <w:r>
        <w:rPr>
          <w:rStyle w:val="VerbatimChar"/>
        </w:rPr>
        <w:t xml:space="preserve">event_date_start</w:t>
      </w:r>
      <w:r>
        <w:t xml:space="preserve"> </w:t>
      </w:r>
      <w:r>
        <w:t xml:space="preserve">or</w:t>
      </w:r>
      <w:r>
        <w:t xml:space="preserve"> </w:t>
      </w:r>
      <w:r>
        <w:rPr>
          <w:rStyle w:val="VerbatimChar"/>
        </w:rPr>
        <w:t xml:space="preserve">event_date_note</w:t>
      </w:r>
    </w:p>
    <w:p>
      <w:pPr>
        <w:pStyle w:val="Compact"/>
        <w:numPr>
          <w:ilvl w:val="0"/>
          <w:numId w:val="1001"/>
        </w:numPr>
      </w:pPr>
      <w:r>
        <w:rPr>
          <w:rStyle w:val="VerbatimChar"/>
        </w:rPr>
        <w:t xml:space="preserve">event_date_precision</w:t>
      </w:r>
    </w:p>
    <w:p>
      <w:pPr>
        <w:pStyle w:val="Compact"/>
        <w:numPr>
          <w:ilvl w:val="0"/>
          <w:numId w:val="1001"/>
        </w:numPr>
      </w:pPr>
      <w:r>
        <w:rPr>
          <w:rStyle w:val="VerbatimChar"/>
        </w:rPr>
        <w:t xml:space="preserve">encounter_location_text</w:t>
      </w:r>
    </w:p>
    <w:p>
      <w:pPr>
        <w:pStyle w:val="Compact"/>
        <w:numPr>
          <w:ilvl w:val="0"/>
          <w:numId w:val="1001"/>
        </w:numPr>
      </w:pPr>
      <w:r>
        <w:rPr>
          <w:rStyle w:val="VerbatimChar"/>
        </w:rPr>
        <w:t xml:space="preserve">jurisdiction</w:t>
      </w:r>
    </w:p>
    <w:p>
      <w:pPr>
        <w:pStyle w:val="Compact"/>
        <w:numPr>
          <w:ilvl w:val="0"/>
          <w:numId w:val="1001"/>
        </w:numPr>
      </w:pPr>
      <w:r>
        <w:rPr>
          <w:rStyle w:val="VerbatimChar"/>
        </w:rPr>
        <w:t xml:space="preserve">location_precision</w:t>
      </w:r>
    </w:p>
    <w:p>
      <w:pPr>
        <w:pStyle w:val="Compact"/>
        <w:numPr>
          <w:ilvl w:val="0"/>
          <w:numId w:val="1001"/>
        </w:numPr>
      </w:pPr>
      <w:r>
        <w:rPr>
          <w:rStyle w:val="VerbatimChar"/>
        </w:rPr>
        <w:t xml:space="preserve">humanoid_morphology_excerpt</w:t>
      </w:r>
    </w:p>
    <w:p>
      <w:pPr>
        <w:pStyle w:val="Compact"/>
        <w:numPr>
          <w:ilvl w:val="0"/>
          <w:numId w:val="1001"/>
        </w:numPr>
      </w:pPr>
      <w:r>
        <w:rPr>
          <w:rStyle w:val="VerbatimChar"/>
        </w:rPr>
        <w:t xml:space="preserve">anomaly_excerpt</w:t>
      </w:r>
    </w:p>
    <w:p>
      <w:pPr>
        <w:pStyle w:val="Compact"/>
        <w:numPr>
          <w:ilvl w:val="0"/>
          <w:numId w:val="1001"/>
        </w:numPr>
      </w:pPr>
      <w:r>
        <w:t xml:space="preserve">at least one linked</w:t>
      </w:r>
      <w:r>
        <w:t xml:space="preserve"> </w:t>
      </w:r>
      <w:r>
        <w:rPr>
          <w:rStyle w:val="VerbatimChar"/>
        </w:rPr>
        <w:t xml:space="preserve">source_item_id</w:t>
      </w:r>
    </w:p>
    <w:p>
      <w:pPr>
        <w:pStyle w:val="Compact"/>
        <w:numPr>
          <w:ilvl w:val="0"/>
          <w:numId w:val="1001"/>
        </w:numPr>
      </w:pPr>
      <w:r>
        <w:rPr>
          <w:rStyle w:val="VerbatimChar"/>
        </w:rPr>
        <w:t xml:space="preserve">source_traceability_status</w:t>
      </w:r>
    </w:p>
    <w:p>
      <w:pPr>
        <w:pStyle w:val="Compact"/>
        <w:numPr>
          <w:ilvl w:val="0"/>
          <w:numId w:val="1001"/>
        </w:numPr>
      </w:pPr>
      <w:r>
        <w:rPr>
          <w:rStyle w:val="VerbatimChar"/>
        </w:rPr>
        <w:t xml:space="preserve">review_status</w:t>
      </w:r>
    </w:p>
    <w:p>
      <w:pPr>
        <w:pStyle w:val="FirstParagraph"/>
      </w:pPr>
      <w:r>
        <w:t xml:space="preserve">Each linked source item should minimally have:</w:t>
      </w:r>
    </w:p>
    <w:p>
      <w:pPr>
        <w:pStyle w:val="Compact"/>
        <w:numPr>
          <w:ilvl w:val="0"/>
          <w:numId w:val="1002"/>
        </w:numPr>
      </w:pPr>
      <w:r>
        <w:rPr>
          <w:rStyle w:val="VerbatimChar"/>
        </w:rPr>
        <w:t xml:space="preserve">source_item_id</w:t>
      </w:r>
    </w:p>
    <w:p>
      <w:pPr>
        <w:pStyle w:val="Compact"/>
        <w:numPr>
          <w:ilvl w:val="0"/>
          <w:numId w:val="1002"/>
        </w:numPr>
      </w:pPr>
      <w:r>
        <w:rPr>
          <w:rStyle w:val="VerbatimChar"/>
        </w:rPr>
        <w:t xml:space="preserve">title</w:t>
      </w:r>
    </w:p>
    <w:p>
      <w:pPr>
        <w:pStyle w:val="Compact"/>
        <w:numPr>
          <w:ilvl w:val="0"/>
          <w:numId w:val="1002"/>
        </w:numPr>
      </w:pPr>
      <w:r>
        <w:rPr>
          <w:rStyle w:val="VerbatimChar"/>
        </w:rPr>
        <w:t xml:space="preserve">source_organisation_or_publication</w:t>
      </w:r>
    </w:p>
    <w:p>
      <w:pPr>
        <w:pStyle w:val="Compact"/>
        <w:numPr>
          <w:ilvl w:val="0"/>
          <w:numId w:val="1002"/>
        </w:numPr>
      </w:pPr>
      <w:r>
        <w:rPr>
          <w:rStyle w:val="VerbatimChar"/>
        </w:rPr>
        <w:t xml:space="preserve">publication_or_access_date</w:t>
      </w:r>
    </w:p>
    <w:p>
      <w:pPr>
        <w:pStyle w:val="Compact"/>
        <w:numPr>
          <w:ilvl w:val="0"/>
          <w:numId w:val="1002"/>
        </w:numPr>
      </w:pPr>
      <w:r>
        <w:rPr>
          <w:rStyle w:val="VerbatimChar"/>
        </w:rPr>
        <w:t xml:space="preserve">url_or_identifier</w:t>
      </w:r>
    </w:p>
    <w:p>
      <w:pPr>
        <w:pStyle w:val="Compact"/>
        <w:numPr>
          <w:ilvl w:val="0"/>
          <w:numId w:val="1002"/>
        </w:numPr>
      </w:pPr>
      <w:r>
        <w:rPr>
          <w:rStyle w:val="VerbatimChar"/>
        </w:rPr>
        <w:t xml:space="preserve">source_type</w:t>
      </w:r>
    </w:p>
    <w:p>
      <w:pPr>
        <w:pStyle w:val="Compact"/>
        <w:numPr>
          <w:ilvl w:val="0"/>
          <w:numId w:val="1002"/>
        </w:numPr>
      </w:pPr>
      <w:r>
        <w:rPr>
          <w:rStyle w:val="VerbatimChar"/>
        </w:rPr>
        <w:t xml:space="preserve">publicness</w:t>
      </w:r>
    </w:p>
    <w:p>
      <w:pPr>
        <w:pStyle w:val="Compact"/>
        <w:numPr>
          <w:ilvl w:val="0"/>
          <w:numId w:val="1002"/>
        </w:numPr>
      </w:pPr>
      <w:r>
        <w:rPr>
          <w:rStyle w:val="VerbatimChar"/>
        </w:rPr>
        <w:t xml:space="preserve">excerpt_or_transcription_note</w:t>
      </w:r>
    </w:p>
    <w:p>
      <w:pPr>
        <w:pStyle w:val="Compact"/>
        <w:numPr>
          <w:ilvl w:val="0"/>
          <w:numId w:val="1002"/>
        </w:numPr>
      </w:pPr>
      <w:r>
        <w:rPr>
          <w:rStyle w:val="VerbatimChar"/>
        </w:rPr>
        <w:t xml:space="preserve">rights_or_access_note</w:t>
      </w:r>
    </w:p>
    <w:p>
      <w:pPr>
        <w:pStyle w:val="Compact"/>
        <w:numPr>
          <w:ilvl w:val="0"/>
          <w:numId w:val="1002"/>
        </w:numPr>
      </w:pPr>
      <w:r>
        <w:rPr>
          <w:rStyle w:val="VerbatimChar"/>
        </w:rPr>
        <w:t xml:space="preserve">archive_access_date</w:t>
      </w:r>
    </w:p>
    <w:p>
      <w:pPr>
        <w:pStyle w:val="FirstParagraph"/>
      </w:pPr>
      <w:r>
        <w:rPr>
          <w:b/>
          <w:bCs/>
        </w:rPr>
        <w:t xml:space="preserve">5. Inclusion decision tree</w:t>
      </w:r>
    </w:p>
    <w:p>
      <w:pPr>
        <w:pStyle w:val="BodyText"/>
      </w:pPr>
      <w:r>
        <w:t xml:space="preserve">A record should enter the</w:t>
      </w:r>
      <w:r>
        <w:t xml:space="preserve"> </w:t>
      </w:r>
      <w:r>
        <w:rPr>
          <w:b/>
          <w:bCs/>
        </w:rPr>
        <w:t xml:space="preserve">Core Encounter Corpus</w:t>
      </w:r>
      <w:r>
        <w:t xml:space="preserve"> </w:t>
      </w:r>
      <w:r>
        <w:t xml:space="preserve">only if it passes all of the following gates:</w:t>
      </w:r>
    </w:p>
    <w:p>
      <w:pPr>
        <w:pStyle w:val="BodyText"/>
      </w:pPr>
      <w:r>
        <w:rPr>
          <w:b/>
          <w:bCs/>
        </w:rPr>
        <w:t xml:space="preserve">Event gate.</w:t>
      </w:r>
      <w:r>
        <w:t xml:space="preserve"> </w:t>
      </w:r>
      <w:r>
        <w:t xml:space="preserve">The source must describe a bounded occurrence: an observation, encounter, pursuit, trace tied to a particular incident, or another delimited event. General statements such as “people say this being lives here” fail this gate. The Trove 1876 Milburn Creek article passes because it narrates specific observations by named or partially named local witnesses at a defined place and time; a Wikipedia page on Wandjina does not.</w:t>
      </w:r>
      <w:r>
        <w:t xml:space="preserve"> </w:t>
      </w:r>
      <w:hyperlink r:id="rId28">
        <w:r>
          <w:rPr>
            <w:rStyle w:val="Hyperlink"/>
          </w:rPr>
          <w:t xml:space="preserve">[9]</w:t>
        </w:r>
      </w:hyperlink>
    </w:p>
    <w:p>
      <w:pPr>
        <w:pStyle w:val="BodyText"/>
      </w:pPr>
      <w:r>
        <w:rPr>
          <w:b/>
          <w:bCs/>
        </w:rPr>
        <w:t xml:space="preserve">Geography gate.</w:t>
      </w:r>
      <w:r>
        <w:t xml:space="preserve"> </w:t>
      </w:r>
      <w:r>
        <w:t xml:space="preserve">The alleged event location, not merely the publication location, must be within the study area. V1 should include mainland Australia, Tasmania, ACT, Northern Territory, and internal territories. Offshore islands and coastal waters can be included only when the source clearly places the event within Australian territory and the morphology gate is still satisfied. External territories should be deferred to extension modules. A Sydney-linked 1831 AYR row that actually narrates an event in</w:t>
      </w:r>
      <w:r>
        <w:t xml:space="preserve"> </w:t>
      </w:r>
      <w:r>
        <w:rPr>
          <w:b/>
          <w:bCs/>
        </w:rPr>
        <w:t xml:space="preserve">Dusky Sound, New Zealand</w:t>
      </w:r>
      <w:r>
        <w:t xml:space="preserve"> </w:t>
      </w:r>
      <w:r>
        <w:t xml:space="preserve">fails the geography gate for v1.</w:t>
      </w:r>
      <w:r>
        <w:t xml:space="preserve"> </w:t>
      </w:r>
      <w:hyperlink r:id="rId23">
        <w:r>
          <w:rPr>
            <w:rStyle w:val="Hyperlink"/>
          </w:rPr>
          <w:t xml:space="preserve">[10]</w:t>
        </w:r>
      </w:hyperlink>
    </w:p>
    <w:p>
      <w:pPr>
        <w:pStyle w:val="BodyText"/>
      </w:pPr>
      <w:r>
        <w:rPr>
          <w:b/>
          <w:bCs/>
        </w:rPr>
        <w:t xml:space="preserve">Humanoid morphology gate.</w:t>
      </w:r>
      <w:r>
        <w:t xml:space="preserve"> </w:t>
      </w:r>
      <w:r>
        <w:t xml:space="preserve">The source must explicitly describe a human-like body plan: upright, bipedal, man-like, woman-like, person-like, giant human form, hairy human-like figure, or similar morphology. Humanoid</w:t>
      </w:r>
      <w:r>
        <w:t xml:space="preserve"> </w:t>
      </w:r>
      <w:r>
        <w:rPr>
          <w:b/>
          <w:bCs/>
        </w:rPr>
        <w:t xml:space="preserve">silhouette and body plan</w:t>
      </w:r>
      <w:r>
        <w:t xml:space="preserve"> </w:t>
      </w:r>
      <w:r>
        <w:t xml:space="preserve">matter more than folkloric personhood. The 1912 Bombala article passes because it describes “an enormous creature resembling a man covered with long hair.” Footprints or sounds alone do not pass this gate unless linked in the same source to a described humanoid.</w:t>
      </w:r>
      <w:r>
        <w:t xml:space="preserve"> </w:t>
      </w:r>
      <w:hyperlink r:id="rId29">
        <w:r>
          <w:rPr>
            <w:rStyle w:val="Hyperlink"/>
          </w:rPr>
          <w:t xml:space="preserve">[11]</w:t>
        </w:r>
      </w:hyperlink>
    </w:p>
    <w:p>
      <w:pPr>
        <w:pStyle w:val="BodyText"/>
      </w:pPr>
      <w:r>
        <w:rPr>
          <w:b/>
          <w:bCs/>
        </w:rPr>
        <w:t xml:space="preserve">Anomaly gate.</w:t>
      </w:r>
      <w:r>
        <w:t xml:space="preserve"> </w:t>
      </w:r>
      <w:r>
        <w:t xml:space="preserve">The source must present the figure as not simply an ordinary person. A merely unidentified human does not qualify unless the source adds non-ordinary morphology, behaviour, or framing. The 1876 Milburn Creek article passes because it repeatedly frames the figure as “inhuman,” “unearthly,” and unlike an ordinary human, while still describing a man-like form.</w:t>
      </w:r>
      <w:r>
        <w:t xml:space="preserve"> </w:t>
      </w:r>
      <w:hyperlink r:id="rId28">
        <w:r>
          <w:rPr>
            <w:rStyle w:val="Hyperlink"/>
          </w:rPr>
          <w:t xml:space="preserve">[12]</w:t>
        </w:r>
      </w:hyperlink>
    </w:p>
    <w:p>
      <w:pPr>
        <w:pStyle w:val="BodyText"/>
      </w:pPr>
      <w:r>
        <w:rPr>
          <w:b/>
          <w:bCs/>
        </w:rPr>
        <w:t xml:space="preserve">Provenance gate.</w:t>
      </w:r>
      <w:r>
        <w:t xml:space="preserve"> </w:t>
      </w:r>
      <w:r>
        <w:t xml:space="preserve">The report must have a traceable public source or stable public identifier. Search-result snippets, unattributed retellings, isolated titles, or inaccessible claims do not qualify as core records. AIATSIS’s collections guidance and access policies also make clear that public metadata is a discovery aid, not a free pass for extraction or reproduction.</w:t>
      </w:r>
      <w:r>
        <w:t xml:space="preserve"> </w:t>
      </w:r>
      <w:hyperlink r:id="rId30">
        <w:r>
          <w:rPr>
            <w:rStyle w:val="Hyperlink"/>
          </w:rPr>
          <w:t xml:space="preserve">[13]</w:t>
        </w:r>
      </w:hyperlink>
    </w:p>
    <w:p>
      <w:pPr>
        <w:pStyle w:val="BodyText"/>
      </w:pPr>
      <w:r>
        <w:rPr>
          <w:b/>
          <w:bCs/>
        </w:rPr>
        <w:t xml:space="preserve">Evidence gate.</w:t>
      </w:r>
      <w:r>
        <w:t xml:space="preserve"> </w:t>
      </w:r>
      <w:r>
        <w:t xml:space="preserve">The accessible source must contain enough text or metadata to demonstrate why the record qualifies. A title alone is normally insufficient. Trove article text and fuller AYR witness pages often pass this gate; sparse catalogue records generally do not. Trove’s OCR is also user-correctable, which means the archive should preserve both transcription status and OCR caution.</w:t>
      </w:r>
      <w:r>
        <w:t xml:space="preserve"> </w:t>
      </w:r>
      <w:hyperlink r:id="rId31">
        <w:r>
          <w:rPr>
            <w:rStyle w:val="Hyperlink"/>
          </w:rPr>
          <w:t xml:space="preserve">[14]</w:t>
        </w:r>
      </w:hyperlink>
    </w:p>
    <w:p>
      <w:pPr>
        <w:pStyle w:val="BodyText"/>
      </w:pPr>
      <w:r>
        <w:rPr>
          <w:b/>
          <w:bCs/>
        </w:rPr>
        <w:t xml:space="preserve">Ethics gate.</w:t>
      </w:r>
      <w:r>
        <w:t xml:space="preserve"> </w:t>
      </w:r>
      <w:r>
        <w:t xml:space="preserve">Public accessibility is necessary but not sufficient. Material that is culturally restricted, secret/sacred, community-controlled, or otherwise sensitive should not be ingested into a public encounter corpus merely because it is discoverable. AIATSIS and the National Museum of Australia both explicitly distinguish public discoverability from unrestricted reuse, display, or research freedom.</w:t>
      </w:r>
      <w:r>
        <w:t xml:space="preserve"> </w:t>
      </w:r>
      <w:hyperlink r:id="rId26">
        <w:r>
          <w:rPr>
            <w:rStyle w:val="Hyperlink"/>
          </w:rPr>
          <w:t xml:space="preserve">[7]</w:t>
        </w:r>
      </w:hyperlink>
    </w:p>
    <w:p>
      <w:pPr>
        <w:pStyle w:val="BodyText"/>
      </w:pPr>
      <w:r>
        <w:rPr>
          <w:b/>
          <w:bCs/>
        </w:rPr>
        <w:t xml:space="preserve">6. Exclusion and boundary rules</w:t>
      </w:r>
    </w:p>
    <w:p>
      <w:pPr>
        <w:pStyle w:val="BodyText"/>
      </w:pPr>
      <w:r>
        <w:t xml:space="preserve">The recommended treatment of major exclusion classes: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Material type</w:t>
            </w:r>
          </w:p>
        </w:tc>
        <w:tc>
          <w:tcPr/>
          <w:p>
            <w:pPr>
              <w:pStyle w:val="Compact"/>
              <w:jc w:val="right"/>
            </w:pPr>
            <w:r>
              <w:t xml:space="preserve">Core encounter corpus</w:t>
            </w:r>
          </w:p>
        </w:tc>
        <w:tc>
          <w:tcPr/>
          <w:p>
            <w:pPr>
              <w:pStyle w:val="Compact"/>
              <w:jc w:val="right"/>
            </w:pPr>
            <w:r>
              <w:t xml:space="preserve">Context corpus</w:t>
            </w:r>
          </w:p>
        </w:tc>
        <w:tc>
          <w:tcPr/>
          <w:p>
            <w:pPr>
              <w:pStyle w:val="Compact"/>
              <w:jc w:val="right"/>
            </w:pPr>
            <w:r>
              <w:t xml:space="preserve">Extension module</w:t>
            </w:r>
          </w:p>
        </w:tc>
        <w:tc>
          <w:tcPr/>
          <w:p>
            <w:pPr>
              <w:pStyle w:val="Compact"/>
            </w:pPr>
            <w:r>
              <w:t xml:space="preserve">Primary reason</w:t>
            </w:r>
          </w:p>
        </w:tc>
      </w:tr>
      <w:tr>
        <w:tc>
          <w:tcPr/>
          <w:p>
            <w:pPr>
              <w:pStyle w:val="Compact"/>
            </w:pPr>
            <w:r>
              <w:t xml:space="preserve">General folklore descriptions without a specific event</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Possible</w:t>
            </w:r>
          </w:p>
        </w:tc>
        <w:tc>
          <w:tcPr/>
          <w:p>
            <w:pPr>
              <w:pStyle w:val="Compact"/>
            </w:pPr>
            <w:r>
              <w:t xml:space="preserve">Absence of an event</w:t>
            </w:r>
          </w:p>
        </w:tc>
      </w:tr>
      <w:tr>
        <w:tc>
          <w:tcPr/>
          <w:p>
            <w:pPr>
              <w:pStyle w:val="Compact"/>
            </w:pPr>
            <w:r>
              <w:t xml:space="preserve">Named ancestral beings and cosmological beings</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Possible with community-safe protocols</w:t>
            </w:r>
          </w:p>
        </w:tc>
        <w:tc>
          <w:tcPr/>
          <w:p>
            <w:pPr>
              <w:pStyle w:val="Compact"/>
            </w:pPr>
            <w:r>
              <w:t xml:space="preserve">Ontology mismatch; ethical sensitivity</w:t>
            </w:r>
          </w:p>
        </w:tc>
      </w:tr>
      <w:tr>
        <w:tc>
          <w:tcPr/>
          <w:p>
            <w:pPr>
              <w:pStyle w:val="Compact"/>
            </w:pPr>
            <w:r>
              <w:t xml:space="preserve">Beings known mainly through rock art or ceremony</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Possible with strict ethics</w:t>
            </w:r>
          </w:p>
        </w:tc>
        <w:tc>
          <w:tcPr/>
          <w:p>
            <w:pPr>
              <w:pStyle w:val="Compact"/>
            </w:pPr>
            <w:r>
              <w:t xml:space="preserve">Ontology mismatch; ethical sensitivity</w:t>
            </w:r>
          </w:p>
        </w:tc>
      </w:tr>
      <w:tr>
        <w:tc>
          <w:tcPr/>
          <w:p>
            <w:pPr>
              <w:pStyle w:val="Compact"/>
            </w:pPr>
            <w:r>
              <w:t xml:space="preserve">Indigenous cultural figures with no public event account</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Possible</w:t>
            </w:r>
          </w:p>
        </w:tc>
        <w:tc>
          <w:tcPr/>
          <w:p>
            <w:pPr>
              <w:pStyle w:val="Compact"/>
            </w:pPr>
            <w:r>
              <w:t xml:space="preserve">Absence of an event; ethical sensitivity</w:t>
            </w:r>
          </w:p>
        </w:tc>
      </w:tr>
      <w:tr>
        <w:tc>
          <w:tcPr/>
          <w:p>
            <w:pPr>
              <w:pStyle w:val="Compact"/>
            </w:pPr>
            <w:r>
              <w:t xml:space="preserve">Ordinary ghosts of identifiable deceased people</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Separate apparition module only</w:t>
            </w:r>
          </w:p>
        </w:tc>
        <w:tc>
          <w:tcPr/>
          <w:p>
            <w:pPr>
              <w:pStyle w:val="Compact"/>
            </w:pPr>
            <w:r>
              <w:t xml:space="preserve">Ontology mismatch</w:t>
            </w:r>
          </w:p>
        </w:tc>
      </w:tr>
      <w:tr>
        <w:tc>
          <w:tcPr/>
          <w:p>
            <w:pPr>
              <w:pStyle w:val="Compact"/>
            </w:pPr>
            <w:r>
              <w:t xml:space="preserve">Haunted-house reports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Separate haunting module only</w:t>
            </w:r>
          </w:p>
        </w:tc>
        <w:tc>
          <w:tcPr/>
          <w:p>
            <w:pPr>
              <w:pStyle w:val="Compact"/>
            </w:pPr>
            <w:r>
              <w:t xml:space="preserve">Ontology mismatch</w:t>
            </w:r>
          </w:p>
        </w:tc>
      </w:tr>
      <w:tr>
        <w:tc>
          <w:tcPr/>
          <w:p>
            <w:pPr>
              <w:pStyle w:val="Compact"/>
            </w:pPr>
            <w:r>
              <w:t xml:space="preserve">Religious apparitions, angels, demons, saints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Separate apparition module only</w:t>
            </w:r>
          </w:p>
        </w:tc>
        <w:tc>
          <w:tcPr/>
          <w:p>
            <w:pPr>
              <w:pStyle w:val="Compact"/>
            </w:pPr>
            <w:r>
              <w:t xml:space="preserve">Ontology mismatch</w:t>
            </w:r>
          </w:p>
        </w:tc>
      </w:tr>
      <w:tr>
        <w:tc>
          <w:tcPr/>
          <w:p>
            <w:pPr>
              <w:pStyle w:val="Compact"/>
            </w:pPr>
            <w:r>
              <w:t xml:space="preserve">UFO occupants / alien humanoids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Separate UFO-humanoid module only</w:t>
            </w:r>
          </w:p>
        </w:tc>
        <w:tc>
          <w:tcPr/>
          <w:p>
            <w:pPr>
              <w:pStyle w:val="Compact"/>
            </w:pPr>
            <w:r>
              <w:t xml:space="preserve">Ontology mismatch</w:t>
            </w:r>
          </w:p>
        </w:tc>
      </w:tr>
      <w:tr>
        <w:tc>
          <w:tcPr/>
          <w:p>
            <w:pPr>
              <w:pStyle w:val="Compact"/>
            </w:pPr>
            <w:r>
              <w:t xml:space="preserve">Sleep paralysis figures, dreams, visions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Separate experience module only</w:t>
            </w:r>
          </w:p>
        </w:tc>
        <w:tc>
          <w:tcPr/>
          <w:p>
            <w:pPr>
              <w:pStyle w:val="Compact"/>
            </w:pPr>
            <w:r>
              <w:t xml:space="preserve">Event-type mismatch</w:t>
            </w:r>
          </w:p>
        </w:tc>
      </w:tr>
      <w:tr>
        <w:tc>
          <w:tcPr/>
          <w:p>
            <w:pPr>
              <w:pStyle w:val="Compact"/>
            </w:pPr>
            <w:r>
              <w:t xml:space="preserve">Fiction, film, games, creepypasta</w:t>
            </w:r>
          </w:p>
        </w:tc>
        <w:tc>
          <w:tcPr/>
          <w:p>
            <w:pPr>
              <w:pStyle w:val="Compact"/>
              <w:jc w:val="right"/>
            </w:pPr>
            <w:r>
              <w:t xml:space="preserve">No</w:t>
            </w:r>
          </w:p>
        </w:tc>
        <w:tc>
          <w:tcPr/>
          <w:p>
            <w:pPr>
              <w:pStyle w:val="Compact"/>
              <w:jc w:val="right"/>
            </w:pPr>
            <w:r>
              <w:t xml:space="preserve">Yes if relevant to discourse</w:t>
            </w:r>
          </w:p>
        </w:tc>
        <w:tc>
          <w:tcPr/>
          <w:p>
            <w:pPr>
              <w:pStyle w:val="Compact"/>
              <w:jc w:val="right"/>
            </w:pPr>
            <w:r>
              <w:t xml:space="preserve">Yes</w:t>
            </w:r>
          </w:p>
        </w:tc>
        <w:tc>
          <w:tcPr/>
          <w:p>
            <w:pPr>
              <w:pStyle w:val="Compact"/>
            </w:pPr>
            <w:r>
              <w:t xml:space="preserve">Fictional representation</w:t>
            </w:r>
          </w:p>
        </w:tc>
      </w:tr>
      <w:tr>
        <w:tc>
          <w:tcPr/>
          <w:p>
            <w:pPr>
              <w:pStyle w:val="Compact"/>
            </w:pPr>
            <w:r>
              <w:t xml:space="preserve">Tourism promotion</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pPr>
            <w:r>
              <w:t xml:space="preserve">Non-event discourse</w:t>
            </w:r>
          </w:p>
        </w:tc>
      </w:tr>
      <w:tr>
        <w:tc>
          <w:tcPr/>
          <w:p>
            <w:pPr>
              <w:pStyle w:val="Compact"/>
            </w:pPr>
            <w:r>
              <w:t xml:space="preserve">Satire and hoaxes</w:t>
            </w:r>
          </w:p>
        </w:tc>
        <w:tc>
          <w:tcPr/>
          <w:p>
            <w:pPr>
              <w:pStyle w:val="Compact"/>
              <w:jc w:val="right"/>
            </w:pPr>
            <w:r>
              <w:t xml:space="preserve">No</w:t>
            </w:r>
          </w:p>
        </w:tc>
        <w:tc>
          <w:tcPr/>
          <w:p>
            <w:pPr>
              <w:pStyle w:val="Compact"/>
              <w:jc w:val="right"/>
            </w:pPr>
            <w:r>
              <w:t xml:space="preserve">Yes if clearly identified as control material</w:t>
            </w:r>
          </w:p>
        </w:tc>
        <w:tc>
          <w:tcPr/>
          <w:p>
            <w:pPr>
              <w:pStyle w:val="Compact"/>
              <w:jc w:val="right"/>
            </w:pPr>
            <w:r>
              <w:t xml:space="preserve">Yes</w:t>
            </w:r>
          </w:p>
        </w:tc>
        <w:tc>
          <w:tcPr/>
          <w:p>
            <w:pPr>
              <w:pStyle w:val="Compact"/>
            </w:pPr>
            <w:r>
              <w:t xml:space="preserve">Not an eligible anomalous encounter</w:t>
            </w:r>
          </w:p>
        </w:tc>
      </w:tr>
      <w:tr>
        <w:tc>
          <w:tcPr/>
          <w:p>
            <w:pPr>
              <w:pStyle w:val="Compact"/>
            </w:pPr>
            <w:r>
              <w:t xml:space="preserve">Costume / misidentification cases</w:t>
            </w:r>
          </w:p>
        </w:tc>
        <w:tc>
          <w:tcPr/>
          <w:p>
            <w:pPr>
              <w:pStyle w:val="Compact"/>
              <w:jc w:val="right"/>
            </w:pPr>
            <w:r>
              <w:t xml:space="preserve">Usually no</w:t>
            </w:r>
          </w:p>
        </w:tc>
        <w:tc>
          <w:tcPr/>
          <w:p>
            <w:pPr>
              <w:pStyle w:val="Compact"/>
              <w:jc w:val="right"/>
            </w:pPr>
            <w:r>
              <w:t xml:space="preserve">Yes if important to discourse history</w:t>
            </w:r>
          </w:p>
        </w:tc>
        <w:tc>
          <w:tcPr/>
          <w:p>
            <w:pPr>
              <w:pStyle w:val="Compact"/>
              <w:jc w:val="right"/>
            </w:pPr>
            <w:r>
              <w:t xml:space="preserve">Yes</w:t>
            </w:r>
          </w:p>
        </w:tc>
        <w:tc>
          <w:tcPr/>
          <w:p>
            <w:pPr>
              <w:pStyle w:val="Compact"/>
            </w:pPr>
            <w:r>
              <w:t xml:space="preserve">Resolved as ordinary</w:t>
            </w:r>
          </w:p>
        </w:tc>
      </w:tr>
      <w:tr>
        <w:tc>
          <w:tcPr/>
          <w:p>
            <w:pPr>
              <w:pStyle w:val="Compact"/>
            </w:pPr>
            <w:r>
              <w:t xml:space="preserve">Non-humanoid cryptids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Separate control module</w:t>
            </w:r>
          </w:p>
        </w:tc>
        <w:tc>
          <w:tcPr/>
          <w:p>
            <w:pPr>
              <w:pStyle w:val="Compact"/>
            </w:pPr>
            <w:r>
              <w:t xml:space="preserve">Humanoid criterion fails</w:t>
            </w:r>
          </w:p>
        </w:tc>
      </w:tr>
      <w:tr>
        <w:tc>
          <w:tcPr/>
          <w:p>
            <w:pPr>
              <w:pStyle w:val="Compact"/>
            </w:pPr>
            <w:r>
              <w:t xml:space="preserve">Monsters described only as animals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Separate animal-cryptid module</w:t>
            </w:r>
          </w:p>
        </w:tc>
        <w:tc>
          <w:tcPr/>
          <w:p>
            <w:pPr>
              <w:pStyle w:val="Compact"/>
            </w:pPr>
            <w:r>
              <w:t xml:space="preserve">Humanoid criterion fails</w:t>
            </w:r>
          </w:p>
        </w:tc>
      </w:tr>
      <w:tr>
        <w:tc>
          <w:tcPr/>
          <w:p>
            <w:pPr>
              <w:pStyle w:val="Compact"/>
            </w:pPr>
            <w:r>
              <w:t xml:space="preserve">Footprints or sounds without humanoid description</w:t>
            </w:r>
          </w:p>
        </w:tc>
        <w:tc>
          <w:tcPr/>
          <w:p>
            <w:pPr>
              <w:pStyle w:val="Compact"/>
              <w:jc w:val="right"/>
            </w:pPr>
            <w:r>
              <w:t xml:space="preserve">No</w:t>
            </w:r>
          </w:p>
        </w:tc>
        <w:tc>
          <w:tcPr/>
          <w:p>
            <w:pPr>
              <w:pStyle w:val="Compact"/>
              <w:jc w:val="right"/>
            </w:pPr>
            <w:r>
              <w:t xml:space="preserve">Possible as auxiliary evidence only</w:t>
            </w:r>
          </w:p>
        </w:tc>
        <w:tc>
          <w:tcPr/>
          <w:p>
            <w:pPr>
              <w:pStyle w:val="Compact"/>
              <w:jc w:val="right"/>
            </w:pPr>
            <w:r>
              <w:t xml:space="preserve">No</w:t>
            </w:r>
          </w:p>
        </w:tc>
        <w:tc>
          <w:tcPr/>
          <w:p>
            <w:pPr>
              <w:pStyle w:val="Compact"/>
            </w:pPr>
            <w:r>
              <w:t xml:space="preserve">Morphology insufficiency</w:t>
            </w:r>
          </w:p>
        </w:tc>
      </w:tr>
      <w:tr>
        <w:tc>
          <w:tcPr/>
          <w:p>
            <w:pPr>
              <w:pStyle w:val="Compact"/>
            </w:pPr>
            <w:r>
              <w:t xml:space="preserve">Imported overseas events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Separate transnational module</w:t>
            </w:r>
          </w:p>
        </w:tc>
        <w:tc>
          <w:tcPr/>
          <w:p>
            <w:pPr>
              <w:pStyle w:val="Compact"/>
            </w:pPr>
            <w:r>
              <w:t xml:space="preserve">Geographic mismatch</w:t>
            </w:r>
          </w:p>
        </w:tc>
      </w:tr>
      <w:tr>
        <w:tc>
          <w:tcPr/>
          <w:p>
            <w:pPr>
              <w:pStyle w:val="Compact"/>
            </w:pPr>
            <w:r>
              <w:t xml:space="preserve">Generic “strange creature” reports</w:t>
            </w:r>
          </w:p>
        </w:tc>
        <w:tc>
          <w:tcPr/>
          <w:p>
            <w:pPr>
              <w:pStyle w:val="Compact"/>
              <w:jc w:val="right"/>
            </w:pPr>
            <w:r>
              <w:t xml:space="preserve">No</w:t>
            </w:r>
          </w:p>
        </w:tc>
        <w:tc>
          <w:tcPr/>
          <w:p>
            <w:pPr>
              <w:pStyle w:val="Compact"/>
              <w:jc w:val="right"/>
            </w:pPr>
            <w:r>
              <w:t xml:space="preserve">Lead only</w:t>
            </w:r>
          </w:p>
        </w:tc>
        <w:tc>
          <w:tcPr/>
          <w:p>
            <w:pPr>
              <w:pStyle w:val="Compact"/>
              <w:jc w:val="right"/>
            </w:pPr>
            <w:r>
              <w:t xml:space="preserve">No</w:t>
            </w:r>
          </w:p>
        </w:tc>
        <w:tc>
          <w:tcPr/>
          <w:p>
            <w:pPr>
              <w:pStyle w:val="Compact"/>
            </w:pPr>
            <w:r>
              <w:t xml:space="preserve">Excessive ambiguity</w:t>
            </w:r>
          </w:p>
        </w:tc>
      </w:tr>
      <w:tr>
        <w:tc>
          <w:tcPr/>
          <w:p>
            <w:pPr>
              <w:pStyle w:val="Compact"/>
            </w:pPr>
            <w:r>
              <w:t xml:space="preserve">Catalogue entries without accessible event evidence</w:t>
            </w:r>
          </w:p>
        </w:tc>
        <w:tc>
          <w:tcPr/>
          <w:p>
            <w:pPr>
              <w:pStyle w:val="Compact"/>
              <w:jc w:val="right"/>
            </w:pPr>
            <w:r>
              <w:t xml:space="preserve">No</w:t>
            </w:r>
          </w:p>
        </w:tc>
        <w:tc>
          <w:tcPr/>
          <w:p>
            <w:pPr>
              <w:pStyle w:val="Compact"/>
              <w:jc w:val="right"/>
            </w:pPr>
            <w:r>
              <w:t xml:space="preserve">Lead only</w:t>
            </w:r>
          </w:p>
        </w:tc>
        <w:tc>
          <w:tcPr/>
          <w:p>
            <w:pPr>
              <w:pStyle w:val="Compact"/>
              <w:jc w:val="right"/>
            </w:pPr>
            <w:r>
              <w:t xml:space="preserve">No</w:t>
            </w:r>
          </w:p>
        </w:tc>
        <w:tc>
          <w:tcPr/>
          <w:p>
            <w:pPr>
              <w:pStyle w:val="Compact"/>
            </w:pPr>
            <w:r>
              <w:t xml:space="preserve">Insufficient provenance/evidence</w:t>
            </w:r>
          </w:p>
        </w:tc>
      </w:tr>
      <w:tr>
        <w:tc>
          <w:tcPr/>
          <w:p>
            <w:pPr>
              <w:pStyle w:val="Compact"/>
            </w:pPr>
            <w:r>
              <w:t xml:space="preserve">Later web summaries with no identifiable event behind them</w:t>
            </w:r>
          </w:p>
        </w:tc>
        <w:tc>
          <w:tcPr/>
          <w:p>
            <w:pPr>
              <w:pStyle w:val="Compact"/>
              <w:jc w:val="right"/>
            </w:pPr>
            <w:r>
              <w:t xml:space="preserve">No</w:t>
            </w:r>
          </w:p>
        </w:tc>
        <w:tc>
          <w:tcPr/>
          <w:p>
            <w:pPr>
              <w:pStyle w:val="Compact"/>
              <w:jc w:val="right"/>
            </w:pPr>
            <w:r>
              <w:t xml:space="preserve">Lead only</w:t>
            </w:r>
          </w:p>
        </w:tc>
        <w:tc>
          <w:tcPr/>
          <w:p>
            <w:pPr>
              <w:pStyle w:val="Compact"/>
              <w:jc w:val="right"/>
            </w:pPr>
            <w:r>
              <w:t xml:space="preserve">No</w:t>
            </w:r>
          </w:p>
        </w:tc>
        <w:tc>
          <w:tcPr/>
          <w:p>
            <w:pPr>
              <w:pStyle w:val="Compact"/>
            </w:pPr>
            <w:r>
              <w:t xml:space="preserve">Source-quality limitation</w:t>
            </w:r>
          </w:p>
        </w:tc>
      </w:tr>
    </w:tbl>
    <w:p>
      <w:pPr>
        <w:pStyle w:val="BodyText"/>
      </w:pPr>
      <w:r>
        <w:t xml:space="preserve">For v1,</w:t>
      </w:r>
      <w:r>
        <w:t xml:space="preserve"> </w:t>
      </w:r>
      <w:r>
        <w:rPr>
          <w:b/>
          <w:bCs/>
        </w:rPr>
        <w:t xml:space="preserve">ghosts should be excluded</w:t>
      </w:r>
      <w:r>
        <w:t xml:space="preserve">,</w:t>
      </w:r>
      <w:r>
        <w:t xml:space="preserve"> </w:t>
      </w:r>
      <w:r>
        <w:rPr>
          <w:b/>
          <w:bCs/>
        </w:rPr>
        <w:t xml:space="preserve">UFO humanoids should be excluded</w:t>
      </w:r>
      <w:r>
        <w:t xml:space="preserve">, and</w:t>
      </w:r>
      <w:r>
        <w:t xml:space="preserve"> </w:t>
      </w:r>
      <w:r>
        <w:rPr>
          <w:b/>
          <w:bCs/>
        </w:rPr>
        <w:t xml:space="preserve">named ancestral/spirit beings should be excluded from the encounter core but may be retained in a clearly separated context layer</w:t>
      </w:r>
      <w:r>
        <w:t xml:space="preserve">. That separation is not an insult to those materials; it is an ethical and analytical safeguard.</w:t>
      </w:r>
      <w:r>
        <w:t xml:space="preserve"> </w:t>
      </w:r>
      <w:hyperlink r:id="rId25">
        <w:r>
          <w:rPr>
            <w:rStyle w:val="Hyperlink"/>
          </w:rPr>
          <w:t xml:space="preserve">[15]</w:t>
        </w:r>
      </w:hyperlink>
    </w:p>
    <w:bookmarkEnd w:id="32"/>
    <w:bookmarkStart w:id="34" w:name="figure-and-record-audit"/>
    <w:p>
      <w:pPr>
        <w:pStyle w:val="Heading2"/>
      </w:pPr>
      <w:r>
        <w:t xml:space="preserve">Figure and record audit</w:t>
      </w:r>
    </w:p>
    <w:p>
      <w:pPr>
        <w:pStyle w:val="FirstParagraph"/>
      </w:pPr>
      <w:r>
        <w:rPr>
          <w:b/>
          <w:bCs/>
        </w:rPr>
        <w:t xml:space="preserve">7. Event, source, entity, and context normalization model</w:t>
      </w:r>
    </w:p>
    <w:p>
      <w:pPr>
        <w:pStyle w:val="BodyText"/>
      </w:pPr>
      <w:r>
        <w:t xml:space="preserve">The project should adopt a normalized model with five record classes.</w:t>
      </w:r>
    </w:p>
    <w:p>
      <w:pPr>
        <w:pStyle w:val="BodyText"/>
      </w:pPr>
      <w:r>
        <w:rPr>
          <w:b/>
          <w:bCs/>
        </w:rPr>
        <w:t xml:space="preserve">Encounter event.</w:t>
      </w:r>
      <w:r>
        <w:t xml:space="preserve"> </w:t>
      </w:r>
      <w:r>
        <w:t xml:space="preserve">The alleged occurrence being described. One event may link to many sources.</w:t>
      </w:r>
    </w:p>
    <w:p>
      <w:pPr>
        <w:pStyle w:val="BodyText"/>
      </w:pPr>
      <w:r>
        <w:rPr>
          <w:b/>
          <w:bCs/>
        </w:rPr>
        <w:t xml:space="preserve">Source item.</w:t>
      </w:r>
      <w:r>
        <w:t xml:space="preserve"> </w:t>
      </w:r>
      <w:r>
        <w:t xml:space="preserve">A newspaper article, AYR page, book passage, catalogue record, webpage, or archival record that describes, republishes, or discusses the event.</w:t>
      </w:r>
    </w:p>
    <w:p>
      <w:pPr>
        <w:pStyle w:val="BodyText"/>
      </w:pPr>
      <w:r>
        <w:rPr>
          <w:b/>
          <w:bCs/>
        </w:rPr>
        <w:t xml:space="preserve">Event–source relationship.</w:t>
      </w:r>
      <w:r>
        <w:t xml:space="preserve"> </w:t>
      </w:r>
      <w:r>
        <w:t xml:space="preserve">The link type between event and source: original report, reprint, retrospective summary, derivative webpage, archive reproduction, tourism retelling, research commentary, and so on.</w:t>
      </w:r>
    </w:p>
    <w:p>
      <w:pPr>
        <w:pStyle w:val="BodyText"/>
      </w:pPr>
      <w:r>
        <w:rPr>
          <w:b/>
          <w:bCs/>
        </w:rPr>
        <w:t xml:space="preserve">Entity label.</w:t>
      </w:r>
      <w:r>
        <w:t xml:space="preserve"> </w:t>
      </w:r>
      <w:r>
        <w:t xml:space="preserve">The label actually used by a source: “Yowie,” “Yahoo-Devil Devil,” “Hairy Man of the Wood,” “Australian ape,” “wild man,” “unknown humanoid,” and so forth.</w:t>
      </w:r>
    </w:p>
    <w:p>
      <w:pPr>
        <w:pStyle w:val="BodyText"/>
      </w:pPr>
      <w:r>
        <w:rPr>
          <w:b/>
          <w:bCs/>
        </w:rPr>
        <w:t xml:space="preserve">Context item.</w:t>
      </w:r>
      <w:r>
        <w:t xml:space="preserve"> </w:t>
      </w:r>
      <w:r>
        <w:t xml:space="preserve">A public text relevant to discourse, heritage, semantics, tourism, folklore, media, or cultural representation that is</w:t>
      </w:r>
      <w:r>
        <w:t xml:space="preserve"> </w:t>
      </w:r>
      <w:r>
        <w:rPr>
          <w:b/>
          <w:bCs/>
        </w:rPr>
        <w:t xml:space="preserve">not</w:t>
      </w:r>
      <w:r>
        <w:t xml:space="preserve"> </w:t>
      </w:r>
      <w:r>
        <w:t xml:space="preserve">an eligible event and must never be counted as one.</w:t>
      </w:r>
    </w:p>
    <w:p>
      <w:pPr>
        <w:pStyle w:val="BodyText"/>
      </w:pPr>
      <w:r>
        <w:t xml:space="preserve">This structure follows good archival and metadata practice. Context and provenance are what allow records to be authenticated and interpreted, and event/resource relationships should be modelled rather than flattened into a single object. Getty’s metadata guidance stresses the preservation of context and evidential value, and RiC-O is explicitly designed to model archival resources and their relationships consistently.</w:t>
      </w:r>
      <w:r>
        <w:t xml:space="preserve"> </w:t>
      </w:r>
      <w:hyperlink r:id="rId24">
        <w:r>
          <w:rPr>
            <w:rStyle w:val="Hyperlink"/>
          </w:rPr>
          <w:t xml:space="preserve">[4]</w:t>
        </w:r>
      </w:hyperlink>
    </w:p>
    <w:p>
      <w:pPr>
        <w:pStyle w:val="BodyText"/>
      </w:pPr>
      <w:r>
        <w:t xml:space="preserve">On</w:t>
      </w:r>
      <w:r>
        <w:t xml:space="preserve"> </w:t>
      </w:r>
      <w:r>
        <w:rPr>
          <w:b/>
          <w:bCs/>
        </w:rPr>
        <w:t xml:space="preserve">entity labels</w:t>
      </w:r>
      <w:r>
        <w:t xml:space="preserve">, the safest v1 rule is:</w:t>
      </w:r>
    </w:p>
    <w:p>
      <w:pPr>
        <w:pStyle w:val="Compact"/>
        <w:numPr>
          <w:ilvl w:val="0"/>
          <w:numId w:val="1003"/>
        </w:numPr>
      </w:pPr>
      <w:r>
        <w:t xml:space="preserve">retain labels as</w:t>
      </w:r>
      <w:r>
        <w:t xml:space="preserve"> </w:t>
      </w:r>
      <w:r>
        <w:rPr>
          <w:b/>
          <w:bCs/>
        </w:rPr>
        <w:t xml:space="preserve">source-specific labels</w:t>
      </w:r>
      <w:r>
        <w:t xml:space="preserve">;</w:t>
      </w:r>
    </w:p>
    <w:p>
      <w:pPr>
        <w:pStyle w:val="Compact"/>
        <w:numPr>
          <w:ilvl w:val="0"/>
          <w:numId w:val="1003"/>
        </w:numPr>
      </w:pPr>
      <w:r>
        <w:t xml:space="preserve">allow one</w:t>
      </w:r>
      <w:r>
        <w:t xml:space="preserve"> </w:t>
      </w:r>
      <w:r>
        <w:rPr>
          <w:b/>
          <w:bCs/>
        </w:rPr>
        <w:t xml:space="preserve">operational cluster</w:t>
      </w:r>
      <w:r>
        <w:t xml:space="preserve"> </w:t>
      </w:r>
      <w:r>
        <w:t xml:space="preserve">for querying similar encounter reports;</w:t>
      </w:r>
    </w:p>
    <w:p>
      <w:pPr>
        <w:pStyle w:val="Compact"/>
        <w:numPr>
          <w:ilvl w:val="0"/>
          <w:numId w:val="1003"/>
        </w:numPr>
      </w:pPr>
      <w:r>
        <w:t xml:space="preserve">do</w:t>
      </w:r>
      <w:r>
        <w:t xml:space="preserve"> </w:t>
      </w:r>
      <w:r>
        <w:rPr>
          <w:b/>
          <w:bCs/>
        </w:rPr>
        <w:t xml:space="preserve">not</w:t>
      </w:r>
      <w:r>
        <w:t xml:space="preserve"> </w:t>
      </w:r>
      <w:r>
        <w:t xml:space="preserve">treat labels as proven species or automatically separate “types.”</w:t>
      </w:r>
    </w:p>
    <w:p>
      <w:pPr>
        <w:pStyle w:val="FirstParagraph"/>
      </w:pPr>
      <w:r>
        <w:t xml:space="preserve">For v1, the most defensible operational cluster is:</w:t>
      </w:r>
    </w:p>
    <w:p>
      <w:pPr>
        <w:pStyle w:val="BodyText"/>
      </w:pPr>
      <w:r>
        <w:rPr>
          <w:b/>
          <w:bCs/>
        </w:rPr>
        <w:t xml:space="preserve">Hairy / upright anomalous humanoid reports</w:t>
      </w:r>
      <w:r>
        <w:br/>
      </w:r>
      <w:r>
        <w:t xml:space="preserve">Source labels may include</w:t>
      </w:r>
      <w:r>
        <w:t xml:space="preserve"> </w:t>
      </w:r>
      <w:r>
        <w:rPr>
          <w:b/>
          <w:bCs/>
        </w:rPr>
        <w:t xml:space="preserve">Yowie, Yahoo, Hairy Man, Hairy Man of the Wood, Australian ape, Australian gorilla, wild man, ape-like man, unknown humanoid</w:t>
      </w:r>
      <w:r>
        <w:t xml:space="preserve">.</w:t>
      </w:r>
    </w:p>
    <w:p>
      <w:pPr>
        <w:pStyle w:val="BodyText"/>
      </w:pPr>
      <w:r>
        <w:t xml:space="preserve">This remains an</w:t>
      </w:r>
      <w:r>
        <w:t xml:space="preserve"> </w:t>
      </w:r>
      <w:r>
        <w:rPr>
          <w:b/>
          <w:bCs/>
        </w:rPr>
        <w:t xml:space="preserve">operational cluster</w:t>
      </w:r>
      <w:r>
        <w:t xml:space="preserve">, not a biological or supernatural taxonomy. The point is to group source-described morphology and reporting traditions without claiming that all labels refer to one objectively real being. The Trove 1876 and 1912 reports show older public labels such as “Yahoo-Devil Devil,” “Hairy Man,” and “hairy man of Bombala”; later AYR pages and modern discourse frequently normalize such material into “Yowie.” That is precisely why the archive should preserve source labels separately from operational query clusters.</w:t>
      </w:r>
      <w:r>
        <w:t xml:space="preserve"> </w:t>
      </w:r>
      <w:hyperlink r:id="rId28">
        <w:r>
          <w:rPr>
            <w:rStyle w:val="Hyperlink"/>
          </w:rPr>
          <w:t xml:space="preserve">[16]</w:t>
        </w:r>
      </w:hyperlink>
    </w:p>
    <w:p>
      <w:pPr>
        <w:pStyle w:val="BodyText"/>
      </w:pPr>
      <w:r>
        <w:rPr>
          <w:b/>
          <w:bCs/>
        </w:rPr>
        <w:t xml:space="preserve">8. Current figure audit table</w:t>
      </w:r>
    </w:p>
    <w:p>
      <w:pPr>
        <w:pStyle w:val="BodyText"/>
      </w:pPr>
      <w:r>
        <w:t xml:space="preserve">The table below gives recommended v1 statuses. These are</w:t>
      </w:r>
      <w:r>
        <w:t xml:space="preserve"> </w:t>
      </w:r>
      <w:r>
        <w:rPr>
          <w:b/>
          <w:bCs/>
        </w:rPr>
        <w:t xml:space="preserve">methodological recommendations</w:t>
      </w:r>
      <w:r>
        <w:t xml:space="preserve">, not claims that the named beings do or do not exist.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Label</w:t>
            </w:r>
          </w:p>
        </w:tc>
        <w:tc>
          <w:tcPr/>
          <w:p>
            <w:pPr>
              <w:pStyle w:val="Compact"/>
            </w:pPr>
            <w:r>
              <w:t xml:space="preserve">Best characterization</w:t>
            </w:r>
          </w:p>
        </w:tc>
        <w:tc>
          <w:tcPr/>
          <w:p>
            <w:pPr>
              <w:pStyle w:val="Compact"/>
            </w:pPr>
            <w:r>
              <w:t xml:space="preserve">Primary association</w:t>
            </w:r>
          </w:p>
        </w:tc>
        <w:tc>
          <w:tcPr/>
          <w:p>
            <w:pPr>
              <w:pStyle w:val="Compact"/>
              <w:jc w:val="right"/>
            </w:pPr>
            <w:r>
              <w:t xml:space="preserve">Humanoid criterion</w:t>
            </w:r>
          </w:p>
        </w:tc>
        <w:tc>
          <w:tcPr/>
          <w:p>
            <w:pPr>
              <w:pStyle w:val="Compact"/>
            </w:pPr>
            <w:r>
              <w:t xml:space="preserve">Recommended status</w:t>
            </w:r>
          </w:p>
        </w:tc>
        <w:tc>
          <w:tcPr/>
          <w:p>
            <w:pPr>
              <w:pStyle w:val="Compact"/>
            </w:pPr>
            <w:r>
              <w:t xml:space="preserve">Notes</w:t>
            </w:r>
          </w:p>
        </w:tc>
      </w:tr>
      <w:tr>
        <w:tc>
          <w:tcPr/>
          <w:p>
            <w:pPr>
              <w:pStyle w:val="Compact"/>
            </w:pPr>
            <w:r>
              <w:rPr>
                <w:b/>
                <w:bCs/>
              </w:rPr>
              <w:t xml:space="preserve">Yowie</w:t>
            </w:r>
          </w:p>
        </w:tc>
        <w:tc>
          <w:tcPr/>
          <w:p>
            <w:pPr>
              <w:pStyle w:val="Compact"/>
            </w:pPr>
            <w:r>
              <w:t xml:space="preserve">Stable modern public label / umbrella source label</w:t>
            </w:r>
          </w:p>
        </w:tc>
        <w:tc>
          <w:tcPr/>
          <w:p>
            <w:pPr>
              <w:pStyle w:val="Compact"/>
            </w:pPr>
            <w:r>
              <w:t xml:space="preserve">Specific encounter reports and later retellings</w:t>
            </w:r>
          </w:p>
        </w:tc>
        <w:tc>
          <w:tcPr/>
          <w:p>
            <w:pPr>
              <w:pStyle w:val="Compact"/>
              <w:jc w:val="right"/>
            </w:pPr>
            <w:r>
              <w:t xml:space="preserve">Yes</w:t>
            </w:r>
          </w:p>
        </w:tc>
        <w:tc>
          <w:tcPr/>
          <w:p>
            <w:pPr>
              <w:pStyle w:val="Compact"/>
            </w:pPr>
            <w:r>
              <w:rPr>
                <w:b/>
                <w:bCs/>
              </w:rPr>
              <w:t xml:space="preserve">core_encounter_label</w:t>
            </w:r>
          </w:p>
        </w:tc>
        <w:tc>
          <w:tcPr/>
          <w:p>
            <w:pPr>
              <w:pStyle w:val="Compact"/>
            </w:pPr>
            <w:r>
              <w:t xml:space="preserve">Keep as source label; do not treat as species</w:t>
            </w:r>
          </w:p>
        </w:tc>
      </w:tr>
      <w:tr>
        <w:tc>
          <w:tcPr/>
          <w:p>
            <w:pPr>
              <w:pStyle w:val="Compact"/>
            </w:pPr>
            <w:r>
              <w:rPr>
                <w:b/>
                <w:bCs/>
              </w:rPr>
              <w:t xml:space="preserve">Yahoo</w:t>
            </w:r>
          </w:p>
        </w:tc>
        <w:tc>
          <w:tcPr/>
          <w:p>
            <w:pPr>
              <w:pStyle w:val="Compact"/>
            </w:pPr>
            <w:r>
              <w:t xml:space="preserve">Historical source descriptor / earlier label</w:t>
            </w:r>
          </w:p>
        </w:tc>
        <w:tc>
          <w:tcPr/>
          <w:p>
            <w:pPr>
              <w:pStyle w:val="Compact"/>
            </w:pPr>
            <w:r>
              <w:t xml:space="preserve">Specific encounter reports, especially older press and folklore retellings</w:t>
            </w:r>
          </w:p>
        </w:tc>
        <w:tc>
          <w:tcPr/>
          <w:p>
            <w:pPr>
              <w:pStyle w:val="Compact"/>
              <w:jc w:val="right"/>
            </w:pPr>
            <w:r>
              <w:t xml:space="preserve">Yes</w:t>
            </w:r>
          </w:p>
        </w:tc>
        <w:tc>
          <w:tcPr/>
          <w:p>
            <w:pPr>
              <w:pStyle w:val="Compact"/>
            </w:pPr>
            <w:r>
              <w:rPr>
                <w:b/>
                <w:bCs/>
              </w:rPr>
              <w:t xml:space="preserve">source_descriptor_only</w:t>
            </w:r>
          </w:p>
        </w:tc>
        <w:tc>
          <w:tcPr/>
          <w:p>
            <w:pPr>
              <w:pStyle w:val="Compact"/>
            </w:pPr>
            <w:r>
              <w:t xml:space="preserve">Keep source-specific; cluster with Yowie/Hairy Man for querying</w:t>
            </w:r>
          </w:p>
        </w:tc>
      </w:tr>
      <w:tr>
        <w:tc>
          <w:tcPr/>
          <w:p>
            <w:pPr>
              <w:pStyle w:val="Compact"/>
            </w:pPr>
            <w:r>
              <w:rPr>
                <w:b/>
                <w:bCs/>
              </w:rPr>
              <w:t xml:space="preserve">Hairy Man</w:t>
            </w:r>
          </w:p>
        </w:tc>
        <w:tc>
          <w:tcPr/>
          <w:p>
            <w:pPr>
              <w:pStyle w:val="Compact"/>
            </w:pPr>
            <w:r>
              <w:t xml:space="preserve">Source descriptor</w:t>
            </w:r>
          </w:p>
        </w:tc>
        <w:tc>
          <w:tcPr/>
          <w:p>
            <w:pPr>
              <w:pStyle w:val="Compact"/>
            </w:pPr>
            <w:r>
              <w:t xml:space="preserve">Specific encounter reports and general folklore</w:t>
            </w:r>
          </w:p>
        </w:tc>
        <w:tc>
          <w:tcPr/>
          <w:p>
            <w:pPr>
              <w:pStyle w:val="Compact"/>
              <w:jc w:val="right"/>
            </w:pPr>
            <w:r>
              <w:t xml:space="preserve">Yes</w:t>
            </w:r>
          </w:p>
        </w:tc>
        <w:tc>
          <w:tcPr/>
          <w:p>
            <w:pPr>
              <w:pStyle w:val="Compact"/>
            </w:pPr>
            <w:r>
              <w:rPr>
                <w:b/>
                <w:bCs/>
              </w:rPr>
              <w:t xml:space="preserve">source_descriptor_only</w:t>
            </w:r>
          </w:p>
        </w:tc>
        <w:tc>
          <w:tcPr/>
          <w:p>
            <w:pPr>
              <w:pStyle w:val="Compact"/>
            </w:pPr>
            <w:r>
              <w:t xml:space="preserve">Too generic to stand alone as ontology</w:t>
            </w:r>
          </w:p>
        </w:tc>
      </w:tr>
      <w:tr>
        <w:tc>
          <w:tcPr/>
          <w:p>
            <w:pPr>
              <w:pStyle w:val="Compact"/>
            </w:pPr>
            <w:r>
              <w:rPr>
                <w:b/>
                <w:bCs/>
              </w:rPr>
              <w:t xml:space="preserve">Yaroma</w:t>
            </w:r>
          </w:p>
        </w:tc>
        <w:tc>
          <w:tcPr/>
          <w:p>
            <w:pPr>
              <w:pStyle w:val="Compact"/>
            </w:pPr>
            <w:r>
              <w:t xml:space="preserve">Named culturally specific being</w:t>
            </w:r>
          </w:p>
        </w:tc>
        <w:tc>
          <w:tcPr/>
          <w:p>
            <w:pPr>
              <w:pStyle w:val="Compact"/>
            </w:pPr>
            <w:r>
              <w:t xml:space="preserve">Mostly folklore/cultural representation in public discourse</w:t>
            </w:r>
          </w:p>
        </w:tc>
        <w:tc>
          <w:tcPr/>
          <w:p>
            <w:pPr>
              <w:pStyle w:val="Compact"/>
              <w:jc w:val="right"/>
            </w:pPr>
            <w:r>
              <w:t xml:space="preserve">Usually humanoid</w:t>
            </w:r>
          </w:p>
        </w:tc>
        <w:tc>
          <w:tcPr/>
          <w:p>
            <w:pPr>
              <w:pStyle w:val="Compact"/>
            </w:pPr>
            <w:r>
              <w:rPr>
                <w:b/>
                <w:bCs/>
              </w:rPr>
              <w:t xml:space="preserve">validate_before_use</w:t>
            </w:r>
          </w:p>
        </w:tc>
        <w:tc>
          <w:tcPr/>
          <w:p>
            <w:pPr>
              <w:pStyle w:val="Compact"/>
            </w:pPr>
            <w:r>
              <w:t xml:space="preserve">Do not promote without event-specific, public, ethically safe evidence</w:t>
            </w:r>
          </w:p>
        </w:tc>
      </w:tr>
      <w:tr>
        <w:tc>
          <w:tcPr/>
          <w:p>
            <w:pPr>
              <w:pStyle w:val="Compact"/>
            </w:pPr>
            <w:r>
              <w:rPr>
                <w:b/>
                <w:bCs/>
              </w:rPr>
              <w:t xml:space="preserve">Yara-ma-yha-who</w:t>
            </w:r>
          </w:p>
        </w:tc>
        <w:tc>
          <w:tcPr/>
          <w:p>
            <w:pPr>
              <w:pStyle w:val="Compact"/>
            </w:pPr>
            <w:r>
              <w:t xml:space="preserve">Stable named being</w:t>
            </w:r>
          </w:p>
        </w:tc>
        <w:tc>
          <w:tcPr/>
          <w:p>
            <w:pPr>
              <w:pStyle w:val="Compact"/>
            </w:pPr>
            <w:r>
              <w:t xml:space="preserve">General folklore / children’s literature / cultural discourse</w:t>
            </w:r>
          </w:p>
        </w:tc>
        <w:tc>
          <w:tcPr/>
          <w:p>
            <w:pPr>
              <w:pStyle w:val="Compact"/>
              <w:jc w:val="right"/>
            </w:pPr>
            <w:r>
              <w:t xml:space="preserve">Humanoid but not encounter-focused</w:t>
            </w:r>
          </w:p>
        </w:tc>
        <w:tc>
          <w:tcPr/>
          <w:p>
            <w:pPr>
              <w:pStyle w:val="Compact"/>
            </w:pPr>
            <w:r>
              <w:rPr>
                <w:b/>
                <w:bCs/>
              </w:rPr>
              <w:t xml:space="preserve">context_only</w:t>
            </w:r>
          </w:p>
        </w:tc>
        <w:tc>
          <w:tcPr/>
          <w:p>
            <w:pPr>
              <w:pStyle w:val="Compact"/>
            </w:pPr>
            <w:r>
              <w:t xml:space="preserve">Not a v1 encounter label</w:t>
            </w:r>
          </w:p>
        </w:tc>
      </w:tr>
      <w:tr>
        <w:tc>
          <w:tcPr/>
          <w:p>
            <w:pPr>
              <w:pStyle w:val="Compact"/>
            </w:pPr>
            <w:r>
              <w:rPr>
                <w:b/>
                <w:bCs/>
              </w:rPr>
              <w:t xml:space="preserve">Mimih / Mimi</w:t>
            </w:r>
          </w:p>
        </w:tc>
        <w:tc>
          <w:tcPr/>
          <w:p>
            <w:pPr>
              <w:pStyle w:val="Compact"/>
            </w:pPr>
            <w:r>
              <w:t xml:space="preserve">Stable figure name with spelling variants; also high-noise term</w:t>
            </w:r>
          </w:p>
        </w:tc>
        <w:tc>
          <w:tcPr/>
          <w:p>
            <w:pPr>
              <w:pStyle w:val="Compact"/>
            </w:pPr>
            <w:r>
              <w:t xml:space="preserve">Rock art, ancestral/spirit representation, art discourse</w:t>
            </w:r>
          </w:p>
        </w:tc>
        <w:tc>
          <w:tcPr/>
          <w:p>
            <w:pPr>
              <w:pStyle w:val="Compact"/>
              <w:jc w:val="right"/>
            </w:pPr>
            <w:r>
              <w:t xml:space="preserve">Human-like</w:t>
            </w:r>
          </w:p>
        </w:tc>
        <w:tc>
          <w:tcPr/>
          <w:p>
            <w:pPr>
              <w:pStyle w:val="Compact"/>
            </w:pPr>
            <w:r>
              <w:rPr>
                <w:b/>
                <w:bCs/>
              </w:rPr>
              <w:t xml:space="preserve">context_only</w:t>
            </w:r>
          </w:p>
        </w:tc>
        <w:tc>
          <w:tcPr/>
          <w:p>
            <w:pPr>
              <w:pStyle w:val="Compact"/>
            </w:pPr>
            <w:r>
              <w:t xml:space="preserve">Merge spelling variants; high search-noise risk; culturally sensitive</w:t>
            </w:r>
          </w:p>
        </w:tc>
      </w:tr>
      <w:tr>
        <w:tc>
          <w:tcPr/>
          <w:p>
            <w:pPr>
              <w:pStyle w:val="Compact"/>
            </w:pPr>
            <w:r>
              <w:rPr>
                <w:b/>
                <w:bCs/>
              </w:rPr>
              <w:t xml:space="preserve">Quinkan / Quinkin</w:t>
            </w:r>
          </w:p>
        </w:tc>
        <w:tc>
          <w:tcPr/>
          <w:p>
            <w:pPr>
              <w:pStyle w:val="Compact"/>
            </w:pPr>
            <w:r>
              <w:t xml:space="preserve">Figure/class name with spelling variants and regional art associations</w:t>
            </w:r>
          </w:p>
        </w:tc>
        <w:tc>
          <w:tcPr/>
          <w:p>
            <w:pPr>
              <w:pStyle w:val="Compact"/>
            </w:pPr>
            <w:r>
              <w:t xml:space="preserve">Rock art / spirit discourse; sometimes later folded into Yowie lists</w:t>
            </w:r>
          </w:p>
        </w:tc>
        <w:tc>
          <w:tcPr/>
          <w:p>
            <w:pPr>
              <w:pStyle w:val="Compact"/>
              <w:jc w:val="right"/>
            </w:pPr>
            <w:r>
              <w:t xml:space="preserve">Often anthropomorphic</w:t>
            </w:r>
          </w:p>
        </w:tc>
        <w:tc>
          <w:tcPr/>
          <w:p>
            <w:pPr>
              <w:pStyle w:val="Compact"/>
            </w:pPr>
            <w:r>
              <w:rPr>
                <w:b/>
                <w:bCs/>
              </w:rPr>
              <w:t xml:space="preserve">context_only</w:t>
            </w:r>
          </w:p>
        </w:tc>
        <w:tc>
          <w:tcPr/>
          <w:p>
            <w:pPr>
              <w:pStyle w:val="Compact"/>
            </w:pPr>
            <w:r>
              <w:t xml:space="preserve">Do not use as a Yowie synonym by default</w:t>
            </w:r>
          </w:p>
        </w:tc>
      </w:tr>
      <w:tr>
        <w:tc>
          <w:tcPr/>
          <w:p>
            <w:pPr>
              <w:pStyle w:val="Compact"/>
            </w:pPr>
            <w:r>
              <w:rPr>
                <w:b/>
                <w:bCs/>
              </w:rPr>
              <w:t xml:space="preserve">Wandjina / Wanjina / Wondjina</w:t>
            </w:r>
          </w:p>
        </w:tc>
        <w:tc>
          <w:tcPr/>
          <w:p>
            <w:pPr>
              <w:pStyle w:val="Compact"/>
            </w:pPr>
            <w:r>
              <w:t xml:space="preserve">Stable ancestral/spirit figure with spelling variants</w:t>
            </w:r>
          </w:p>
        </w:tc>
        <w:tc>
          <w:tcPr/>
          <w:p>
            <w:pPr>
              <w:pStyle w:val="Compact"/>
            </w:pPr>
            <w:r>
              <w:t xml:space="preserve">Rock art, ancestral and rain- or cloud-related cultural discourse</w:t>
            </w:r>
          </w:p>
        </w:tc>
        <w:tc>
          <w:tcPr/>
          <w:p>
            <w:pPr>
              <w:pStyle w:val="Compact"/>
              <w:jc w:val="right"/>
            </w:pPr>
            <w:r>
              <w:t xml:space="preserve">Human-like in representation</w:t>
            </w:r>
          </w:p>
        </w:tc>
        <w:tc>
          <w:tcPr/>
          <w:p>
            <w:pPr>
              <w:pStyle w:val="Compact"/>
            </w:pPr>
            <w:r>
              <w:rPr>
                <w:b/>
                <w:bCs/>
              </w:rPr>
              <w:t xml:space="preserve">context_only</w:t>
            </w:r>
          </w:p>
        </w:tc>
        <w:tc>
          <w:tcPr/>
          <w:p>
            <w:pPr>
              <w:pStyle w:val="Compact"/>
            </w:pPr>
            <w:r>
              <w:t xml:space="preserve">Strong ethical sensitivity; not a core encounter label</w:t>
            </w:r>
          </w:p>
        </w:tc>
      </w:tr>
      <w:tr>
        <w:tc>
          <w:tcPr/>
          <w:p>
            <w:pPr>
              <w:pStyle w:val="Compact"/>
            </w:pPr>
            <w:r>
              <w:rPr>
                <w:b/>
                <w:bCs/>
              </w:rPr>
              <w:t xml:space="preserve">Nargun</w:t>
            </w:r>
          </w:p>
        </w:tc>
        <w:tc>
          <w:tcPr/>
          <w:p>
            <w:pPr>
              <w:pStyle w:val="Compact"/>
            </w:pPr>
            <w:r>
              <w:t xml:space="preserve">Stable named being</w:t>
            </w:r>
          </w:p>
        </w:tc>
        <w:tc>
          <w:tcPr/>
          <w:p>
            <w:pPr>
              <w:pStyle w:val="Compact"/>
            </w:pPr>
            <w:r>
              <w:t xml:space="preserve">Folklore / literary and cultural representation</w:t>
            </w:r>
          </w:p>
        </w:tc>
        <w:tc>
          <w:tcPr/>
          <w:p>
            <w:pPr>
              <w:pStyle w:val="Compact"/>
              <w:jc w:val="right"/>
            </w:pPr>
            <w:r>
              <w:t xml:space="preserve">Often humanoid-ish or person-like in some retellings</w:t>
            </w:r>
          </w:p>
        </w:tc>
        <w:tc>
          <w:tcPr/>
          <w:p>
            <w:pPr>
              <w:pStyle w:val="Compact"/>
            </w:pPr>
            <w:r>
              <w:rPr>
                <w:b/>
                <w:bCs/>
              </w:rPr>
              <w:t xml:space="preserve">context_only</w:t>
            </w:r>
          </w:p>
        </w:tc>
        <w:tc>
          <w:tcPr/>
          <w:p>
            <w:pPr>
              <w:pStyle w:val="Compact"/>
            </w:pPr>
            <w:r>
              <w:t xml:space="preserve">Not a v1 core encounter label</w:t>
            </w:r>
          </w:p>
        </w:tc>
      </w:tr>
      <w:tr>
        <w:tc>
          <w:tcPr/>
          <w:p>
            <w:pPr>
              <w:pStyle w:val="Compact"/>
            </w:pPr>
            <w:r>
              <w:rPr>
                <w:b/>
                <w:bCs/>
              </w:rPr>
              <w:t xml:space="preserve">Garkain</w:t>
            </w:r>
          </w:p>
        </w:tc>
        <w:tc>
          <w:tcPr/>
          <w:p>
            <w:pPr>
              <w:pStyle w:val="Compact"/>
            </w:pPr>
            <w:r>
              <w:t xml:space="preserve">Stable named spirit being in public catalogues</w:t>
            </w:r>
          </w:p>
        </w:tc>
        <w:tc>
          <w:tcPr/>
          <w:p>
            <w:pPr>
              <w:pStyle w:val="Compact"/>
            </w:pPr>
            <w:r>
              <w:t xml:space="preserve">Spirit/painted figure material</w:t>
            </w:r>
          </w:p>
        </w:tc>
        <w:tc>
          <w:tcPr/>
          <w:p>
            <w:pPr>
              <w:pStyle w:val="Compact"/>
              <w:jc w:val="right"/>
            </w:pPr>
            <w:r>
              <w:t xml:space="preserve">Human-like</w:t>
            </w:r>
          </w:p>
        </w:tc>
        <w:tc>
          <w:tcPr/>
          <w:p>
            <w:pPr>
              <w:pStyle w:val="Compact"/>
            </w:pPr>
            <w:r>
              <w:rPr>
                <w:b/>
                <w:bCs/>
              </w:rPr>
              <w:t xml:space="preserve">context_only</w:t>
            </w:r>
          </w:p>
        </w:tc>
        <w:tc>
          <w:tcPr/>
          <w:p>
            <w:pPr>
              <w:pStyle w:val="Compact"/>
            </w:pPr>
            <w:r>
              <w:t xml:space="preserve">Publicly attested, but not an encounter-core label</w:t>
            </w:r>
          </w:p>
        </w:tc>
      </w:tr>
      <w:tr>
        <w:tc>
          <w:tcPr/>
          <w:p>
            <w:pPr>
              <w:pStyle w:val="Compact"/>
            </w:pPr>
            <w:r>
              <w:rPr>
                <w:b/>
                <w:bCs/>
              </w:rPr>
              <w:t xml:space="preserve">Mokoi</w:t>
            </w:r>
          </w:p>
        </w:tc>
        <w:tc>
          <w:tcPr/>
          <w:p>
            <w:pPr>
              <w:pStyle w:val="Compact"/>
            </w:pPr>
            <w:r>
              <w:t xml:space="preserve">Stable spirit-being name in public catalogues</w:t>
            </w:r>
          </w:p>
        </w:tc>
        <w:tc>
          <w:tcPr/>
          <w:p>
            <w:pPr>
              <w:pStyle w:val="Compact"/>
            </w:pPr>
            <w:r>
              <w:t xml:space="preserve">Cultural/ceremonial representation</w:t>
            </w:r>
          </w:p>
        </w:tc>
        <w:tc>
          <w:tcPr/>
          <w:p>
            <w:pPr>
              <w:pStyle w:val="Compact"/>
              <w:jc w:val="right"/>
            </w:pPr>
            <w:r>
              <w:t xml:space="preserve">Human-like</w:t>
            </w:r>
          </w:p>
        </w:tc>
        <w:tc>
          <w:tcPr/>
          <w:p>
            <w:pPr>
              <w:pStyle w:val="Compact"/>
            </w:pPr>
            <w:r>
              <w:rPr>
                <w:b/>
                <w:bCs/>
              </w:rPr>
              <w:t xml:space="preserve">context_only</w:t>
            </w:r>
          </w:p>
        </w:tc>
        <w:tc>
          <w:tcPr/>
          <w:p>
            <w:pPr>
              <w:pStyle w:val="Compact"/>
            </w:pPr>
            <w:r>
              <w:t xml:space="preserve">Not a v1 encounter-core label</w:t>
            </w:r>
          </w:p>
        </w:tc>
      </w:tr>
      <w:tr>
        <w:tc>
          <w:tcPr/>
          <w:p>
            <w:pPr>
              <w:pStyle w:val="Compact"/>
            </w:pPr>
            <w:r>
              <w:rPr>
                <w:b/>
                <w:bCs/>
              </w:rPr>
              <w:t xml:space="preserve">Mamu</w:t>
            </w:r>
          </w:p>
        </w:tc>
        <w:tc>
          <w:tcPr/>
          <w:p>
            <w:pPr>
              <w:pStyle w:val="Compact"/>
            </w:pPr>
            <w:r>
              <w:t xml:space="preserve">Broad cultural term with very high search noise</w:t>
            </w:r>
          </w:p>
        </w:tc>
        <w:tc>
          <w:tcPr/>
          <w:p>
            <w:pPr>
              <w:pStyle w:val="Compact"/>
            </w:pPr>
            <w:r>
              <w:t xml:space="preserve">Spirit discourse; also people/place/org noise</w:t>
            </w:r>
          </w:p>
        </w:tc>
        <w:tc>
          <w:tcPr/>
          <w:p>
            <w:pPr>
              <w:pStyle w:val="Compact"/>
              <w:jc w:val="right"/>
            </w:pPr>
            <w:r>
              <w:t xml:space="preserve">Variable</w:t>
            </w:r>
          </w:p>
        </w:tc>
        <w:tc>
          <w:tcPr/>
          <w:p>
            <w:pPr>
              <w:pStyle w:val="Compact"/>
            </w:pPr>
            <w:r>
              <w:rPr>
                <w:b/>
                <w:bCs/>
              </w:rPr>
              <w:t xml:space="preserve">context_only</w:t>
            </w:r>
          </w:p>
        </w:tc>
        <w:tc>
          <w:tcPr/>
          <w:p>
            <w:pPr>
              <w:pStyle w:val="Compact"/>
            </w:pPr>
            <w:r>
              <w:t xml:space="preserve">Too broad and noisy for core ontology</w:t>
            </w:r>
          </w:p>
        </w:tc>
      </w:tr>
      <w:tr>
        <w:tc>
          <w:tcPr/>
          <w:p>
            <w:pPr>
              <w:pStyle w:val="Compact"/>
            </w:pPr>
            <w:r>
              <w:rPr>
                <w:b/>
                <w:bCs/>
              </w:rPr>
              <w:t xml:space="preserve">Pangkarlangu</w:t>
            </w:r>
          </w:p>
        </w:tc>
        <w:tc>
          <w:tcPr/>
          <w:p>
            <w:pPr>
              <w:pStyle w:val="Compact"/>
            </w:pPr>
            <w:r>
              <w:t xml:space="preserve">Sparse source-list synonym</w:t>
            </w:r>
          </w:p>
        </w:tc>
        <w:tc>
          <w:tcPr/>
          <w:p>
            <w:pPr>
              <w:pStyle w:val="Compact"/>
            </w:pPr>
            <w:r>
              <w:t xml:space="preserve">Often appears in later Yowie synonym lists</w:t>
            </w:r>
          </w:p>
        </w:tc>
        <w:tc>
          <w:tcPr/>
          <w:p>
            <w:pPr>
              <w:pStyle w:val="Compact"/>
              <w:jc w:val="right"/>
            </w:pPr>
            <w:r>
              <w:t xml:space="preserve">Unclear</w:t>
            </w:r>
          </w:p>
        </w:tc>
        <w:tc>
          <w:tcPr/>
          <w:p>
            <w:pPr>
              <w:pStyle w:val="Compact"/>
            </w:pPr>
            <w:r>
              <w:rPr>
                <w:b/>
                <w:bCs/>
              </w:rPr>
              <w:t xml:space="preserve">validate_before_use</w:t>
            </w:r>
          </w:p>
        </w:tc>
        <w:tc>
          <w:tcPr/>
          <w:p>
            <w:pPr>
              <w:pStyle w:val="Compact"/>
            </w:pPr>
            <w:r>
              <w:t xml:space="preserve">Needs reliable, event-specific sourcing</w:t>
            </w:r>
          </w:p>
        </w:tc>
      </w:tr>
      <w:tr>
        <w:tc>
          <w:tcPr/>
          <w:p>
            <w:pPr>
              <w:pStyle w:val="Compact"/>
            </w:pPr>
            <w:r>
              <w:rPr>
                <w:b/>
                <w:bCs/>
              </w:rPr>
              <w:t xml:space="preserve">Puttikan</w:t>
            </w:r>
          </w:p>
        </w:tc>
        <w:tc>
          <w:tcPr/>
          <w:p>
            <w:pPr>
              <w:pStyle w:val="Compact"/>
            </w:pPr>
            <w:r>
              <w:t xml:space="preserve">Sparse source-list synonym</w:t>
            </w:r>
          </w:p>
        </w:tc>
        <w:tc>
          <w:tcPr/>
          <w:p>
            <w:pPr>
              <w:pStyle w:val="Compact"/>
            </w:pPr>
            <w:r>
              <w:t xml:space="preserve">Often appears in later Yowie synonym lists</w:t>
            </w:r>
          </w:p>
        </w:tc>
        <w:tc>
          <w:tcPr/>
          <w:p>
            <w:pPr>
              <w:pStyle w:val="Compact"/>
              <w:jc w:val="right"/>
            </w:pPr>
            <w:r>
              <w:t xml:space="preserve">Likely humanoid</w:t>
            </w:r>
          </w:p>
        </w:tc>
        <w:tc>
          <w:tcPr/>
          <w:p>
            <w:pPr>
              <w:pStyle w:val="Compact"/>
            </w:pPr>
            <w:r>
              <w:rPr>
                <w:b/>
                <w:bCs/>
              </w:rPr>
              <w:t xml:space="preserve">validate_before_use</w:t>
            </w:r>
          </w:p>
        </w:tc>
        <w:tc>
          <w:tcPr/>
          <w:p>
            <w:pPr>
              <w:pStyle w:val="Compact"/>
            </w:pPr>
            <w:r>
              <w:t xml:space="preserve">Needs reliable, event-specific sourcing</w:t>
            </w:r>
          </w:p>
        </w:tc>
      </w:tr>
      <w:tr>
        <w:tc>
          <w:tcPr/>
          <w:p>
            <w:pPr>
              <w:pStyle w:val="Compact"/>
            </w:pPr>
            <w:r>
              <w:rPr>
                <w:b/>
                <w:bCs/>
              </w:rPr>
              <w:t xml:space="preserve">Doolaga / Dooligah / Douligah</w:t>
            </w:r>
          </w:p>
        </w:tc>
        <w:tc>
          <w:tcPr/>
          <w:p>
            <w:pPr>
              <w:pStyle w:val="Compact"/>
            </w:pPr>
            <w:r>
              <w:t xml:space="preserve">Likely spelling variants in later synonym lists</w:t>
            </w:r>
          </w:p>
        </w:tc>
        <w:tc>
          <w:tcPr/>
          <w:p>
            <w:pPr>
              <w:pStyle w:val="Compact"/>
            </w:pPr>
            <w:r>
              <w:t xml:space="preserve">Mostly derivative lists</w:t>
            </w:r>
          </w:p>
        </w:tc>
        <w:tc>
          <w:tcPr/>
          <w:p>
            <w:pPr>
              <w:pStyle w:val="Compact"/>
              <w:jc w:val="right"/>
            </w:pPr>
            <w:r>
              <w:t xml:space="preserve">Likely humanoid if attested</w:t>
            </w:r>
          </w:p>
        </w:tc>
        <w:tc>
          <w:tcPr/>
          <w:p>
            <w:pPr>
              <w:pStyle w:val="Compact"/>
            </w:pPr>
            <w:r>
              <w:rPr>
                <w:b/>
                <w:bCs/>
              </w:rPr>
              <w:t xml:space="preserve">validate_before_use</w:t>
            </w:r>
          </w:p>
        </w:tc>
        <w:tc>
          <w:tcPr/>
          <w:p>
            <w:pPr>
              <w:pStyle w:val="Compact"/>
            </w:pPr>
            <w:r>
              <w:t xml:space="preserve">Merge as provisional variant cluster only</w:t>
            </w:r>
          </w:p>
        </w:tc>
      </w:tr>
      <w:tr>
        <w:tc>
          <w:tcPr/>
          <w:p>
            <w:pPr>
              <w:pStyle w:val="Compact"/>
            </w:pPr>
            <w:r>
              <w:rPr>
                <w:b/>
                <w:bCs/>
              </w:rPr>
              <w:t xml:space="preserve">Thoolagal</w:t>
            </w:r>
          </w:p>
        </w:tc>
        <w:tc>
          <w:tcPr/>
          <w:p>
            <w:pPr>
              <w:pStyle w:val="Compact"/>
            </w:pPr>
            <w:r>
              <w:t xml:space="preserve">Sparse source-list synonym</w:t>
            </w:r>
          </w:p>
        </w:tc>
        <w:tc>
          <w:tcPr/>
          <w:p>
            <w:pPr>
              <w:pStyle w:val="Compact"/>
            </w:pPr>
            <w:r>
              <w:t xml:space="preserve">Mostly derivative lists</w:t>
            </w:r>
          </w:p>
        </w:tc>
        <w:tc>
          <w:tcPr/>
          <w:p>
            <w:pPr>
              <w:pStyle w:val="Compact"/>
              <w:jc w:val="right"/>
            </w:pPr>
            <w:r>
              <w:t xml:space="preserve">Likely humanoid if attested</w:t>
            </w:r>
          </w:p>
        </w:tc>
        <w:tc>
          <w:tcPr/>
          <w:p>
            <w:pPr>
              <w:pStyle w:val="Compact"/>
            </w:pPr>
            <w:r>
              <w:rPr>
                <w:b/>
                <w:bCs/>
              </w:rPr>
              <w:t xml:space="preserve">validate_before_use</w:t>
            </w:r>
          </w:p>
        </w:tc>
        <w:tc>
          <w:tcPr/>
          <w:p>
            <w:pPr>
              <w:pStyle w:val="Compact"/>
            </w:pPr>
            <w:r>
              <w:t xml:space="preserve">Do not count as separate type</w:t>
            </w:r>
          </w:p>
        </w:tc>
      </w:tr>
      <w:tr>
        <w:tc>
          <w:tcPr/>
          <w:p>
            <w:pPr>
              <w:pStyle w:val="Compact"/>
            </w:pPr>
            <w:r>
              <w:rPr>
                <w:b/>
                <w:bCs/>
              </w:rPr>
              <w:t xml:space="preserve">Joogabinna</w:t>
            </w:r>
          </w:p>
        </w:tc>
        <w:tc>
          <w:tcPr/>
          <w:p>
            <w:pPr>
              <w:pStyle w:val="Compact"/>
            </w:pPr>
            <w:r>
              <w:t xml:space="preserve">Sparse source-list synonym</w:t>
            </w:r>
          </w:p>
        </w:tc>
        <w:tc>
          <w:tcPr/>
          <w:p>
            <w:pPr>
              <w:pStyle w:val="Compact"/>
            </w:pPr>
            <w:r>
              <w:t xml:space="preserve">Mostly derivative lists</w:t>
            </w:r>
          </w:p>
        </w:tc>
        <w:tc>
          <w:tcPr/>
          <w:p>
            <w:pPr>
              <w:pStyle w:val="Compact"/>
              <w:jc w:val="right"/>
            </w:pPr>
            <w:r>
              <w:t xml:space="preserve">Likely humanoid if attested</w:t>
            </w:r>
          </w:p>
        </w:tc>
        <w:tc>
          <w:tcPr/>
          <w:p>
            <w:pPr>
              <w:pStyle w:val="Compact"/>
            </w:pPr>
            <w:r>
              <w:rPr>
                <w:b/>
                <w:bCs/>
              </w:rPr>
              <w:t xml:space="preserve">validate_before_use</w:t>
            </w:r>
          </w:p>
        </w:tc>
        <w:tc>
          <w:tcPr/>
          <w:p>
            <w:pPr>
              <w:pStyle w:val="Compact"/>
            </w:pPr>
            <w:r>
              <w:t xml:space="preserve">Needs source-grounded attestation</w:t>
            </w:r>
          </w:p>
        </w:tc>
      </w:tr>
      <w:tr>
        <w:tc>
          <w:tcPr/>
          <w:p>
            <w:pPr>
              <w:pStyle w:val="Compact"/>
            </w:pPr>
            <w:r>
              <w:rPr>
                <w:b/>
                <w:bCs/>
              </w:rPr>
              <w:t xml:space="preserve">Ghindaring</w:t>
            </w:r>
          </w:p>
        </w:tc>
        <w:tc>
          <w:tcPr/>
          <w:p>
            <w:pPr>
              <w:pStyle w:val="Compact"/>
            </w:pPr>
            <w:r>
              <w:t xml:space="preserve">Sparse source-list synonym</w:t>
            </w:r>
          </w:p>
        </w:tc>
        <w:tc>
          <w:tcPr/>
          <w:p>
            <w:pPr>
              <w:pStyle w:val="Compact"/>
            </w:pPr>
            <w:r>
              <w:t xml:space="preserve">Mostly derivative lists</w:t>
            </w:r>
          </w:p>
        </w:tc>
        <w:tc>
          <w:tcPr/>
          <w:p>
            <w:pPr>
              <w:pStyle w:val="Compact"/>
              <w:jc w:val="right"/>
            </w:pPr>
            <w:r>
              <w:t xml:space="preserve">Likely humanoid if attested</w:t>
            </w:r>
          </w:p>
        </w:tc>
        <w:tc>
          <w:tcPr/>
          <w:p>
            <w:pPr>
              <w:pStyle w:val="Compact"/>
            </w:pPr>
            <w:r>
              <w:rPr>
                <w:b/>
                <w:bCs/>
              </w:rPr>
              <w:t xml:space="preserve">validate_before_use</w:t>
            </w:r>
          </w:p>
        </w:tc>
        <w:tc>
          <w:tcPr/>
          <w:p>
            <w:pPr>
              <w:pStyle w:val="Compact"/>
            </w:pPr>
            <w:r>
              <w:t xml:space="preserve">Needs source-grounded attestation</w:t>
            </w:r>
          </w:p>
        </w:tc>
      </w:tr>
      <w:tr>
        <w:tc>
          <w:tcPr/>
          <w:p>
            <w:pPr>
              <w:pStyle w:val="Compact"/>
            </w:pPr>
            <w:r>
              <w:rPr>
                <w:b/>
                <w:bCs/>
              </w:rPr>
              <w:t xml:space="preserve">Jurrawarra</w:t>
            </w:r>
          </w:p>
        </w:tc>
        <w:tc>
          <w:tcPr/>
          <w:p>
            <w:pPr>
              <w:pStyle w:val="Compact"/>
            </w:pPr>
            <w:r>
              <w:t xml:space="preserve">Sparse source-list synonym</w:t>
            </w:r>
          </w:p>
        </w:tc>
        <w:tc>
          <w:tcPr/>
          <w:p>
            <w:pPr>
              <w:pStyle w:val="Compact"/>
            </w:pPr>
            <w:r>
              <w:t xml:space="preserve">Mostly derivative lists</w:t>
            </w:r>
          </w:p>
        </w:tc>
        <w:tc>
          <w:tcPr/>
          <w:p>
            <w:pPr>
              <w:pStyle w:val="Compact"/>
              <w:jc w:val="right"/>
            </w:pPr>
            <w:r>
              <w:t xml:space="preserve">Likely humanoid if attested</w:t>
            </w:r>
          </w:p>
        </w:tc>
        <w:tc>
          <w:tcPr/>
          <w:p>
            <w:pPr>
              <w:pStyle w:val="Compact"/>
            </w:pPr>
            <w:r>
              <w:rPr>
                <w:b/>
                <w:bCs/>
              </w:rPr>
              <w:t xml:space="preserve">validate_before_use</w:t>
            </w:r>
          </w:p>
        </w:tc>
        <w:tc>
          <w:tcPr/>
          <w:p>
            <w:pPr>
              <w:pStyle w:val="Compact"/>
            </w:pPr>
            <w:r>
              <w:t xml:space="preserve">Needs source-grounded attestation</w:t>
            </w:r>
          </w:p>
        </w:tc>
      </w:tr>
      <w:tr>
        <w:tc>
          <w:tcPr/>
          <w:p>
            <w:pPr>
              <w:pStyle w:val="Compact"/>
            </w:pPr>
            <w:r>
              <w:rPr>
                <w:b/>
                <w:bCs/>
              </w:rPr>
              <w:t xml:space="preserve">Myngawin</w:t>
            </w:r>
          </w:p>
        </w:tc>
        <w:tc>
          <w:tcPr/>
          <w:p>
            <w:pPr>
              <w:pStyle w:val="Compact"/>
            </w:pPr>
            <w:r>
              <w:t xml:space="preserve">Sparse source-list synonym</w:t>
            </w:r>
          </w:p>
        </w:tc>
        <w:tc>
          <w:tcPr/>
          <w:p>
            <w:pPr>
              <w:pStyle w:val="Compact"/>
            </w:pPr>
            <w:r>
              <w:t xml:space="preserve">Mostly derivative lists</w:t>
            </w:r>
          </w:p>
        </w:tc>
        <w:tc>
          <w:tcPr/>
          <w:p>
            <w:pPr>
              <w:pStyle w:val="Compact"/>
              <w:jc w:val="right"/>
            </w:pPr>
            <w:r>
              <w:t xml:space="preserve">Likely humanoid if attested</w:t>
            </w:r>
          </w:p>
        </w:tc>
        <w:tc>
          <w:tcPr/>
          <w:p>
            <w:pPr>
              <w:pStyle w:val="Compact"/>
            </w:pPr>
            <w:r>
              <w:rPr>
                <w:b/>
                <w:bCs/>
              </w:rPr>
              <w:t xml:space="preserve">validate_before_use</w:t>
            </w:r>
          </w:p>
        </w:tc>
        <w:tc>
          <w:tcPr/>
          <w:p>
            <w:pPr>
              <w:pStyle w:val="Compact"/>
            </w:pPr>
            <w:r>
              <w:t xml:space="preserve">Needs source-grounded attestation</w:t>
            </w:r>
          </w:p>
        </w:tc>
      </w:tr>
      <w:tr>
        <w:tc>
          <w:tcPr/>
          <w:p>
            <w:pPr>
              <w:pStyle w:val="Compact"/>
            </w:pPr>
            <w:r>
              <w:rPr>
                <w:b/>
                <w:bCs/>
              </w:rPr>
              <w:t xml:space="preserve">Noocoonah</w:t>
            </w:r>
          </w:p>
        </w:tc>
        <w:tc>
          <w:tcPr/>
          <w:p>
            <w:pPr>
              <w:pStyle w:val="Compact"/>
            </w:pPr>
            <w:r>
              <w:t xml:space="preserve">Sparse source-list synonym</w:t>
            </w:r>
          </w:p>
        </w:tc>
        <w:tc>
          <w:tcPr/>
          <w:p>
            <w:pPr>
              <w:pStyle w:val="Compact"/>
            </w:pPr>
            <w:r>
              <w:t xml:space="preserve">Mostly derivative lists</w:t>
            </w:r>
          </w:p>
        </w:tc>
        <w:tc>
          <w:tcPr/>
          <w:p>
            <w:pPr>
              <w:pStyle w:val="Compact"/>
              <w:jc w:val="right"/>
            </w:pPr>
            <w:r>
              <w:t xml:space="preserve">Likely humanoid if attested</w:t>
            </w:r>
          </w:p>
        </w:tc>
        <w:tc>
          <w:tcPr/>
          <w:p>
            <w:pPr>
              <w:pStyle w:val="Compact"/>
            </w:pPr>
            <w:r>
              <w:rPr>
                <w:b/>
                <w:bCs/>
              </w:rPr>
              <w:t xml:space="preserve">validate_before_use</w:t>
            </w:r>
          </w:p>
        </w:tc>
        <w:tc>
          <w:tcPr/>
          <w:p>
            <w:pPr>
              <w:pStyle w:val="Compact"/>
            </w:pPr>
            <w:r>
              <w:t xml:space="preserve">Needs source-grounded attestation</w:t>
            </w:r>
          </w:p>
        </w:tc>
      </w:tr>
      <w:tr>
        <w:tc>
          <w:tcPr/>
          <w:p>
            <w:pPr>
              <w:pStyle w:val="Compact"/>
            </w:pPr>
            <w:r>
              <w:rPr>
                <w:b/>
                <w:bCs/>
              </w:rPr>
              <w:t xml:space="preserve">Wawee</w:t>
            </w:r>
          </w:p>
        </w:tc>
        <w:tc>
          <w:tcPr/>
          <w:p>
            <w:pPr>
              <w:pStyle w:val="Compact"/>
            </w:pPr>
            <w:r>
              <w:t xml:space="preserve">Sparse source-list synonym</w:t>
            </w:r>
          </w:p>
        </w:tc>
        <w:tc>
          <w:tcPr/>
          <w:p>
            <w:pPr>
              <w:pStyle w:val="Compact"/>
            </w:pPr>
            <w:r>
              <w:t xml:space="preserve">Mostly derivative lists</w:t>
            </w:r>
          </w:p>
        </w:tc>
        <w:tc>
          <w:tcPr/>
          <w:p>
            <w:pPr>
              <w:pStyle w:val="Compact"/>
              <w:jc w:val="right"/>
            </w:pPr>
            <w:r>
              <w:t xml:space="preserve">Unclear</w:t>
            </w:r>
          </w:p>
        </w:tc>
        <w:tc>
          <w:tcPr/>
          <w:p>
            <w:pPr>
              <w:pStyle w:val="Compact"/>
            </w:pPr>
            <w:r>
              <w:rPr>
                <w:b/>
                <w:bCs/>
              </w:rPr>
              <w:t xml:space="preserve">validate_before_use</w:t>
            </w:r>
          </w:p>
        </w:tc>
        <w:tc>
          <w:tcPr/>
          <w:p>
            <w:pPr>
              <w:pStyle w:val="Compact"/>
            </w:pPr>
            <w:r>
              <w:t xml:space="preserve">Needs source-grounded attestation</w:t>
            </w:r>
          </w:p>
        </w:tc>
      </w:tr>
      <w:tr>
        <w:tc>
          <w:tcPr/>
          <w:p>
            <w:pPr>
              <w:pStyle w:val="Compact"/>
            </w:pPr>
            <w:r>
              <w:rPr>
                <w:b/>
                <w:bCs/>
              </w:rPr>
              <w:t xml:space="preserve">Jimbra</w:t>
            </w:r>
          </w:p>
        </w:tc>
        <w:tc>
          <w:tcPr/>
          <w:p>
            <w:pPr>
              <w:pStyle w:val="Compact"/>
            </w:pPr>
            <w:r>
              <w:t xml:space="preserve">Sparse source-list synonym</w:t>
            </w:r>
          </w:p>
        </w:tc>
        <w:tc>
          <w:tcPr/>
          <w:p>
            <w:pPr>
              <w:pStyle w:val="Compact"/>
            </w:pPr>
            <w:r>
              <w:t xml:space="preserve">Mostly derivative lists</w:t>
            </w:r>
          </w:p>
        </w:tc>
        <w:tc>
          <w:tcPr/>
          <w:p>
            <w:pPr>
              <w:pStyle w:val="Compact"/>
              <w:jc w:val="right"/>
            </w:pPr>
            <w:r>
              <w:t xml:space="preserve">Unclear</w:t>
            </w:r>
          </w:p>
        </w:tc>
        <w:tc>
          <w:tcPr/>
          <w:p>
            <w:pPr>
              <w:pStyle w:val="Compact"/>
            </w:pPr>
            <w:r>
              <w:rPr>
                <w:b/>
                <w:bCs/>
              </w:rPr>
              <w:t xml:space="preserve">validate_before_use</w:t>
            </w:r>
          </w:p>
        </w:tc>
        <w:tc>
          <w:tcPr/>
          <w:p>
            <w:pPr>
              <w:pStyle w:val="Compact"/>
            </w:pPr>
            <w:r>
              <w:t xml:space="preserve">Needs source-grounded attestation</w:t>
            </w:r>
          </w:p>
        </w:tc>
      </w:tr>
      <w:tr>
        <w:tc>
          <w:tcPr/>
          <w:p>
            <w:pPr>
              <w:pStyle w:val="Compact"/>
            </w:pPr>
            <w:r>
              <w:rPr>
                <w:b/>
                <w:bCs/>
              </w:rPr>
              <w:t xml:space="preserve">Tjangara</w:t>
            </w:r>
          </w:p>
        </w:tc>
        <w:tc>
          <w:tcPr/>
          <w:p>
            <w:pPr>
              <w:pStyle w:val="Compact"/>
            </w:pPr>
            <w:r>
              <w:t xml:space="preserve">Sparse source-list synonym</w:t>
            </w:r>
          </w:p>
        </w:tc>
        <w:tc>
          <w:tcPr/>
          <w:p>
            <w:pPr>
              <w:pStyle w:val="Compact"/>
            </w:pPr>
            <w:r>
              <w:t xml:space="preserve">Mostly derivative lists</w:t>
            </w:r>
          </w:p>
        </w:tc>
        <w:tc>
          <w:tcPr/>
          <w:p>
            <w:pPr>
              <w:pStyle w:val="Compact"/>
              <w:jc w:val="right"/>
            </w:pPr>
            <w:r>
              <w:t xml:space="preserve">Unclear</w:t>
            </w:r>
          </w:p>
        </w:tc>
        <w:tc>
          <w:tcPr/>
          <w:p>
            <w:pPr>
              <w:pStyle w:val="Compact"/>
            </w:pPr>
            <w:r>
              <w:rPr>
                <w:b/>
                <w:bCs/>
              </w:rPr>
              <w:t xml:space="preserve">validate_before_use</w:t>
            </w:r>
          </w:p>
        </w:tc>
        <w:tc>
          <w:tcPr/>
          <w:p>
            <w:pPr>
              <w:pStyle w:val="Compact"/>
            </w:pPr>
            <w:r>
              <w:t xml:space="preserve">Needs source-grounded attestation</w:t>
            </w:r>
          </w:p>
        </w:tc>
      </w:tr>
      <w:tr>
        <w:tc>
          <w:tcPr/>
          <w:p>
            <w:pPr>
              <w:pStyle w:val="Compact"/>
            </w:pPr>
            <w:r>
              <w:rPr>
                <w:b/>
                <w:bCs/>
              </w:rPr>
              <w:t xml:space="preserve">Bunyip</w:t>
            </w:r>
          </w:p>
        </w:tc>
        <w:tc>
          <w:tcPr/>
          <w:p>
            <w:pPr>
              <w:pStyle w:val="Compact"/>
            </w:pPr>
            <w:r>
              <w:t xml:space="preserve">Stable control term</w:t>
            </w:r>
          </w:p>
        </w:tc>
        <w:tc>
          <w:tcPr/>
          <w:p>
            <w:pPr>
              <w:pStyle w:val="Compact"/>
            </w:pPr>
            <w:r>
              <w:t xml:space="preserve">Non-humanoid folklore/monster discourse</w:t>
            </w:r>
          </w:p>
        </w:tc>
        <w:tc>
          <w:tcPr/>
          <w:p>
            <w:pPr>
              <w:pStyle w:val="Compact"/>
              <w:jc w:val="right"/>
            </w:pPr>
            <w:r>
              <w:t xml:space="preserve">No</w:t>
            </w:r>
          </w:p>
        </w:tc>
        <w:tc>
          <w:tcPr/>
          <w:p>
            <w:pPr>
              <w:pStyle w:val="Compact"/>
            </w:pPr>
            <w:r>
              <w:rPr>
                <w:b/>
                <w:bCs/>
              </w:rPr>
              <w:t xml:space="preserve">control_only</w:t>
            </w:r>
          </w:p>
        </w:tc>
        <w:tc>
          <w:tcPr/>
          <w:p>
            <w:pPr>
              <w:pStyle w:val="Compact"/>
            </w:pPr>
            <w:r>
              <w:t xml:space="preserve">Useful exclusion/control term</w:t>
            </w:r>
          </w:p>
        </w:tc>
      </w:tr>
      <w:tr>
        <w:tc>
          <w:tcPr/>
          <w:p>
            <w:pPr>
              <w:pStyle w:val="Compact"/>
            </w:pPr>
            <w:r>
              <w:rPr>
                <w:b/>
                <w:bCs/>
              </w:rPr>
              <w:t xml:space="preserve">Drop bear</w:t>
            </w:r>
          </w:p>
        </w:tc>
        <w:tc>
          <w:tcPr/>
          <w:p>
            <w:pPr>
              <w:pStyle w:val="Compact"/>
            </w:pPr>
            <w:r>
              <w:t xml:space="preserve">Satirical control term</w:t>
            </w:r>
          </w:p>
        </w:tc>
        <w:tc>
          <w:tcPr/>
          <w:p>
            <w:pPr>
              <w:pStyle w:val="Compact"/>
            </w:pPr>
            <w:r>
              <w:t xml:space="preserve">Satire / tourism / internet folklore</w:t>
            </w:r>
          </w:p>
        </w:tc>
        <w:tc>
          <w:tcPr/>
          <w:p>
            <w:pPr>
              <w:pStyle w:val="Compact"/>
              <w:jc w:val="right"/>
            </w:pPr>
            <w:r>
              <w:t xml:space="preserve">No</w:t>
            </w:r>
          </w:p>
        </w:tc>
        <w:tc>
          <w:tcPr/>
          <w:p>
            <w:pPr>
              <w:pStyle w:val="Compact"/>
            </w:pPr>
            <w:r>
              <w:rPr>
                <w:b/>
                <w:bCs/>
              </w:rPr>
              <w:t xml:space="preserve">control_only</w:t>
            </w:r>
          </w:p>
        </w:tc>
        <w:tc>
          <w:tcPr/>
          <w:p>
            <w:pPr>
              <w:pStyle w:val="Compact"/>
            </w:pPr>
            <w:r>
              <w:t xml:space="preserve">Keep only as explicit control</w:t>
            </w:r>
          </w:p>
        </w:tc>
      </w:tr>
      <w:tr>
        <w:tc>
          <w:tcPr/>
          <w:p>
            <w:pPr>
              <w:pStyle w:val="Compact"/>
            </w:pPr>
            <w:r>
              <w:rPr>
                <w:b/>
                <w:bCs/>
              </w:rPr>
              <w:t xml:space="preserve">Rainbow Serpent</w:t>
            </w:r>
          </w:p>
        </w:tc>
        <w:tc>
          <w:tcPr/>
          <w:p>
            <w:pPr>
              <w:pStyle w:val="Compact"/>
            </w:pPr>
            <w:r>
              <w:t xml:space="preserve">Stable ancestral/cosmological figure</w:t>
            </w:r>
          </w:p>
        </w:tc>
        <w:tc>
          <w:tcPr/>
          <w:p>
            <w:pPr>
              <w:pStyle w:val="Compact"/>
            </w:pPr>
            <w:r>
              <w:t xml:space="preserve">Major cultural/cosmological discourse</w:t>
            </w:r>
          </w:p>
        </w:tc>
        <w:tc>
          <w:tcPr/>
          <w:p>
            <w:pPr>
              <w:pStyle w:val="Compact"/>
              <w:jc w:val="right"/>
            </w:pPr>
            <w:r>
              <w:t xml:space="preserve">No</w:t>
            </w:r>
          </w:p>
        </w:tc>
        <w:tc>
          <w:tcPr/>
          <w:p>
            <w:pPr>
              <w:pStyle w:val="Compact"/>
            </w:pPr>
            <w:r>
              <w:rPr>
                <w:b/>
                <w:bCs/>
              </w:rPr>
              <w:t xml:space="preserve">control_only</w:t>
            </w:r>
          </w:p>
        </w:tc>
        <w:tc>
          <w:tcPr/>
          <w:p>
            <w:pPr>
              <w:pStyle w:val="Compact"/>
            </w:pPr>
            <w:r>
              <w:t xml:space="preserve">Not humanoid; culturally sensitive</w:t>
            </w:r>
          </w:p>
        </w:tc>
      </w:tr>
      <w:tr>
        <w:tc>
          <w:tcPr/>
          <w:p>
            <w:pPr>
              <w:pStyle w:val="Compact"/>
            </w:pPr>
            <w:r>
              <w:rPr>
                <w:b/>
                <w:bCs/>
              </w:rPr>
              <w:t xml:space="preserve">Ngatyi</w:t>
            </w:r>
          </w:p>
        </w:tc>
        <w:tc>
          <w:tcPr/>
          <w:p>
            <w:pPr>
              <w:pStyle w:val="Compact"/>
            </w:pPr>
            <w:r>
              <w:t xml:space="preserve">Stable cultural/cosmological figure</w:t>
            </w:r>
          </w:p>
        </w:tc>
        <w:tc>
          <w:tcPr/>
          <w:p>
            <w:pPr>
              <w:pStyle w:val="Compact"/>
            </w:pPr>
            <w:r>
              <w:t xml:space="preserve">Serpentine being discourse</w:t>
            </w:r>
          </w:p>
        </w:tc>
        <w:tc>
          <w:tcPr/>
          <w:p>
            <w:pPr>
              <w:pStyle w:val="Compact"/>
              <w:jc w:val="right"/>
            </w:pPr>
            <w:r>
              <w:t xml:space="preserve">No</w:t>
            </w:r>
          </w:p>
        </w:tc>
        <w:tc>
          <w:tcPr/>
          <w:p>
            <w:pPr>
              <w:pStyle w:val="Compact"/>
            </w:pPr>
            <w:r>
              <w:rPr>
                <w:b/>
                <w:bCs/>
              </w:rPr>
              <w:t xml:space="preserve">control_only</w:t>
            </w:r>
          </w:p>
        </w:tc>
        <w:tc>
          <w:tcPr/>
          <w:p>
            <w:pPr>
              <w:pStyle w:val="Compact"/>
            </w:pPr>
            <w:r>
              <w:t xml:space="preserve">Not humanoid</w:t>
            </w:r>
          </w:p>
        </w:tc>
      </w:tr>
      <w:tr>
        <w:tc>
          <w:tcPr/>
          <w:p>
            <w:pPr>
              <w:pStyle w:val="Compact"/>
            </w:pPr>
            <w:r>
              <w:rPr>
                <w:b/>
                <w:bCs/>
              </w:rPr>
              <w:t xml:space="preserve">Bula</w:t>
            </w:r>
          </w:p>
        </w:tc>
        <w:tc>
          <w:tcPr/>
          <w:p>
            <w:pPr>
              <w:pStyle w:val="Compact"/>
            </w:pPr>
            <w:r>
              <w:t xml:space="preserve">Stable cultural/cosmological figure</w:t>
            </w:r>
          </w:p>
        </w:tc>
        <w:tc>
          <w:tcPr/>
          <w:p>
            <w:pPr>
              <w:pStyle w:val="Compact"/>
            </w:pPr>
            <w:r>
              <w:t xml:space="preserve">Not a v1 humanoid encounter category</w:t>
            </w:r>
          </w:p>
        </w:tc>
        <w:tc>
          <w:tcPr/>
          <w:p>
            <w:pPr>
              <w:pStyle w:val="Compact"/>
              <w:jc w:val="right"/>
            </w:pPr>
            <w:r>
              <w:t xml:space="preserve">No</w:t>
            </w:r>
          </w:p>
        </w:tc>
        <w:tc>
          <w:tcPr/>
          <w:p>
            <w:pPr>
              <w:pStyle w:val="Compact"/>
            </w:pPr>
            <w:r>
              <w:rPr>
                <w:b/>
                <w:bCs/>
              </w:rPr>
              <w:t xml:space="preserve">control_only</w:t>
            </w:r>
          </w:p>
        </w:tc>
        <w:tc>
          <w:tcPr/>
          <w:p>
            <w:pPr>
              <w:pStyle w:val="Compact"/>
            </w:pPr>
            <w:r>
              <w:t xml:space="preserve">Exclude from encounter ontology</w:t>
            </w:r>
          </w:p>
        </w:tc>
      </w:tr>
      <w:tr>
        <w:tc>
          <w:tcPr/>
          <w:p>
            <w:pPr>
              <w:pStyle w:val="Compact"/>
            </w:pPr>
            <w:r>
              <w:rPr>
                <w:b/>
                <w:bCs/>
              </w:rPr>
              <w:t xml:space="preserve">Min Min lights</w:t>
            </w:r>
          </w:p>
        </w:tc>
        <w:tc>
          <w:tcPr/>
          <w:p>
            <w:pPr>
              <w:pStyle w:val="Compact"/>
            </w:pPr>
            <w:r>
              <w:t xml:space="preserve">Stable anomalous phenomenon label</w:t>
            </w:r>
          </w:p>
        </w:tc>
        <w:tc>
          <w:tcPr/>
          <w:p>
            <w:pPr>
              <w:pStyle w:val="Compact"/>
            </w:pPr>
            <w:r>
              <w:t xml:space="preserve">Light phenomenon discourse</w:t>
            </w:r>
          </w:p>
        </w:tc>
        <w:tc>
          <w:tcPr/>
          <w:p>
            <w:pPr>
              <w:pStyle w:val="Compact"/>
              <w:jc w:val="right"/>
            </w:pPr>
            <w:r>
              <w:t xml:space="preserve">No</w:t>
            </w:r>
          </w:p>
        </w:tc>
        <w:tc>
          <w:tcPr/>
          <w:p>
            <w:pPr>
              <w:pStyle w:val="Compact"/>
            </w:pPr>
            <w:r>
              <w:rPr>
                <w:b/>
                <w:bCs/>
              </w:rPr>
              <w:t xml:space="preserve">control_only</w:t>
            </w:r>
          </w:p>
        </w:tc>
        <w:tc>
          <w:tcPr/>
          <w:p>
            <w:pPr>
              <w:pStyle w:val="Compact"/>
            </w:pPr>
            <w:r>
              <w:t xml:space="preserve">Useful non-humanoid anomaly control</w:t>
            </w:r>
          </w:p>
        </w:tc>
      </w:tr>
    </w:tbl>
    <w:p>
      <w:pPr>
        <w:pStyle w:val="BodyText"/>
      </w:pPr>
      <w:r>
        <w:t xml:space="preserve">This recommendation is shaped by three broad facts: the repository’s current lexicon explicitly marks some terms as validation or controls; public AIATSIS catalogue material presents many of the named Indigenous figures in rock-art, ancestral, spirit, or culturally contextual frames rather than as bounded encounter events; and AIATSIS, ATSILIRN, and museum protocols all strongly discourage casual flattening of culturally specific material into generic paranormal categories.</w:t>
      </w:r>
      <w:r>
        <w:t xml:space="preserve"> </w:t>
      </w:r>
      <w:hyperlink r:id="rId33">
        <w:r>
          <w:rPr>
            <w:rStyle w:val="Hyperlink"/>
          </w:rPr>
          <w:t xml:space="preserve">[17]</w:t>
        </w:r>
      </w:hyperlink>
    </w:p>
    <w:p>
      <w:pPr>
        <w:pStyle w:val="BodyText"/>
      </w:pPr>
      <w:r>
        <w:rPr>
          <w:b/>
          <w:bCs/>
        </w:rPr>
        <w:t xml:space="preserve">9. Representative current-record audit</w:t>
      </w:r>
    </w:p>
    <w:p>
      <w:pPr>
        <w:pStyle w:val="BodyText"/>
      </w:pPr>
      <w:r>
        <w:t xml:space="preserve">A varied sample strongly suggests that much of the current repository is useful, but not yet in the right layer.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Sampled item</w:t>
            </w:r>
          </w:p>
        </w:tc>
        <w:tc>
          <w:tcPr/>
          <w:p>
            <w:pPr>
              <w:pStyle w:val="Compact"/>
            </w:pPr>
            <w:r>
              <w:t xml:space="preserve">What it is now</w:t>
            </w:r>
          </w:p>
        </w:tc>
        <w:tc>
          <w:tcPr/>
          <w:p>
            <w:pPr>
              <w:pStyle w:val="Compact"/>
            </w:pPr>
            <w:r>
              <w:t xml:space="preserve">What it should become</w:t>
            </w:r>
          </w:p>
        </w:tc>
        <w:tc>
          <w:tcPr/>
          <w:p>
            <w:pPr>
              <w:pStyle w:val="Compact"/>
            </w:pPr>
            <w:r>
              <w:t xml:space="preserve">Key problem</w:t>
            </w:r>
          </w:p>
        </w:tc>
        <w:tc>
          <w:tcPr/>
          <w:p>
            <w:pPr>
              <w:pStyle w:val="Compact"/>
            </w:pPr>
            <w:r>
              <w:t xml:space="preserve">Promotion requirement</w:t>
            </w:r>
          </w:p>
        </w:tc>
      </w:tr>
      <w:tr>
        <w:tc>
          <w:tcPr/>
          <w:p>
            <w:pPr>
              <w:pStyle w:val="Compact"/>
            </w:pPr>
            <w:r>
              <w:rPr>
                <w:b/>
                <w:bCs/>
              </w:rPr>
              <w:t xml:space="preserve">1831 – Sailors Yowie Hoax?</w:t>
            </w:r>
          </w:p>
        </w:tc>
        <w:tc>
          <w:tcPr/>
          <w:p>
            <w:pPr>
              <w:pStyle w:val="Compact"/>
            </w:pPr>
            <w:r>
              <w:t xml:space="preserve">AYR historical page</w:t>
            </w:r>
          </w:p>
        </w:tc>
        <w:tc>
          <w:tcPr/>
          <w:p>
            <w:pPr>
              <w:pStyle w:val="Compact"/>
            </w:pPr>
            <w:r>
              <w:rPr>
                <w:b/>
                <w:bCs/>
              </w:rPr>
              <w:t xml:space="preserve">Excluded</w:t>
            </w:r>
            <w:r>
              <w:t xml:space="preserve"> </w:t>
            </w:r>
            <w:r>
              <w:t xml:space="preserve">or overseas extension</w:t>
            </w:r>
          </w:p>
        </w:tc>
        <w:tc>
          <w:tcPr/>
          <w:p>
            <w:pPr>
              <w:pStyle w:val="Compact"/>
            </w:pPr>
            <w:r>
              <w:t xml:space="preserve">The snippet itself places the encounter in</w:t>
            </w:r>
            <w:r>
              <w:t xml:space="preserve"> </w:t>
            </w:r>
            <w:r>
              <w:rPr>
                <w:b/>
                <w:bCs/>
              </w:rPr>
              <w:t xml:space="preserve">Dusky Sound, New Zealand</w:t>
            </w:r>
            <w:r>
              <w:t xml:space="preserve">, not Australia</w:t>
            </w:r>
          </w:p>
        </w:tc>
        <w:tc>
          <w:tcPr/>
          <w:p>
            <w:pPr>
              <w:pStyle w:val="Compact"/>
            </w:pPr>
            <w:r>
              <w:t xml:space="preserve">Exclude from v1 core on geography grounds</w:t>
            </w:r>
          </w:p>
        </w:tc>
      </w:tr>
      <w:tr>
        <w:tc>
          <w:tcPr/>
          <w:p>
            <w:pPr>
              <w:pStyle w:val="Compact"/>
            </w:pPr>
            <w:r>
              <w:rPr>
                <w:b/>
                <w:bCs/>
              </w:rPr>
              <w:t xml:space="preserve">1843 – Sydney Morning Herald 2</w:t>
            </w:r>
          </w:p>
        </w:tc>
        <w:tc>
          <w:tcPr/>
          <w:p>
            <w:pPr>
              <w:pStyle w:val="Compact"/>
            </w:pPr>
            <w:r>
              <w:t xml:space="preserve">AYR historical reproduction</w:t>
            </w:r>
          </w:p>
        </w:tc>
        <w:tc>
          <w:tcPr/>
          <w:p>
            <w:pPr>
              <w:pStyle w:val="Compact"/>
            </w:pPr>
            <w:r>
              <w:t xml:space="preserve">Event candidate + source pointer</w:t>
            </w:r>
          </w:p>
        </w:tc>
        <w:tc>
          <w:tcPr/>
          <w:p>
            <w:pPr>
              <w:pStyle w:val="Compact"/>
            </w:pPr>
            <w:r>
              <w:t xml:space="preserve">Likely real historical report, but currently present as AYR reproduction</w:t>
            </w:r>
          </w:p>
        </w:tc>
        <w:tc>
          <w:tcPr/>
          <w:p>
            <w:pPr>
              <w:pStyle w:val="Compact"/>
            </w:pPr>
            <w:r>
              <w:t xml:space="preserve">Link original newspaper source before Tier 1</w:t>
            </w:r>
          </w:p>
        </w:tc>
      </w:tr>
      <w:tr>
        <w:tc>
          <w:tcPr/>
          <w:p>
            <w:pPr>
              <w:pStyle w:val="Compact"/>
            </w:pPr>
            <w:r>
              <w:rPr>
                <w:b/>
                <w:bCs/>
              </w:rPr>
              <w:t xml:space="preserve">1882 – The Naturalist Article</w:t>
            </w:r>
          </w:p>
        </w:tc>
        <w:tc>
          <w:tcPr/>
          <w:p>
            <w:pPr>
              <w:pStyle w:val="Compact"/>
            </w:pPr>
            <w:r>
              <w:t xml:space="preserve">AYR historical reproduction</w:t>
            </w:r>
          </w:p>
        </w:tc>
        <w:tc>
          <w:tcPr/>
          <w:p>
            <w:pPr>
              <w:pStyle w:val="Compact"/>
            </w:pPr>
            <w:r>
              <w:t xml:space="preserve">Strong event candidate + source pointer</w:t>
            </w:r>
          </w:p>
        </w:tc>
        <w:tc>
          <w:tcPr/>
          <w:p>
            <w:pPr>
              <w:pStyle w:val="Compact"/>
            </w:pPr>
            <w:r>
              <w:t xml:space="preserve">AYR itself points to the Town and Country Journal and H. J. McCooey</w:t>
            </w:r>
          </w:p>
        </w:tc>
        <w:tc>
          <w:tcPr/>
          <w:p>
            <w:pPr>
              <w:pStyle w:val="Compact"/>
            </w:pPr>
            <w:r>
              <w:t xml:space="preserve">Add original source item and relationship metadata</w:t>
            </w:r>
          </w:p>
        </w:tc>
      </w:tr>
      <w:tr>
        <w:tc>
          <w:tcPr/>
          <w:p>
            <w:pPr>
              <w:pStyle w:val="Compact"/>
            </w:pPr>
            <w:r>
              <w:rPr>
                <w:b/>
                <w:bCs/>
              </w:rPr>
              <w:t xml:space="preserve">Byron Bay, NSW 1902</w:t>
            </w:r>
          </w:p>
        </w:tc>
        <w:tc>
          <w:tcPr/>
          <w:p>
            <w:pPr>
              <w:pStyle w:val="Compact"/>
            </w:pPr>
            <w:r>
              <w:t xml:space="preserve">AYR retrospective page</w:t>
            </w:r>
          </w:p>
        </w:tc>
        <w:tc>
          <w:tcPr/>
          <w:p>
            <w:pPr>
              <w:pStyle w:val="Compact"/>
            </w:pPr>
            <w:r>
              <w:t xml:space="preserve">Tier 2 or lead</w:t>
            </w:r>
          </w:p>
        </w:tc>
        <w:tc>
          <w:tcPr/>
          <w:p>
            <w:pPr>
              <w:pStyle w:val="Compact"/>
            </w:pPr>
            <w:r>
              <w:t xml:space="preserve">AYR notes a “very poor quality clipping” and editorial restoration of unreadable lines</w:t>
            </w:r>
          </w:p>
        </w:tc>
        <w:tc>
          <w:tcPr/>
          <w:p>
            <w:pPr>
              <w:pStyle w:val="Compact"/>
            </w:pPr>
            <w:r>
              <w:t xml:space="preserve">Original article or clipping provenance needed</w:t>
            </w:r>
          </w:p>
        </w:tc>
      </w:tr>
      <w:tr>
        <w:tc>
          <w:tcPr/>
          <w:p>
            <w:pPr>
              <w:pStyle w:val="Compact"/>
            </w:pPr>
            <w:r>
              <w:rPr>
                <w:b/>
                <w:bCs/>
              </w:rPr>
              <w:t xml:space="preserve">Bombala, NSW 1912</w:t>
            </w:r>
          </w:p>
        </w:tc>
        <w:tc>
          <w:tcPr/>
          <w:p>
            <w:pPr>
              <w:pStyle w:val="Compact"/>
            </w:pPr>
            <w:r>
              <w:t xml:space="preserve">AYR historical reproduction</w:t>
            </w:r>
          </w:p>
        </w:tc>
        <w:tc>
          <w:tcPr/>
          <w:p>
            <w:pPr>
              <w:pStyle w:val="Compact"/>
            </w:pPr>
            <w:r>
              <w:t xml:space="preserve">Tier 1-ready once normalized</w:t>
            </w:r>
          </w:p>
        </w:tc>
        <w:tc>
          <w:tcPr/>
          <w:p>
            <w:pPr>
              <w:pStyle w:val="Compact"/>
            </w:pPr>
            <w:r>
              <w:t xml:space="preserve">AYR labels it “Yowie,” but original Trove source frames it as “Hairy Man of Bombala”</w:t>
            </w:r>
          </w:p>
        </w:tc>
        <w:tc>
          <w:tcPr/>
          <w:p>
            <w:pPr>
              <w:pStyle w:val="Compact"/>
            </w:pPr>
            <w:r>
              <w:t xml:space="preserve">Use original Trove article as primary source; keep “Yowie” as later label only</w:t>
            </w:r>
          </w:p>
        </w:tc>
      </w:tr>
      <w:tr>
        <w:tc>
          <w:tcPr/>
          <w:p>
            <w:pPr>
              <w:pStyle w:val="Compact"/>
            </w:pPr>
            <w:r>
              <w:rPr>
                <w:b/>
                <w:bCs/>
              </w:rPr>
              <w:t xml:space="preserve">Ormeau, QLD 1998</w:t>
            </w:r>
            <w:r>
              <w:t xml:space="preserve"> </w:t>
            </w:r>
            <w:r>
              <w:t xml:space="preserve">x2</w:t>
            </w:r>
          </w:p>
        </w:tc>
        <w:tc>
          <w:tcPr/>
          <w:p>
            <w:pPr>
              <w:pStyle w:val="Compact"/>
            </w:pPr>
            <w:r>
              <w:t xml:space="preserve">Two AYR rows with same place/year</w:t>
            </w:r>
          </w:p>
        </w:tc>
        <w:tc>
          <w:tcPr/>
          <w:p>
            <w:pPr>
              <w:pStyle w:val="Compact"/>
            </w:pPr>
            <w:r>
              <w:t xml:space="preserve">Two separate events or one duplicate cluster pending review</w:t>
            </w:r>
          </w:p>
        </w:tc>
        <w:tc>
          <w:tcPr/>
          <w:p>
            <w:pPr>
              <w:pStyle w:val="Compact"/>
            </w:pPr>
            <w:r>
              <w:t xml:space="preserve">Same place-year is not enough to infer same event; one is an “Aggressive Yowie Encounter,” another a roadside sighting</w:t>
            </w:r>
          </w:p>
        </w:tc>
        <w:tc>
          <w:tcPr/>
          <w:p>
            <w:pPr>
              <w:pStyle w:val="Compact"/>
            </w:pPr>
            <w:r>
              <w:t xml:space="preserve">Manual duplicate resolution at event level</w:t>
            </w:r>
          </w:p>
        </w:tc>
      </w:tr>
      <w:tr>
        <w:tc>
          <w:tcPr/>
          <w:p>
            <w:pPr>
              <w:pStyle w:val="Compact"/>
            </w:pPr>
            <w:r>
              <w:rPr>
                <w:b/>
                <w:bCs/>
              </w:rPr>
              <w:t xml:space="preserve">Helensburgh, NSW 2002</w:t>
            </w:r>
          </w:p>
        </w:tc>
        <w:tc>
          <w:tcPr/>
          <w:p>
            <w:pPr>
              <w:pStyle w:val="Compact"/>
            </w:pPr>
            <w:r>
              <w:t xml:space="preserve">AYR row that embeds later interview reference</w:t>
            </w:r>
          </w:p>
        </w:tc>
        <w:tc>
          <w:tcPr/>
          <w:p>
            <w:pPr>
              <w:pStyle w:val="Compact"/>
            </w:pPr>
            <w:r>
              <w:t xml:space="preserve">Event + two linked source items</w:t>
            </w:r>
          </w:p>
        </w:tc>
        <w:tc>
          <w:tcPr/>
          <w:p>
            <w:pPr>
              <w:pStyle w:val="Compact"/>
            </w:pPr>
            <w:r>
              <w:t xml:space="preserve">One page explicitly references speaking to witness again in 2019</w:t>
            </w:r>
          </w:p>
        </w:tc>
        <w:tc>
          <w:tcPr/>
          <w:p>
            <w:pPr>
              <w:pStyle w:val="Compact"/>
            </w:pPr>
            <w:r>
              <w:t xml:space="preserve">Split source items from event; mark one as later retelling</w:t>
            </w:r>
          </w:p>
        </w:tc>
      </w:tr>
      <w:tr>
        <w:tc>
          <w:tcPr/>
          <w:p>
            <w:pPr>
              <w:pStyle w:val="Compact"/>
            </w:pPr>
            <w:r>
              <w:rPr>
                <w:b/>
                <w:bCs/>
              </w:rPr>
              <w:t xml:space="preserve">Blackheath, NSW 2006</w:t>
            </w:r>
            <w:r>
              <w:t xml:space="preserve"> </w:t>
            </w:r>
            <w:r>
              <w:t xml:space="preserve">x2</w:t>
            </w:r>
          </w:p>
        </w:tc>
        <w:tc>
          <w:tcPr/>
          <w:p>
            <w:pPr>
              <w:pStyle w:val="Compact"/>
            </w:pPr>
            <w:r>
              <w:t xml:space="preserve">Two AYR rows with same title</w:t>
            </w:r>
          </w:p>
        </w:tc>
        <w:tc>
          <w:tcPr/>
          <w:p>
            <w:pPr>
              <w:pStyle w:val="Compact"/>
            </w:pPr>
            <w:r>
              <w:t xml:space="preserve">Probably distinct events or closely related incidents</w:t>
            </w:r>
          </w:p>
        </w:tc>
        <w:tc>
          <w:tcPr/>
          <w:p>
            <w:pPr>
              <w:pStyle w:val="Compact"/>
            </w:pPr>
            <w:r>
              <w:t xml:space="preserve">Same title conceals different dates and nearby localities</w:t>
            </w:r>
          </w:p>
        </w:tc>
        <w:tc>
          <w:tcPr/>
          <w:p>
            <w:pPr>
              <w:pStyle w:val="Compact"/>
            </w:pPr>
            <w:r>
              <w:t xml:space="preserve">Resolve by date, locality, and witness text</w:t>
            </w:r>
          </w:p>
        </w:tc>
      </w:tr>
      <w:tr>
        <w:tc>
          <w:tcPr/>
          <w:p>
            <w:pPr>
              <w:pStyle w:val="Compact"/>
            </w:pPr>
            <w:r>
              <w:rPr>
                <w:b/>
                <w:bCs/>
              </w:rPr>
              <w:t xml:space="preserve">Munmorah, NSW 2012</w:t>
            </w:r>
            <w:r>
              <w:t xml:space="preserve"> </w:t>
            </w:r>
            <w:r>
              <w:t xml:space="preserve">and</w:t>
            </w:r>
            <w:r>
              <w:t xml:space="preserve"> </w:t>
            </w:r>
            <w:r>
              <w:rPr>
                <w:b/>
                <w:bCs/>
              </w:rPr>
              <w:t xml:space="preserve">Lake Munmorah 2006</w:t>
            </w:r>
          </w:p>
        </w:tc>
        <w:tc>
          <w:tcPr/>
          <w:p>
            <w:pPr>
              <w:pStyle w:val="Compact"/>
            </w:pPr>
            <w:r>
              <w:t xml:space="preserve">Metadata inconsistency</w:t>
            </w:r>
          </w:p>
        </w:tc>
        <w:tc>
          <w:tcPr/>
          <w:p>
            <w:pPr>
              <w:pStyle w:val="Compact"/>
            </w:pPr>
            <w:r>
              <w:t xml:space="preserve">One corrected event, one separate event, or one error</w:t>
            </w:r>
          </w:p>
        </w:tc>
        <w:tc>
          <w:tcPr/>
          <w:p>
            <w:pPr>
              <w:pStyle w:val="Compact"/>
            </w:pPr>
            <w:r>
              <w:t xml:space="preserve">A row titled “2012” points to a Lake Munmorah 2006 URL</w:t>
            </w:r>
          </w:p>
        </w:tc>
        <w:tc>
          <w:tcPr/>
          <w:p>
            <w:pPr>
              <w:pStyle w:val="Compact"/>
            </w:pPr>
            <w:r>
              <w:t xml:space="preserve">Human metadata correction required</w:t>
            </w:r>
          </w:p>
        </w:tc>
      </w:tr>
      <w:tr>
        <w:tc>
          <w:tcPr/>
          <w:p>
            <w:pPr>
              <w:pStyle w:val="Compact"/>
            </w:pPr>
            <w:r>
              <w:rPr>
                <w:b/>
                <w:bCs/>
              </w:rPr>
              <w:t xml:space="preserve">ABC Kilcoy tourism story</w:t>
            </w:r>
          </w:p>
        </w:tc>
        <w:tc>
          <w:tcPr/>
          <w:p>
            <w:pPr>
              <w:pStyle w:val="Compact"/>
            </w:pPr>
            <w:r>
              <w:t xml:space="preserve">Row in main record export</w:t>
            </w:r>
          </w:p>
        </w:tc>
        <w:tc>
          <w:tcPr/>
          <w:p>
            <w:pPr>
              <w:pStyle w:val="Compact"/>
            </w:pPr>
            <w:r>
              <w:rPr>
                <w:b/>
                <w:bCs/>
              </w:rPr>
              <w:t xml:space="preserve">Context item</w:t>
            </w:r>
          </w:p>
        </w:tc>
        <w:tc>
          <w:tcPr/>
          <w:p>
            <w:pPr>
              <w:pStyle w:val="Compact"/>
            </w:pPr>
            <w:r>
              <w:t xml:space="preserve">Tourism branding is not an encounter event</w:t>
            </w:r>
          </w:p>
        </w:tc>
        <w:tc>
          <w:tcPr/>
          <w:p>
            <w:pPr>
              <w:pStyle w:val="Compact"/>
            </w:pPr>
            <w:r>
              <w:t xml:space="preserve">Move to discourse layer</w:t>
            </w:r>
          </w:p>
        </w:tc>
      </w:tr>
      <w:tr>
        <w:tc>
          <w:tcPr/>
          <w:p>
            <w:pPr>
              <w:pStyle w:val="Compact"/>
            </w:pPr>
            <w:r>
              <w:rPr>
                <w:b/>
                <w:bCs/>
              </w:rPr>
              <w:t xml:space="preserve">Wandjina Wikipedia page</w:t>
            </w:r>
          </w:p>
        </w:tc>
        <w:tc>
          <w:tcPr/>
          <w:p>
            <w:pPr>
              <w:pStyle w:val="Compact"/>
            </w:pPr>
            <w:r>
              <w:t xml:space="preserve">Row in main record export</w:t>
            </w:r>
          </w:p>
        </w:tc>
        <w:tc>
          <w:tcPr/>
          <w:p>
            <w:pPr>
              <w:pStyle w:val="Compact"/>
            </w:pPr>
            <w:r>
              <w:rPr>
                <w:b/>
                <w:bCs/>
              </w:rPr>
              <w:t xml:space="preserve">Context item</w:t>
            </w:r>
          </w:p>
        </w:tc>
        <w:tc>
          <w:tcPr/>
          <w:p>
            <w:pPr>
              <w:pStyle w:val="Compact"/>
            </w:pPr>
            <w:r>
              <w:t xml:space="preserve">General cultural/ancestral figure page, not an encounter report</w:t>
            </w:r>
          </w:p>
        </w:tc>
        <w:tc>
          <w:tcPr/>
          <w:p>
            <w:pPr>
              <w:pStyle w:val="Compact"/>
            </w:pPr>
            <w:r>
              <w:t xml:space="preserve">Move to context layer only</w:t>
            </w:r>
          </w:p>
        </w:tc>
      </w:tr>
    </w:tbl>
    <w:p>
      <w:pPr>
        <w:pStyle w:val="BodyText"/>
      </w:pPr>
      <w:r>
        <w:t xml:space="preserve">The supporting evidence is clear in the export. The 1831 row mentions a ship from Sydney visiting</w:t>
      </w:r>
      <w:r>
        <w:t xml:space="preserve"> </w:t>
      </w:r>
      <w:r>
        <w:rPr>
          <w:b/>
          <w:bCs/>
        </w:rPr>
        <w:t xml:space="preserve">Dusky Sound in New Zealand</w:t>
      </w:r>
      <w:r>
        <w:t xml:space="preserve">. The 1902 Byron Bay row explicitly admits dependence on a poor clipping and editorial reconstruction. The Bombala row shows how a later “Yowie” normalization overlays an original “hairy man” report. The Kilcoy ABC story is plainly tourism discourse, and the Wandjina row is a general cultural page.</w:t>
      </w:r>
      <w:r>
        <w:t xml:space="preserve"> </w:t>
      </w:r>
      <w:hyperlink r:id="rId23">
        <w:r>
          <w:rPr>
            <w:rStyle w:val="Hyperlink"/>
          </w:rPr>
          <w:t xml:space="preserve">[18]</w:t>
        </w:r>
      </w:hyperlink>
    </w:p>
    <w:p>
      <w:pPr>
        <w:pStyle w:val="BodyText"/>
      </w:pPr>
      <w:r>
        <w:rPr>
          <w:b/>
          <w:bCs/>
        </w:rPr>
        <w:t xml:space="preserve">Estimated retention after strict scoping</w:t>
      </w:r>
    </w:p>
    <w:p>
      <w:pPr>
        <w:pStyle w:val="BodyText"/>
      </w:pPr>
      <w:r>
        <w:t xml:space="preserve">My conservative estimate is that only</w:t>
      </w:r>
      <w:r>
        <w:t xml:space="preserve"> </w:t>
      </w:r>
      <w:r>
        <w:rPr>
          <w:b/>
          <w:bCs/>
        </w:rPr>
        <w:t xml:space="preserve">about 15–35% of current visible cards</w:t>
      </w:r>
      <w:r>
        <w:t xml:space="preserve"> </w:t>
      </w:r>
      <w:r>
        <w:t xml:space="preserve">would remain as</w:t>
      </w:r>
      <w:r>
        <w:t xml:space="preserve"> </w:t>
      </w:r>
      <w:r>
        <w:rPr>
          <w:b/>
          <w:bCs/>
        </w:rPr>
        <w:t xml:space="preserve">unique eligible encounter events</w:t>
      </w:r>
      <w:r>
        <w:t xml:space="preserve"> </w:t>
      </w:r>
      <w:r>
        <w:t xml:space="preserve">after de-duplication, removal of context items, exclusion of overseas or non-humanoid material, and separation of event rows from source rows. The percentage that could immediately qualify as a</w:t>
      </w:r>
      <w:r>
        <w:t xml:space="preserve"> </w:t>
      </w:r>
      <w:r>
        <w:rPr>
          <w:b/>
          <w:bCs/>
        </w:rPr>
        <w:t xml:space="preserve">Tier 1 verified-source core</w:t>
      </w:r>
      <w:r>
        <w:t xml:space="preserve"> </w:t>
      </w:r>
      <w:r>
        <w:t xml:space="preserve">is probably lower, roughly</w:t>
      </w:r>
      <w:r>
        <w:t xml:space="preserve"> </w:t>
      </w:r>
      <w:r>
        <w:rPr>
          <w:b/>
          <w:bCs/>
        </w:rPr>
        <w:t xml:space="preserve">10–20%</w:t>
      </w:r>
      <w:r>
        <w:t xml:space="preserve"> </w:t>
      </w:r>
      <w:r>
        <w:t xml:space="preserve">without a dedicated original-source verification pass. That estimate is an inference from the repository structure and the sampled records above, not a claim of exact measurement.</w:t>
      </w:r>
      <w:r>
        <w:t xml:space="preserve"> </w:t>
      </w:r>
      <w:hyperlink r:id="rId21">
        <w:r>
          <w:rPr>
            <w:rStyle w:val="Hyperlink"/>
          </w:rPr>
          <w:t xml:space="preserve">[19]</w:t>
        </w:r>
      </w:hyperlink>
    </w:p>
    <w:bookmarkEnd w:id="34"/>
    <w:bookmarkStart w:id="36" w:name="tiers-sources-and-quality-review"/>
    <w:p>
      <w:pPr>
        <w:pStyle w:val="Heading2"/>
      </w:pPr>
      <w:r>
        <w:t xml:space="preserve">Tiers, sources, and quality review</w:t>
      </w:r>
    </w:p>
    <w:p>
      <w:pPr>
        <w:pStyle w:val="FirstParagraph"/>
      </w:pPr>
      <w:r>
        <w:rPr>
          <w:b/>
          <w:bCs/>
        </w:rPr>
        <w:t xml:space="preserve">10. Recommended tier system</w:t>
      </w:r>
    </w:p>
    <w:p>
      <w:pPr>
        <w:pStyle w:val="BodyText"/>
      </w:pPr>
      <w:r>
        <w:t xml:space="preserve">Use five visible tiers with unambiguous names: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Recommended name</w:t>
            </w:r>
          </w:p>
        </w:tc>
        <w:tc>
          <w:tcPr/>
          <w:p>
            <w:pPr>
              <w:pStyle w:val="Compact"/>
            </w:pPr>
            <w:r>
              <w:t xml:space="preserve">Definition</w:t>
            </w:r>
          </w:p>
        </w:tc>
      </w:tr>
      <w:tr>
        <w:tc>
          <w:tcPr/>
          <w:p>
            <w:pPr>
              <w:pStyle w:val="Compact"/>
            </w:pPr>
            <w:r>
              <w:rPr>
                <w:b/>
                <w:bCs/>
              </w:rPr>
              <w:t xml:space="preserve">Tier 1</w:t>
            </w:r>
          </w:p>
        </w:tc>
        <w:tc>
          <w:tcPr/>
          <w:p>
            <w:pPr>
              <w:pStyle w:val="Compact"/>
            </w:pPr>
            <w:r>
              <w:rPr>
                <w:b/>
                <w:bCs/>
              </w:rPr>
              <w:t xml:space="preserve">Verified-source encounter events</w:t>
            </w:r>
          </w:p>
        </w:tc>
        <w:tc>
          <w:tcPr/>
          <w:p>
            <w:pPr>
              <w:pStyle w:val="Compact"/>
            </w:pPr>
            <w:r>
              <w:t xml:space="preserve">Unique encounter events whose linked public source(s) are verified and contain sufficient evidence for inclusion</w:t>
            </w:r>
          </w:p>
        </w:tc>
      </w:tr>
      <w:tr>
        <w:tc>
          <w:tcPr/>
          <w:p>
            <w:pPr>
              <w:pStyle w:val="Compact"/>
            </w:pPr>
            <w:r>
              <w:rPr>
                <w:b/>
                <w:bCs/>
              </w:rPr>
              <w:t xml:space="preserve">Tier 2</w:t>
            </w:r>
          </w:p>
        </w:tc>
        <w:tc>
          <w:tcPr/>
          <w:p>
            <w:pPr>
              <w:pStyle w:val="Compact"/>
            </w:pPr>
            <w:r>
              <w:rPr>
                <w:b/>
                <w:bCs/>
              </w:rPr>
              <w:t xml:space="preserve">Encounter events pending source verification</w:t>
            </w:r>
          </w:p>
        </w:tc>
        <w:tc>
          <w:tcPr/>
          <w:p>
            <w:pPr>
              <w:pStyle w:val="Compact"/>
            </w:pPr>
            <w:r>
              <w:t xml:space="preserve">Specific encounter events currently represented only through later reproductions, imperfect citations, or weaker public sources</w:t>
            </w:r>
          </w:p>
        </w:tc>
      </w:tr>
      <w:tr>
        <w:tc>
          <w:tcPr/>
          <w:p>
            <w:pPr>
              <w:pStyle w:val="Compact"/>
            </w:pPr>
            <w:r>
              <w:rPr>
                <w:b/>
                <w:bCs/>
              </w:rPr>
              <w:t xml:space="preserve">Tier 3</w:t>
            </w:r>
          </w:p>
        </w:tc>
        <w:tc>
          <w:tcPr/>
          <w:p>
            <w:pPr>
              <w:pStyle w:val="Compact"/>
            </w:pPr>
            <w:r>
              <w:rPr>
                <w:b/>
                <w:bCs/>
              </w:rPr>
              <w:t xml:space="preserve">Context and discourse records</w:t>
            </w:r>
          </w:p>
        </w:tc>
        <w:tc>
          <w:tcPr/>
          <w:p>
            <w:pPr>
              <w:pStyle w:val="Compact"/>
            </w:pPr>
            <w:r>
              <w:t xml:space="preserve">Public texts about folklore, semantics, heritage, tourism, media, classification history, and cultural representation that are not eligible encounter events</w:t>
            </w:r>
          </w:p>
        </w:tc>
      </w:tr>
      <w:tr>
        <w:tc>
          <w:tcPr/>
          <w:p>
            <w:pPr>
              <w:pStyle w:val="Compact"/>
            </w:pPr>
            <w:r>
              <w:rPr>
                <w:b/>
                <w:bCs/>
              </w:rPr>
              <w:t xml:space="preserve">Tier 4</w:t>
            </w:r>
          </w:p>
        </w:tc>
        <w:tc>
          <w:tcPr/>
          <w:p>
            <w:pPr>
              <w:pStyle w:val="Compact"/>
            </w:pPr>
            <w:r>
              <w:rPr>
                <w:b/>
                <w:bCs/>
              </w:rPr>
              <w:t xml:space="preserve">Candidate leads</w:t>
            </w:r>
          </w:p>
        </w:tc>
        <w:tc>
          <w:tcPr/>
          <w:p>
            <w:pPr>
              <w:pStyle w:val="Compact"/>
            </w:pPr>
            <w:r>
              <w:t xml:space="preserve">Search leads, catalogue metadata, snippets, inaccessible or incomplete references, and unresolved source pointers</w:t>
            </w:r>
          </w:p>
        </w:tc>
      </w:tr>
      <w:tr>
        <w:tc>
          <w:tcPr/>
          <w:p>
            <w:pPr>
              <w:pStyle w:val="Compact"/>
            </w:pPr>
            <w:r>
              <w:rPr>
                <w:b/>
                <w:bCs/>
              </w:rPr>
              <w:t xml:space="preserve">Tier 5</w:t>
            </w:r>
          </w:p>
        </w:tc>
        <w:tc>
          <w:tcPr/>
          <w:p>
            <w:pPr>
              <w:pStyle w:val="Compact"/>
            </w:pPr>
            <w:r>
              <w:rPr>
                <w:b/>
                <w:bCs/>
              </w:rPr>
              <w:t xml:space="preserve">Excluded and control material</w:t>
            </w:r>
          </w:p>
        </w:tc>
        <w:tc>
          <w:tcPr/>
          <w:p>
            <w:pPr>
              <w:pStyle w:val="Compact"/>
            </w:pPr>
            <w:r>
              <w:t xml:space="preserve">Non-humanoid controls, satire, overseas events, duplicate-only rows, fictional media, ethically restricted material, and out-of-scope items</w:t>
            </w:r>
          </w:p>
        </w:tc>
      </w:tr>
    </w:tbl>
    <w:p>
      <w:pPr>
        <w:pStyle w:val="BodyText"/>
      </w:pPr>
      <w:r>
        <w:t xml:space="preserve">The front end should display at least five separate counts:</w:t>
      </w:r>
      <w:r>
        <w:t xml:space="preserve"> </w:t>
      </w:r>
      <w:r>
        <w:rPr>
          <w:b/>
          <w:bCs/>
        </w:rPr>
        <w:t xml:space="preserve">encounter events</w:t>
      </w:r>
      <w:r>
        <w:t xml:space="preserve">,</w:t>
      </w:r>
      <w:r>
        <w:t xml:space="preserve"> </w:t>
      </w:r>
      <w:r>
        <w:rPr>
          <w:b/>
          <w:bCs/>
        </w:rPr>
        <w:t xml:space="preserve">source items</w:t>
      </w:r>
      <w:r>
        <w:t xml:space="preserve">,</w:t>
      </w:r>
      <w:r>
        <w:t xml:space="preserve"> </w:t>
      </w:r>
      <w:r>
        <w:rPr>
          <w:b/>
          <w:bCs/>
        </w:rPr>
        <w:t xml:space="preserve">entity labels</w:t>
      </w:r>
      <w:r>
        <w:t xml:space="preserve">,</w:t>
      </w:r>
      <w:r>
        <w:t xml:space="preserve"> </w:t>
      </w:r>
      <w:r>
        <w:rPr>
          <w:b/>
          <w:bCs/>
        </w:rPr>
        <w:t xml:space="preserve">context items</w:t>
      </w:r>
      <w:r>
        <w:t xml:space="preserve">, and</w:t>
      </w:r>
      <w:r>
        <w:t xml:space="preserve"> </w:t>
      </w:r>
      <w:r>
        <w:rPr>
          <w:b/>
          <w:bCs/>
        </w:rPr>
        <w:t xml:space="preserve">unresolved leads</w:t>
      </w:r>
      <w:r>
        <w:t xml:space="preserve">. The current front-end count of mixed “records” should be retired.</w:t>
      </w:r>
      <w:r>
        <w:t xml:space="preserve"> </w:t>
      </w:r>
      <w:hyperlink r:id="rId21">
        <w:r>
          <w:rPr>
            <w:rStyle w:val="Hyperlink"/>
          </w:rPr>
          <w:t xml:space="preserve">[20]</w:t>
        </w:r>
      </w:hyperlink>
    </w:p>
    <w:p>
      <w:pPr>
        <w:pStyle w:val="BodyText"/>
      </w:pPr>
      <w:r>
        <w:rPr>
          <w:b/>
          <w:bCs/>
        </w:rPr>
        <w:t xml:space="preserve">11. Source hierarchy</w:t>
      </w:r>
    </w:p>
    <w:p>
      <w:pPr>
        <w:pStyle w:val="BodyText"/>
      </w:pPr>
      <w:r>
        <w:t xml:space="preserve">A recommended source hierarchy for this project: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Source type</w:t>
            </w:r>
          </w:p>
        </w:tc>
        <w:tc>
          <w:tcPr/>
          <w:p>
            <w:pPr>
              <w:pStyle w:val="Compact"/>
            </w:pPr>
            <w:r>
              <w:t xml:space="preserve">What it can establish</w:t>
            </w:r>
          </w:p>
        </w:tc>
        <w:tc>
          <w:tcPr/>
          <w:p>
            <w:pPr>
              <w:pStyle w:val="Compact"/>
            </w:pPr>
            <w:r>
              <w:t xml:space="preserve">v1 use</w:t>
            </w:r>
          </w:p>
        </w:tc>
      </w:tr>
      <w:tr>
        <w:tc>
          <w:tcPr/>
          <w:p>
            <w:pPr>
              <w:pStyle w:val="Compact"/>
            </w:pPr>
            <w:r>
              <w:rPr>
                <w:b/>
                <w:bCs/>
              </w:rPr>
              <w:t xml:space="preserve">A</w:t>
            </w:r>
          </w:p>
        </w:tc>
        <w:tc>
          <w:tcPr/>
          <w:p>
            <w:pPr>
              <w:pStyle w:val="Compact"/>
            </w:pPr>
            <w:r>
              <w:t xml:space="preserve">Original or near-contemporary public source: Trove article, digitised newspaper page, original book/diary passage, official archival publication</w:t>
            </w:r>
          </w:p>
        </w:tc>
        <w:tc>
          <w:tcPr/>
          <w:p>
            <w:pPr>
              <w:pStyle w:val="Compact"/>
            </w:pPr>
            <w:r>
              <w:t xml:space="preserve">That a report existed and what wording it used</w:t>
            </w:r>
          </w:p>
        </w:tc>
        <w:tc>
          <w:tcPr/>
          <w:p>
            <w:pPr>
              <w:pStyle w:val="Compact"/>
            </w:pPr>
            <w:r>
              <w:t xml:space="preserve">Core source items; preferred for Tier 1</w:t>
            </w:r>
          </w:p>
        </w:tc>
      </w:tr>
      <w:tr>
        <w:tc>
          <w:tcPr/>
          <w:p>
            <w:pPr>
              <w:pStyle w:val="Compact"/>
            </w:pPr>
            <w:r>
              <w:rPr>
                <w:b/>
                <w:bCs/>
              </w:rPr>
              <w:t xml:space="preserve">B</w:t>
            </w:r>
          </w:p>
        </w:tc>
        <w:tc>
          <w:tcPr/>
          <w:p>
            <w:pPr>
              <w:pStyle w:val="Compact"/>
            </w:pPr>
            <w:r>
              <w:t xml:space="preserve">Public institutional catalogue or heritage page</w:t>
            </w:r>
          </w:p>
        </w:tc>
        <w:tc>
          <w:tcPr/>
          <w:p>
            <w:pPr>
              <w:pStyle w:val="Compact"/>
            </w:pPr>
            <w:r>
              <w:t xml:space="preserve">That an item exists, its metadata, and sometimes contextual summary</w:t>
            </w:r>
          </w:p>
        </w:tc>
        <w:tc>
          <w:tcPr/>
          <w:p>
            <w:pPr>
              <w:pStyle w:val="Compact"/>
            </w:pPr>
            <w:r>
              <w:t xml:space="preserve">Leads, context items, sometimes source verification support</w:t>
            </w:r>
          </w:p>
        </w:tc>
      </w:tr>
      <w:tr>
        <w:tc>
          <w:tcPr/>
          <w:p>
            <w:pPr>
              <w:pStyle w:val="Compact"/>
            </w:pPr>
            <w:r>
              <w:rPr>
                <w:b/>
                <w:bCs/>
              </w:rPr>
              <w:t xml:space="preserve">C</w:t>
            </w:r>
          </w:p>
        </w:tc>
        <w:tc>
          <w:tcPr/>
          <w:p>
            <w:pPr>
              <w:pStyle w:val="Compact"/>
            </w:pPr>
            <w:r>
              <w:t xml:space="preserve">Scholarly secondary study</w:t>
            </w:r>
          </w:p>
        </w:tc>
        <w:tc>
          <w:tcPr/>
          <w:p>
            <w:pPr>
              <w:pStyle w:val="Compact"/>
            </w:pPr>
            <w:r>
              <w:t xml:space="preserve">Context, terminology history, source mediation, prior interpretation</w:t>
            </w:r>
          </w:p>
        </w:tc>
        <w:tc>
          <w:tcPr/>
          <w:p>
            <w:pPr>
              <w:pStyle w:val="Compact"/>
            </w:pPr>
            <w:r>
              <w:t xml:space="preserve">Secondary support, never sole evidence of an event</w:t>
            </w:r>
          </w:p>
        </w:tc>
      </w:tr>
      <w:tr>
        <w:tc>
          <w:tcPr/>
          <w:p>
            <w:pPr>
              <w:pStyle w:val="Compact"/>
            </w:pPr>
            <w:r>
              <w:rPr>
                <w:b/>
                <w:bCs/>
              </w:rPr>
              <w:t xml:space="preserve">D</w:t>
            </w:r>
          </w:p>
        </w:tc>
        <w:tc>
          <w:tcPr/>
          <w:p>
            <w:pPr>
              <w:pStyle w:val="Compact"/>
            </w:pPr>
            <w:r>
              <w:t xml:space="preserve">Reputable journalism</w:t>
            </w:r>
          </w:p>
        </w:tc>
        <w:tc>
          <w:tcPr/>
          <w:p>
            <w:pPr>
              <w:pStyle w:val="Compact"/>
            </w:pPr>
            <w:r>
              <w:t xml:space="preserve">Public reporting of modern claims or tourism discourse</w:t>
            </w:r>
          </w:p>
        </w:tc>
        <w:tc>
          <w:tcPr/>
          <w:p>
            <w:pPr>
              <w:pStyle w:val="Compact"/>
            </w:pPr>
            <w:r>
              <w:t xml:space="preserve">Core for modern media reports if event-specific; context for tourism/media</w:t>
            </w:r>
          </w:p>
        </w:tc>
      </w:tr>
      <w:tr>
        <w:tc>
          <w:tcPr/>
          <w:p>
            <w:pPr>
              <w:pStyle w:val="Compact"/>
            </w:pPr>
            <w:r>
              <w:rPr>
                <w:b/>
                <w:bCs/>
              </w:rPr>
              <w:t xml:space="preserve">E</w:t>
            </w:r>
          </w:p>
        </w:tc>
        <w:tc>
          <w:tcPr/>
          <w:p>
            <w:pPr>
              <w:pStyle w:val="Compact"/>
            </w:pPr>
            <w:r>
              <w:t xml:space="preserve">AYR or similar specialist aggregator</w:t>
            </w:r>
          </w:p>
        </w:tc>
        <w:tc>
          <w:tcPr/>
          <w:p>
            <w:pPr>
              <w:pStyle w:val="Compact"/>
            </w:pPr>
            <w:r>
              <w:t xml:space="preserve">Discovery aid; in some cases a public source item in its own right</w:t>
            </w:r>
          </w:p>
        </w:tc>
        <w:tc>
          <w:tcPr/>
          <w:p>
            <w:pPr>
              <w:pStyle w:val="Compact"/>
            </w:pPr>
            <w:r>
              <w:t xml:space="preserve">Mixed use; see below</w:t>
            </w:r>
          </w:p>
        </w:tc>
      </w:tr>
      <w:tr>
        <w:tc>
          <w:tcPr/>
          <w:p>
            <w:pPr>
              <w:pStyle w:val="Compact"/>
            </w:pPr>
            <w:r>
              <w:rPr>
                <w:b/>
                <w:bCs/>
              </w:rPr>
              <w:t xml:space="preserve">F</w:t>
            </w:r>
          </w:p>
        </w:tc>
        <w:tc>
          <w:tcPr/>
          <w:p>
            <w:pPr>
              <w:pStyle w:val="Compact"/>
            </w:pPr>
            <w:r>
              <w:t xml:space="preserve">Blogs/forums/social media</w:t>
            </w:r>
          </w:p>
        </w:tc>
        <w:tc>
          <w:tcPr/>
          <w:p>
            <w:pPr>
              <w:pStyle w:val="Compact"/>
            </w:pPr>
            <w:r>
              <w:t xml:space="preserve">Discovery leads or late-stage public retellings</w:t>
            </w:r>
          </w:p>
        </w:tc>
        <w:tc>
          <w:tcPr/>
          <w:p>
            <w:pPr>
              <w:pStyle w:val="Compact"/>
            </w:pPr>
            <w:r>
              <w:t xml:space="preserve">Lead only, except exceptional documented cases</w:t>
            </w:r>
          </w:p>
        </w:tc>
      </w:tr>
      <w:tr>
        <w:tc>
          <w:tcPr/>
          <w:p>
            <w:pPr>
              <w:pStyle w:val="Compact"/>
            </w:pPr>
            <w:r>
              <w:rPr>
                <w:b/>
                <w:bCs/>
              </w:rPr>
              <w:t xml:space="preserve">G</w:t>
            </w:r>
          </w:p>
        </w:tc>
        <w:tc>
          <w:tcPr/>
          <w:p>
            <w:pPr>
              <w:pStyle w:val="Compact"/>
            </w:pPr>
            <w:r>
              <w:t xml:space="preserve">AI-generated pages, listicles, unsourced compilations</w:t>
            </w:r>
          </w:p>
        </w:tc>
        <w:tc>
          <w:tcPr/>
          <w:p>
            <w:pPr>
              <w:pStyle w:val="Compact"/>
            </w:pPr>
            <w:r>
              <w:t xml:space="preserve">Little or no reliable provenance</w:t>
            </w:r>
          </w:p>
        </w:tc>
        <w:tc>
          <w:tcPr/>
          <w:p>
            <w:pPr>
              <w:pStyle w:val="Compact"/>
            </w:pPr>
            <w:r>
              <w:t xml:space="preserve">Exclude</w:t>
            </w:r>
          </w:p>
        </w:tc>
      </w:tr>
    </w:tbl>
    <w:p>
      <w:pPr>
        <w:pStyle w:val="BodyText"/>
      </w:pPr>
      <w:r>
        <w:rPr>
          <w:b/>
          <w:bCs/>
        </w:rPr>
        <w:t xml:space="preserve">Trove and original press sources.</w:t>
      </w:r>
      <w:r>
        <w:t xml:space="preserve"> </w:t>
      </w:r>
      <w:r>
        <w:t xml:space="preserve">Trove is especially important because it gives stable article identifiers, exposes OCR text, and documents title-level rights/disclaimer conditions. It is suitable for establishing that a reported article exists and for linking the report to a publication trace, while preserving caution around OCR quality.</w:t>
      </w:r>
      <w:r>
        <w:t xml:space="preserve"> </w:t>
      </w:r>
      <w:hyperlink r:id="rId28">
        <w:r>
          <w:rPr>
            <w:rStyle w:val="Hyperlink"/>
          </w:rPr>
          <w:t xml:space="preserve">[21]</w:t>
        </w:r>
      </w:hyperlink>
    </w:p>
    <w:p>
      <w:pPr>
        <w:pStyle w:val="BodyText"/>
      </w:pPr>
      <w:r>
        <w:rPr>
          <w:b/>
          <w:bCs/>
        </w:rPr>
        <w:t xml:space="preserve">How to handle OCR.</w:t>
      </w:r>
      <w:r>
        <w:t xml:space="preserve"> </w:t>
      </w:r>
      <w:r>
        <w:t xml:space="preserve">Preserve both the OCR text and a field for correction or human transcription status. Trove explicitly allows users to correct text transcripts because scanned text may be unclear or illegible. That makes OCR quality a</w:t>
      </w:r>
      <w:r>
        <w:t xml:space="preserve"> </w:t>
      </w:r>
      <w:r>
        <w:rPr>
          <w:b/>
          <w:bCs/>
        </w:rPr>
        <w:t xml:space="preserve">data-quality dimension</w:t>
      </w:r>
      <w:r>
        <w:t xml:space="preserve">, not an invisible assumption.</w:t>
      </w:r>
      <w:r>
        <w:t xml:space="preserve"> </w:t>
      </w:r>
      <w:hyperlink r:id="rId31">
        <w:r>
          <w:rPr>
            <w:rStyle w:val="Hyperlink"/>
          </w:rPr>
          <w:t xml:space="preserve">[22]</w:t>
        </w:r>
      </w:hyperlink>
    </w:p>
    <w:p>
      <w:pPr>
        <w:pStyle w:val="BodyText"/>
      </w:pPr>
      <w:r>
        <w:rPr>
          <w:b/>
          <w:bCs/>
        </w:rPr>
        <w:t xml:space="preserve">How to handle syndicated reprints.</w:t>
      </w:r>
      <w:r>
        <w:t xml:space="preserve"> </w:t>
      </w:r>
      <w:r>
        <w:t xml:space="preserve">Multiple newspaper appearances of substantially the same report should usually become</w:t>
      </w:r>
      <w:r>
        <w:t xml:space="preserve"> </w:t>
      </w:r>
      <w:r>
        <w:rPr>
          <w:b/>
          <w:bCs/>
        </w:rPr>
        <w:t xml:space="preserve">multiple source items linked to one encounter event</w:t>
      </w:r>
      <w:r>
        <w:t xml:space="preserve">, with a relationship type such as</w:t>
      </w:r>
      <w:r>
        <w:t xml:space="preserve"> </w:t>
      </w:r>
      <w:r>
        <w:rPr>
          <w:rStyle w:val="VerbatimChar"/>
        </w:rPr>
        <w:t xml:space="preserve">syndicated_reprint</w:t>
      </w:r>
      <w:r>
        <w:t xml:space="preserve"> </w:t>
      </w:r>
      <w:r>
        <w:t xml:space="preserve">or</w:t>
      </w:r>
      <w:r>
        <w:t xml:space="preserve"> </w:t>
      </w:r>
      <w:r>
        <w:rPr>
          <w:rStyle w:val="VerbatimChar"/>
        </w:rPr>
        <w:t xml:space="preserve">reprint_with_variation</w:t>
      </w:r>
      <w:r>
        <w:t xml:space="preserve">.</w:t>
      </w:r>
    </w:p>
    <w:p>
      <w:pPr>
        <w:pStyle w:val="BodyText"/>
      </w:pPr>
      <w:r>
        <w:rPr>
          <w:b/>
          <w:bCs/>
        </w:rPr>
        <w:t xml:space="preserve">How to handle later paraphrases.</w:t>
      </w:r>
      <w:r>
        <w:t xml:space="preserve"> </w:t>
      </w:r>
      <w:r>
        <w:t xml:space="preserve">Later paraphrases should be retained as source items if they materially affected circulation, but they should not be treated as equivalent to original witnesses or near-contemporary reporting.</w:t>
      </w:r>
    </w:p>
    <w:p>
      <w:pPr>
        <w:pStyle w:val="BodyText"/>
      </w:pPr>
      <w:r>
        <w:rPr>
          <w:b/>
          <w:bCs/>
        </w:rPr>
        <w:t xml:space="preserve">Assessment of Australian Yowie Research</w:t>
      </w:r>
    </w:p>
    <w:p>
      <w:pPr>
        <w:pStyle w:val="BodyText"/>
      </w:pPr>
      <w:r>
        <w:t xml:space="preserve">AYR should be treated as a</w:t>
      </w:r>
      <w:r>
        <w:t xml:space="preserve"> </w:t>
      </w:r>
      <w:r>
        <w:rPr>
          <w:b/>
          <w:bCs/>
        </w:rPr>
        <w:t xml:space="preserve">mixture</w:t>
      </w:r>
      <w:r>
        <w:t xml:space="preserve">, not a single source class:</w:t>
      </w:r>
    </w:p>
    <w:p>
      <w:pPr>
        <w:pStyle w:val="Compact"/>
        <w:numPr>
          <w:ilvl w:val="0"/>
          <w:numId w:val="1004"/>
        </w:numPr>
      </w:pPr>
      <w:r>
        <w:rPr>
          <w:b/>
          <w:bCs/>
        </w:rPr>
        <w:t xml:space="preserve">Historical article pages</w:t>
      </w:r>
      <w:r>
        <w:t xml:space="preserve"> </w:t>
      </w:r>
      <w:r>
        <w:t xml:space="preserve">are usually</w:t>
      </w:r>
      <w:r>
        <w:t xml:space="preserve"> </w:t>
      </w:r>
      <w:r>
        <w:rPr>
          <w:b/>
          <w:bCs/>
        </w:rPr>
        <w:t xml:space="preserve">secondary reproductions / source pointers requiring original verification</w:t>
      </w:r>
      <w:r>
        <w:t xml:space="preserve">.</w:t>
      </w:r>
    </w:p>
    <w:p>
      <w:pPr>
        <w:pStyle w:val="Compact"/>
        <w:numPr>
          <w:ilvl w:val="0"/>
          <w:numId w:val="1004"/>
        </w:numPr>
      </w:pPr>
      <w:r>
        <w:rPr>
          <w:b/>
          <w:bCs/>
        </w:rPr>
        <w:t xml:space="preserve">Modern witness pages</w:t>
      </w:r>
      <w:r>
        <w:t xml:space="preserve"> </w:t>
      </w:r>
      <w:r>
        <w:t xml:space="preserve">can be legitimate</w:t>
      </w:r>
      <w:r>
        <w:t xml:space="preserve"> </w:t>
      </w:r>
      <w:r>
        <w:rPr>
          <w:b/>
          <w:bCs/>
        </w:rPr>
        <w:t xml:space="preserve">public source items</w:t>
      </w:r>
      <w:r>
        <w:t xml:space="preserve"> </w:t>
      </w:r>
      <w:r>
        <w:t xml:space="preserve">in their own right when they contain a stable, inspectable narrative, but they remain</w:t>
      </w:r>
      <w:r>
        <w:t xml:space="preserve"> </w:t>
      </w:r>
      <w:r>
        <w:rPr>
          <w:b/>
          <w:bCs/>
        </w:rPr>
        <w:t xml:space="preserve">retrospective, self-published, and interpretively framed</w:t>
      </w:r>
      <w:r>
        <w:t xml:space="preserve">.</w:t>
      </w:r>
    </w:p>
    <w:p>
      <w:pPr>
        <w:pStyle w:val="Compact"/>
        <w:numPr>
          <w:ilvl w:val="0"/>
          <w:numId w:val="1004"/>
        </w:numPr>
      </w:pPr>
      <w:r>
        <w:rPr>
          <w:b/>
          <w:bCs/>
        </w:rPr>
        <w:t xml:space="preserve">AYR theory/about pages</w:t>
      </w:r>
      <w:r>
        <w:t xml:space="preserve"> </w:t>
      </w:r>
      <w:r>
        <w:t xml:space="preserve">are</w:t>
      </w:r>
      <w:r>
        <w:t xml:space="preserve"> </w:t>
      </w:r>
      <w:r>
        <w:rPr>
          <w:b/>
          <w:bCs/>
        </w:rPr>
        <w:t xml:space="preserve">context sources</w:t>
      </w:r>
      <w:r>
        <w:t xml:space="preserve">, not encounter evidence.</w:t>
      </w:r>
    </w:p>
    <w:p>
      <w:pPr>
        <w:pStyle w:val="FirstParagraph"/>
      </w:pPr>
      <w:r>
        <w:t xml:space="preserve">That classification is supported by AYR’s own self-description. AYR explicitly presents itself as a Yowie research authority, not as a neutral archive, and its “What is a Yowie?” and “A Researchers Guide” pages openly pursue discovery and proof-oriented framing. At the same time, the site is undeniably a major source of discoverable public witness-text and historical-source pointers.</w:t>
      </w:r>
      <w:r>
        <w:t xml:space="preserve"> </w:t>
      </w:r>
      <w:hyperlink r:id="rId35">
        <w:r>
          <w:rPr>
            <w:rStyle w:val="Hyperlink"/>
          </w:rPr>
          <w:t xml:space="preserve">[23]</w:t>
        </w:r>
      </w:hyperlink>
    </w:p>
    <w:p>
      <w:pPr>
        <w:pStyle w:val="BodyText"/>
      </w:pPr>
      <w:r>
        <w:rPr>
          <w:b/>
          <w:bCs/>
        </w:rPr>
        <w:t xml:space="preserve">12. Data-quality and review rubric</w:t>
      </w:r>
    </w:p>
    <w:p>
      <w:pPr>
        <w:pStyle w:val="BodyText"/>
      </w:pPr>
      <w:r>
        <w:t xml:space="preserve">Do</w:t>
      </w:r>
      <w:r>
        <w:t xml:space="preserve"> </w:t>
      </w:r>
      <w:r>
        <w:rPr>
          <w:b/>
          <w:bCs/>
        </w:rPr>
        <w:t xml:space="preserve">not</w:t>
      </w:r>
      <w:r>
        <w:t xml:space="preserve"> </w:t>
      </w:r>
      <w:r>
        <w:t xml:space="preserve">create a single score that implies “how real” the entity was. Use independent dimensions: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Low</w:t>
            </w:r>
          </w:p>
        </w:tc>
        <w:tc>
          <w:tcPr/>
          <w:p>
            <w:pPr>
              <w:pStyle w:val="Compact"/>
            </w:pPr>
            <w:r>
              <w:t xml:space="preserve">Medium</w:t>
            </w:r>
          </w:p>
        </w:tc>
        <w:tc>
          <w:tcPr/>
          <w:p>
            <w:pPr>
              <w:pStyle w:val="Compact"/>
            </w:pPr>
            <w:r>
              <w:t xml:space="preserve">High</w:t>
            </w:r>
          </w:p>
        </w:tc>
      </w:tr>
      <w:tr>
        <w:tc>
          <w:tcPr/>
          <w:p>
            <w:pPr>
              <w:pStyle w:val="Compact"/>
            </w:pPr>
            <w:r>
              <w:rPr>
                <w:b/>
                <w:bCs/>
              </w:rPr>
              <w:t xml:space="preserve">Source traceability</w:t>
            </w:r>
          </w:p>
        </w:tc>
        <w:tc>
          <w:tcPr/>
          <w:p>
            <w:pPr>
              <w:pStyle w:val="Compact"/>
            </w:pPr>
            <w:r>
              <w:t xml:space="preserve">Unstable / missing / unattributed</w:t>
            </w:r>
          </w:p>
        </w:tc>
        <w:tc>
          <w:tcPr/>
          <w:p>
            <w:pPr>
              <w:pStyle w:val="Compact"/>
            </w:pPr>
            <w:r>
              <w:t xml:space="preserve">Public page but imperfect attribution</w:t>
            </w:r>
          </w:p>
        </w:tc>
        <w:tc>
          <w:tcPr/>
          <w:p>
            <w:pPr>
              <w:pStyle w:val="Compact"/>
            </w:pPr>
            <w:r>
              <w:t xml:space="preserve">Stable public identifier and inspectable source</w:t>
            </w:r>
          </w:p>
        </w:tc>
      </w:tr>
      <w:tr>
        <w:tc>
          <w:tcPr/>
          <w:p>
            <w:pPr>
              <w:pStyle w:val="Compact"/>
            </w:pPr>
            <w:r>
              <w:rPr>
                <w:b/>
                <w:bCs/>
              </w:rPr>
              <w:t xml:space="preserve">Source proximity to event</w:t>
            </w:r>
          </w:p>
        </w:tc>
        <w:tc>
          <w:tcPr/>
          <w:p>
            <w:pPr>
              <w:pStyle w:val="Compact"/>
            </w:pPr>
            <w:r>
              <w:t xml:space="preserve">Far-later retelling</w:t>
            </w:r>
          </w:p>
        </w:tc>
        <w:tc>
          <w:tcPr/>
          <w:p>
            <w:pPr>
              <w:pStyle w:val="Compact"/>
            </w:pPr>
            <w:r>
              <w:t xml:space="preserve">Retrospective but linked to witness or source</w:t>
            </w:r>
          </w:p>
        </w:tc>
        <w:tc>
          <w:tcPr/>
          <w:p>
            <w:pPr>
              <w:pStyle w:val="Compact"/>
            </w:pPr>
            <w:r>
              <w:t xml:space="preserve">Original / near-contemporary publication</w:t>
            </w:r>
          </w:p>
        </w:tc>
      </w:tr>
      <w:tr>
        <w:tc>
          <w:tcPr/>
          <w:p>
            <w:pPr>
              <w:pStyle w:val="Compact"/>
            </w:pPr>
            <w:r>
              <w:rPr>
                <w:b/>
                <w:bCs/>
              </w:rPr>
              <w:t xml:space="preserve">Date precision</w:t>
            </w:r>
          </w:p>
        </w:tc>
        <w:tc>
          <w:tcPr/>
          <w:p>
            <w:pPr>
              <w:pStyle w:val="Compact"/>
            </w:pPr>
            <w:r>
              <w:t xml:space="preserve">Year or vague era</w:t>
            </w:r>
          </w:p>
        </w:tc>
        <w:tc>
          <w:tcPr/>
          <w:p>
            <w:pPr>
              <w:pStyle w:val="Compact"/>
            </w:pPr>
            <w:r>
              <w:t xml:space="preserve">Month/season</w:t>
            </w:r>
          </w:p>
        </w:tc>
        <w:tc>
          <w:tcPr/>
          <w:p>
            <w:pPr>
              <w:pStyle w:val="Compact"/>
            </w:pPr>
            <w:r>
              <w:t xml:space="preserve">Specific date</w:t>
            </w:r>
          </w:p>
        </w:tc>
      </w:tr>
      <w:tr>
        <w:tc>
          <w:tcPr/>
          <w:p>
            <w:pPr>
              <w:pStyle w:val="Compact"/>
            </w:pPr>
            <w:r>
              <w:rPr>
                <w:b/>
                <w:bCs/>
              </w:rPr>
              <w:t xml:space="preserve">Location precision</w:t>
            </w:r>
          </w:p>
        </w:tc>
        <w:tc>
          <w:tcPr/>
          <w:p>
            <w:pPr>
              <w:pStyle w:val="Compact"/>
            </w:pPr>
            <w:r>
              <w:t xml:space="preserve">Country/state only</w:t>
            </w:r>
          </w:p>
        </w:tc>
        <w:tc>
          <w:tcPr/>
          <w:p>
            <w:pPr>
              <w:pStyle w:val="Compact"/>
            </w:pPr>
            <w:r>
              <w:t xml:space="preserve">District/region</w:t>
            </w:r>
          </w:p>
        </w:tc>
        <w:tc>
          <w:tcPr/>
          <w:p>
            <w:pPr>
              <w:pStyle w:val="Compact"/>
            </w:pPr>
            <w:r>
              <w:t xml:space="preserve">Named place/site</w:t>
            </w:r>
          </w:p>
        </w:tc>
      </w:tr>
      <w:tr>
        <w:tc>
          <w:tcPr/>
          <w:p>
            <w:pPr>
              <w:pStyle w:val="Compact"/>
            </w:pPr>
            <w:r>
              <w:rPr>
                <w:b/>
                <w:bCs/>
              </w:rPr>
              <w:t xml:space="preserve">Morphology sufficiency</w:t>
            </w:r>
          </w:p>
        </w:tc>
        <w:tc>
          <w:tcPr/>
          <w:p>
            <w:pPr>
              <w:pStyle w:val="Compact"/>
            </w:pPr>
            <w:r>
              <w:t xml:space="preserve">Bare “strange creature”</w:t>
            </w:r>
          </w:p>
        </w:tc>
        <w:tc>
          <w:tcPr/>
          <w:p>
            <w:pPr>
              <w:pStyle w:val="Compact"/>
            </w:pPr>
            <w:r>
              <w:t xml:space="preserve">Some man-like cues</w:t>
            </w:r>
          </w:p>
        </w:tc>
        <w:tc>
          <w:tcPr/>
          <w:p>
            <w:pPr>
              <w:pStyle w:val="Compact"/>
            </w:pPr>
            <w:r>
              <w:t xml:space="preserve">Explicit human-like body-plan description</w:t>
            </w:r>
          </w:p>
        </w:tc>
      </w:tr>
      <w:tr>
        <w:tc>
          <w:tcPr/>
          <w:p>
            <w:pPr>
              <w:pStyle w:val="Compact"/>
            </w:pPr>
            <w:r>
              <w:rPr>
                <w:b/>
                <w:bCs/>
              </w:rPr>
              <w:t xml:space="preserve">Event specificity</w:t>
            </w:r>
          </w:p>
        </w:tc>
        <w:tc>
          <w:tcPr/>
          <w:p>
            <w:pPr>
              <w:pStyle w:val="Compact"/>
            </w:pPr>
            <w:r>
              <w:t xml:space="preserve">General legend</w:t>
            </w:r>
          </w:p>
        </w:tc>
        <w:tc>
          <w:tcPr/>
          <w:p>
            <w:pPr>
              <w:pStyle w:val="Compact"/>
            </w:pPr>
            <w:r>
              <w:t xml:space="preserve">Bounded but sparse incident</w:t>
            </w:r>
          </w:p>
        </w:tc>
        <w:tc>
          <w:tcPr/>
          <w:p>
            <w:pPr>
              <w:pStyle w:val="Compact"/>
            </w:pPr>
            <w:r>
              <w:t xml:space="preserve">Clearly bounded incident</w:t>
            </w:r>
          </w:p>
        </w:tc>
      </w:tr>
      <w:tr>
        <w:tc>
          <w:tcPr/>
          <w:p>
            <w:pPr>
              <w:pStyle w:val="Compact"/>
            </w:pPr>
            <w:r>
              <w:rPr>
                <w:b/>
                <w:bCs/>
              </w:rPr>
              <w:t xml:space="preserve">Label certainty</w:t>
            </w:r>
          </w:p>
        </w:tc>
        <w:tc>
          <w:tcPr/>
          <w:p>
            <w:pPr>
              <w:pStyle w:val="Compact"/>
            </w:pPr>
            <w:r>
              <w:t xml:space="preserve">Label added later by compiler</w:t>
            </w:r>
          </w:p>
        </w:tc>
        <w:tc>
          <w:tcPr/>
          <w:p>
            <w:pPr>
              <w:pStyle w:val="Compact"/>
            </w:pPr>
            <w:r>
              <w:t xml:space="preserve">Competing labels</w:t>
            </w:r>
          </w:p>
        </w:tc>
        <w:tc>
          <w:tcPr/>
          <w:p>
            <w:pPr>
              <w:pStyle w:val="Compact"/>
            </w:pPr>
            <w:r>
              <w:t xml:space="preserve">Source explicitly uses label</w:t>
            </w:r>
          </w:p>
        </w:tc>
      </w:tr>
      <w:tr>
        <w:tc>
          <w:tcPr/>
          <w:p>
            <w:pPr>
              <w:pStyle w:val="Compact"/>
            </w:pPr>
            <w:r>
              <w:rPr>
                <w:b/>
                <w:bCs/>
              </w:rPr>
              <w:t xml:space="preserve">Duplicate resolution</w:t>
            </w:r>
          </w:p>
        </w:tc>
        <w:tc>
          <w:tcPr/>
          <w:p>
            <w:pPr>
              <w:pStyle w:val="Compact"/>
            </w:pPr>
            <w:r>
              <w:t xml:space="preserve">Unresolved</w:t>
            </w:r>
          </w:p>
        </w:tc>
        <w:tc>
          <w:tcPr/>
          <w:p>
            <w:pPr>
              <w:pStyle w:val="Compact"/>
            </w:pPr>
            <w:r>
              <w:t xml:space="preserve">Suspected link</w:t>
            </w:r>
          </w:p>
        </w:tc>
        <w:tc>
          <w:tcPr/>
          <w:p>
            <w:pPr>
              <w:pStyle w:val="Compact"/>
            </w:pPr>
            <w:r>
              <w:t xml:space="preserve">Resolved event-source cluster</w:t>
            </w:r>
          </w:p>
        </w:tc>
      </w:tr>
      <w:tr>
        <w:tc>
          <w:tcPr/>
          <w:p>
            <w:pPr>
              <w:pStyle w:val="Compact"/>
            </w:pPr>
            <w:r>
              <w:rPr>
                <w:b/>
                <w:bCs/>
              </w:rPr>
              <w:t xml:space="preserve">Transcription quality</w:t>
            </w:r>
          </w:p>
        </w:tc>
        <w:tc>
          <w:tcPr/>
          <w:p>
            <w:pPr>
              <w:pStyle w:val="Compact"/>
            </w:pPr>
            <w:r>
              <w:t xml:space="preserve">Title only / poor OCR / paraphrase</w:t>
            </w:r>
          </w:p>
        </w:tc>
        <w:tc>
          <w:tcPr/>
          <w:p>
            <w:pPr>
              <w:pStyle w:val="Compact"/>
            </w:pPr>
            <w:r>
              <w:t xml:space="preserve">Partial excerpt</w:t>
            </w:r>
          </w:p>
        </w:tc>
        <w:tc>
          <w:tcPr/>
          <w:p>
            <w:pPr>
              <w:pStyle w:val="Compact"/>
            </w:pPr>
            <w:r>
              <w:t xml:space="preserve">Full text or reliable excerpt</w:t>
            </w:r>
          </w:p>
        </w:tc>
      </w:tr>
      <w:tr>
        <w:tc>
          <w:tcPr/>
          <w:p>
            <w:pPr>
              <w:pStyle w:val="Compact"/>
            </w:pPr>
            <w:r>
              <w:rPr>
                <w:b/>
                <w:bCs/>
              </w:rPr>
              <w:t xml:space="preserve">Publicness</w:t>
            </w:r>
          </w:p>
        </w:tc>
        <w:tc>
          <w:tcPr/>
          <w:p>
            <w:pPr>
              <w:pStyle w:val="Compact"/>
            </w:pPr>
            <w:r>
              <w:t xml:space="preserve">Snippet / inaccessible</w:t>
            </w:r>
          </w:p>
        </w:tc>
        <w:tc>
          <w:tcPr/>
          <w:p>
            <w:pPr>
              <w:pStyle w:val="Compact"/>
            </w:pPr>
            <w:r>
              <w:t xml:space="preserve">Public metadata only</w:t>
            </w:r>
          </w:p>
        </w:tc>
        <w:tc>
          <w:tcPr/>
          <w:p>
            <w:pPr>
              <w:pStyle w:val="Compact"/>
            </w:pPr>
            <w:r>
              <w:t xml:space="preserve">Publicly inspectable text/media</w:t>
            </w:r>
          </w:p>
        </w:tc>
      </w:tr>
      <w:tr>
        <w:tc>
          <w:tcPr/>
          <w:p>
            <w:pPr>
              <w:pStyle w:val="Compact"/>
            </w:pPr>
            <w:r>
              <w:rPr>
                <w:b/>
                <w:bCs/>
              </w:rPr>
              <w:t xml:space="preserve">Ethics review</w:t>
            </w:r>
          </w:p>
        </w:tc>
        <w:tc>
          <w:tcPr/>
          <w:p>
            <w:pPr>
              <w:pStyle w:val="Compact"/>
            </w:pPr>
            <w:r>
              <w:t xml:space="preserve">Not reviewed</w:t>
            </w:r>
          </w:p>
        </w:tc>
        <w:tc>
          <w:tcPr/>
          <w:p>
            <w:pPr>
              <w:pStyle w:val="Compact"/>
            </w:pPr>
            <w:r>
              <w:t xml:space="preserve">Flagged for caution</w:t>
            </w:r>
          </w:p>
        </w:tc>
        <w:tc>
          <w:tcPr/>
          <w:p>
            <w:pPr>
              <w:pStyle w:val="Compact"/>
            </w:pPr>
            <w:r>
              <w:t xml:space="preserve">Cleared for public inclusion</w:t>
            </w:r>
          </w:p>
        </w:tc>
      </w:tr>
      <w:tr>
        <w:tc>
          <w:tcPr/>
          <w:p>
            <w:pPr>
              <w:pStyle w:val="Compact"/>
            </w:pPr>
            <w:r>
              <w:rPr>
                <w:b/>
                <w:bCs/>
              </w:rPr>
              <w:t xml:space="preserve">Human review status</w:t>
            </w:r>
          </w:p>
        </w:tc>
        <w:tc>
          <w:tcPr/>
          <w:p>
            <w:pPr>
              <w:pStyle w:val="Compact"/>
            </w:pPr>
            <w:r>
              <w:t xml:space="preserve">Automated only</w:t>
            </w:r>
          </w:p>
        </w:tc>
        <w:tc>
          <w:tcPr/>
          <w:p>
            <w:pPr>
              <w:pStyle w:val="Compact"/>
            </w:pPr>
            <w:r>
              <w:t xml:space="preserve">Partial human review</w:t>
            </w:r>
          </w:p>
        </w:tc>
        <w:tc>
          <w:tcPr/>
          <w:p>
            <w:pPr>
              <w:pStyle w:val="Compact"/>
            </w:pPr>
            <w:r>
              <w:t xml:space="preserve">Fully reviewed</w:t>
            </w:r>
          </w:p>
        </w:tc>
      </w:tr>
    </w:tbl>
    <w:p>
      <w:pPr>
        <w:pStyle w:val="BodyText"/>
      </w:pPr>
      <w:r>
        <w:t xml:space="preserve">This quality model tracks</w:t>
      </w:r>
      <w:r>
        <w:t xml:space="preserve"> </w:t>
      </w:r>
      <w:r>
        <w:rPr>
          <w:b/>
          <w:bCs/>
        </w:rPr>
        <w:t xml:space="preserve">record quality</w:t>
      </w:r>
      <w:r>
        <w:t xml:space="preserve">, not ontological truth. That distinction is methodologically essential.</w:t>
      </w:r>
      <w:r>
        <w:t xml:space="preserve"> </w:t>
      </w:r>
      <w:hyperlink r:id="rId24">
        <w:r>
          <w:rPr>
            <w:rStyle w:val="Hyperlink"/>
          </w:rPr>
          <w:t xml:space="preserve">[24]</w:t>
        </w:r>
      </w:hyperlink>
    </w:p>
    <w:bookmarkEnd w:id="36"/>
    <w:bookmarkStart w:id="37" w:name="version-one-recommendation-and-migration"/>
    <w:p>
      <w:pPr>
        <w:pStyle w:val="Heading2"/>
      </w:pPr>
      <w:r>
        <w:t xml:space="preserve">Version one recommendation and migration</w:t>
      </w:r>
    </w:p>
    <w:p>
      <w:pPr>
        <w:pStyle w:val="FirstParagraph"/>
      </w:pPr>
      <w:r>
        <w:rPr>
          <w:b/>
          <w:bCs/>
        </w:rPr>
        <w:t xml:space="preserve">13. Recommended v1 entity clusters</w:t>
      </w:r>
    </w:p>
    <w:p>
      <w:pPr>
        <w:pStyle w:val="BodyText"/>
      </w:pPr>
      <w:r>
        <w:t xml:space="preserve">For v1, keep clusters deliberately sparse:</w:t>
      </w:r>
    </w:p>
    <w:p>
      <w:pPr>
        <w:pStyle w:val="BodyText"/>
      </w:pPr>
      <w:r>
        <w:rPr>
          <w:b/>
          <w:bCs/>
        </w:rPr>
        <w:t xml:space="preserve">Primary operational cluster</w:t>
      </w:r>
      <w:r>
        <w:br/>
      </w:r>
      <w:r>
        <w:rPr>
          <w:b/>
          <w:bCs/>
        </w:rPr>
        <w:t xml:space="preserve">Hairy / upright anomalous humanoid reports</w:t>
      </w:r>
      <w:r>
        <w:br/>
      </w:r>
      <w:r>
        <w:t xml:space="preserve">Source labels retained individually:</w:t>
      </w:r>
      <w:r>
        <w:t xml:space="preserve"> </w:t>
      </w:r>
      <w:r>
        <w:rPr>
          <w:i/>
          <w:iCs/>
        </w:rPr>
        <w:t xml:space="preserve">Yowie, Yahoo, Hairy Man, Hairy Man of the Wood, Australian ape, Australian gorilla, wild man, ape-like man, unknown humanoid</w:t>
      </w:r>
      <w:r>
        <w:t xml:space="preserve">.</w:t>
      </w:r>
    </w:p>
    <w:p>
      <w:pPr>
        <w:pStyle w:val="BodyText"/>
      </w:pPr>
      <w:r>
        <w:rPr>
          <w:b/>
          <w:bCs/>
        </w:rPr>
        <w:t xml:space="preserve">Secondary operational cluster</w:t>
      </w:r>
      <w:r>
        <w:br/>
      </w:r>
      <w:r>
        <w:rPr>
          <w:b/>
          <w:bCs/>
        </w:rPr>
        <w:t xml:space="preserve">Indeterminate anomalous humanoid reports</w:t>
      </w:r>
      <w:r>
        <w:br/>
      </w:r>
      <w:r>
        <w:t xml:space="preserve">For event reports that pass the morphology and anomaly gates but use no stable label.</w:t>
      </w:r>
    </w:p>
    <w:p>
      <w:pPr>
        <w:pStyle w:val="BodyText"/>
      </w:pPr>
      <w:r>
        <w:t xml:space="preserve">I do</w:t>
      </w:r>
      <w:r>
        <w:t xml:space="preserve"> </w:t>
      </w:r>
      <w:r>
        <w:rPr>
          <w:b/>
          <w:bCs/>
        </w:rPr>
        <w:t xml:space="preserve">not</w:t>
      </w:r>
      <w:r>
        <w:t xml:space="preserve"> </w:t>
      </w:r>
      <w:r>
        <w:t xml:space="preserve">recommend promoting named ancestral/spirit beings into v1 encounter clusters, and I do</w:t>
      </w:r>
      <w:r>
        <w:t xml:space="preserve"> </w:t>
      </w:r>
      <w:r>
        <w:rPr>
          <w:b/>
          <w:bCs/>
        </w:rPr>
        <w:t xml:space="preserve">not</w:t>
      </w:r>
      <w:r>
        <w:t xml:space="preserve"> </w:t>
      </w:r>
      <w:r>
        <w:t xml:space="preserve">recommend multiplying dozens of “Australian humanoid types” out of spelling variants, later synonym lists, or culturally specific names detached from event records.</w:t>
      </w:r>
    </w:p>
    <w:p>
      <w:pPr>
        <w:pStyle w:val="BodyText"/>
      </w:pPr>
      <w:r>
        <w:rPr>
          <w:b/>
          <w:bCs/>
        </w:rPr>
        <w:t xml:space="preserve">14. Recommended v1 corpus-size range</w:t>
      </w:r>
    </w:p>
    <w:p>
      <w:pPr>
        <w:pStyle w:val="BodyText"/>
      </w:pPr>
      <w:r>
        <w:t xml:space="preserve">A realistic v1 should target</w:t>
      </w:r>
      <w:r>
        <w:t xml:space="preserve"> </w:t>
      </w:r>
      <w:r>
        <w:rPr>
          <w:b/>
          <w:bCs/>
        </w:rPr>
        <w:t xml:space="preserve">100–300 strong unique encounter events</w:t>
      </w:r>
      <w:r>
        <w:t xml:space="preserve">, with a near-term emphasis on</w:t>
      </w:r>
      <w:r>
        <w:t xml:space="preserve"> </w:t>
      </w:r>
      <w:r>
        <w:rPr>
          <w:b/>
          <w:bCs/>
        </w:rPr>
        <w:t xml:space="preserve">100–200</w:t>
      </w:r>
      <w:r>
        <w:t xml:space="preserve"> </w:t>
      </w:r>
      <w:r>
        <w:t xml:space="preserve">if the team wants a highly auditable first release. That is more compatible with the repository’s current state than trying to preserve an impressive-but-mixed headline count of 707 rows.</w:t>
      </w:r>
      <w:r>
        <w:t xml:space="preserve"> </w:t>
      </w:r>
      <w:hyperlink r:id="rId21">
        <w:r>
          <w:rPr>
            <w:rStyle w:val="Hyperlink"/>
          </w:rPr>
          <w:t xml:space="preserve">[25]</w:t>
        </w:r>
      </w:hyperlink>
    </w:p>
    <w:p>
      <w:pPr>
        <w:pStyle w:val="BodyText"/>
      </w:pPr>
      <w:r>
        <w:rPr>
          <w:b/>
          <w:bCs/>
        </w:rPr>
        <w:t xml:space="preserve">15. Recommended v1 scope</w:t>
      </w:r>
    </w:p>
    <w:p>
      <w:pPr>
        <w:pStyle w:val="BodyText"/>
      </w:pPr>
      <w:r>
        <w:t xml:space="preserve">My concrete recommendation for v1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Decision point</w:t>
            </w:r>
          </w:p>
        </w:tc>
        <w:tc>
          <w:tcPr/>
          <w:p>
            <w:pPr>
              <w:pStyle w:val="Compact"/>
            </w:pPr>
            <w:r>
              <w:t xml:space="preserve">Recommendation</w:t>
            </w:r>
          </w:p>
        </w:tc>
      </w:tr>
      <w:tr>
        <w:tc>
          <w:tcPr/>
          <w:p>
            <w:pPr>
              <w:pStyle w:val="Compact"/>
            </w:pPr>
            <w:r>
              <w:rPr>
                <w:b/>
                <w:bCs/>
              </w:rPr>
              <w:t xml:space="preserve">Primary scope model</w:t>
            </w:r>
          </w:p>
        </w:tc>
        <w:tc>
          <w:tcPr/>
          <w:p>
            <w:pPr>
              <w:pStyle w:val="Compact"/>
            </w:pPr>
            <w:r>
              <w:rPr>
                <w:b/>
                <w:bCs/>
              </w:rPr>
              <w:t xml:space="preserve">Model A</w:t>
            </w:r>
          </w:p>
        </w:tc>
      </w:tr>
      <w:tr>
        <w:tc>
          <w:tcPr/>
          <w:p>
            <w:pPr>
              <w:pStyle w:val="Compact"/>
            </w:pPr>
            <w:r>
              <w:rPr>
                <w:b/>
                <w:bCs/>
              </w:rPr>
              <w:t xml:space="preserve">Event date range</w:t>
            </w:r>
          </w:p>
        </w:tc>
        <w:tc>
          <w:tcPr/>
          <w:p>
            <w:pPr>
              <w:pStyle w:val="Compact"/>
            </w:pPr>
            <w:r>
              <w:t xml:space="preserve">1803–present, but prefer a verified-source build that starts with 1840s–present and backfills earlier material carefully</w:t>
            </w:r>
          </w:p>
        </w:tc>
      </w:tr>
      <w:tr>
        <w:tc>
          <w:tcPr/>
          <w:p>
            <w:pPr>
              <w:pStyle w:val="Compact"/>
            </w:pPr>
            <w:r>
              <w:rPr>
                <w:b/>
                <w:bCs/>
              </w:rPr>
              <w:t xml:space="preserve">Geographic boundary</w:t>
            </w:r>
          </w:p>
        </w:tc>
        <w:tc>
          <w:tcPr/>
          <w:p>
            <w:pPr>
              <w:pStyle w:val="Compact"/>
            </w:pPr>
            <w:r>
              <w:t xml:space="preserve">Mainland Australia, Tasmania, ACT, NT, and internal territories; offshore only when clearly Australian; external territories deferred</w:t>
            </w:r>
          </w:p>
        </w:tc>
      </w:tr>
      <w:tr>
        <w:tc>
          <w:tcPr/>
          <w:p>
            <w:pPr>
              <w:pStyle w:val="Compact"/>
            </w:pPr>
            <w:r>
              <w:rPr>
                <w:b/>
                <w:bCs/>
              </w:rPr>
              <w:t xml:space="preserve">Ghosts included?</w:t>
            </w:r>
          </w:p>
        </w:tc>
        <w:tc>
          <w:tcPr/>
          <w:p>
            <w:pPr>
              <w:pStyle w:val="Compact"/>
            </w:pPr>
            <w:r>
              <w:t xml:space="preserve">No</w:t>
            </w:r>
          </w:p>
        </w:tc>
      </w:tr>
      <w:tr>
        <w:tc>
          <w:tcPr/>
          <w:p>
            <w:pPr>
              <w:pStyle w:val="Compact"/>
            </w:pPr>
            <w:r>
              <w:rPr>
                <w:b/>
                <w:bCs/>
              </w:rPr>
              <w:t xml:space="preserve">UFO humanoids included?</w:t>
            </w:r>
          </w:p>
        </w:tc>
        <w:tc>
          <w:tcPr/>
          <w:p>
            <w:pPr>
              <w:pStyle w:val="Compact"/>
            </w:pPr>
            <w:r>
              <w:t xml:space="preserve">No</w:t>
            </w:r>
          </w:p>
        </w:tc>
      </w:tr>
      <w:tr>
        <w:tc>
          <w:tcPr/>
          <w:p>
            <w:pPr>
              <w:pStyle w:val="Compact"/>
            </w:pPr>
            <w:r>
              <w:rPr>
                <w:b/>
                <w:bCs/>
              </w:rPr>
              <w:t xml:space="preserve">Named ancestral/spirit beings included in core?</w:t>
            </w:r>
          </w:p>
        </w:tc>
        <w:tc>
          <w:tcPr/>
          <w:p>
            <w:pPr>
              <w:pStyle w:val="Compact"/>
            </w:pPr>
            <w:r>
              <w:t xml:space="preserve">No</w:t>
            </w:r>
          </w:p>
        </w:tc>
      </w:tr>
      <w:tr>
        <w:tc>
          <w:tcPr/>
          <w:p>
            <w:pPr>
              <w:pStyle w:val="Compact"/>
            </w:pPr>
            <w:r>
              <w:rPr>
                <w:b/>
                <w:bCs/>
              </w:rPr>
              <w:t xml:space="preserve">Only physical-seeming encounters?</w:t>
            </w:r>
          </w:p>
        </w:tc>
        <w:tc>
          <w:tcPr/>
          <w:p>
            <w:pPr>
              <w:pStyle w:val="Compact"/>
            </w:pPr>
            <w:r>
              <w:t xml:space="preserve">Yes, or at least quasi-physical, source-described, non-ordinary humanoid encounters</w:t>
            </w:r>
          </w:p>
        </w:tc>
      </w:tr>
      <w:tr>
        <w:tc>
          <w:tcPr/>
          <w:p>
            <w:pPr>
              <w:pStyle w:val="Compact"/>
            </w:pPr>
            <w:r>
              <w:rPr>
                <w:b/>
                <w:bCs/>
              </w:rPr>
              <w:t xml:space="preserve">Minimum source threshold</w:t>
            </w:r>
          </w:p>
        </w:tc>
        <w:tc>
          <w:tcPr/>
          <w:p>
            <w:pPr>
              <w:pStyle w:val="Compact"/>
            </w:pPr>
            <w:r>
              <w:t xml:space="preserve">Stable public source with enough content to justify inclusion</w:t>
            </w:r>
          </w:p>
        </w:tc>
      </w:tr>
      <w:tr>
        <w:tc>
          <w:tcPr/>
          <w:p>
            <w:pPr>
              <w:pStyle w:val="Compact"/>
            </w:pPr>
            <w:r>
              <w:rPr>
                <w:b/>
                <w:bCs/>
              </w:rPr>
              <w:t xml:space="preserve">Minimum event fields</w:t>
            </w:r>
          </w:p>
        </w:tc>
        <w:tc>
          <w:tcPr/>
          <w:p>
            <w:pPr>
              <w:pStyle w:val="Compact"/>
            </w:pPr>
            <w:r>
              <w:t xml:space="preserve">See v1 minimum field list above</w:t>
            </w:r>
          </w:p>
        </w:tc>
      </w:tr>
      <w:tr>
        <w:tc>
          <w:tcPr/>
          <w:p>
            <w:pPr>
              <w:pStyle w:val="Compact"/>
            </w:pPr>
            <w:r>
              <w:rPr>
                <w:b/>
                <w:bCs/>
              </w:rPr>
              <w:t xml:space="preserve">Recommended core labels</w:t>
            </w:r>
          </w:p>
        </w:tc>
        <w:tc>
          <w:tcPr/>
          <w:p>
            <w:pPr>
              <w:pStyle w:val="Compact"/>
            </w:pPr>
            <w:r>
              <w:t xml:space="preserve">Yowie as retained source label; operational cluster includes Yahoo/Hairy Man and similar descriptors</w:t>
            </w:r>
          </w:p>
        </w:tc>
      </w:tr>
      <w:tr>
        <w:tc>
          <w:tcPr/>
          <w:p>
            <w:pPr>
              <w:pStyle w:val="Compact"/>
            </w:pPr>
            <w:r>
              <w:rPr>
                <w:b/>
                <w:bCs/>
              </w:rPr>
              <w:t xml:space="preserve">Context-only categories</w:t>
            </w:r>
          </w:p>
        </w:tc>
        <w:tc>
          <w:tcPr/>
          <w:p>
            <w:pPr>
              <w:pStyle w:val="Compact"/>
            </w:pPr>
            <w:r>
              <w:t xml:space="preserve">Folklore summaries, rock-art discourse, tourism, media, semantics, heritage, Wikipedia-style summaries</w:t>
            </w:r>
          </w:p>
        </w:tc>
      </w:tr>
      <w:tr>
        <w:tc>
          <w:tcPr/>
          <w:p>
            <w:pPr>
              <w:pStyle w:val="Compact"/>
            </w:pPr>
            <w:r>
              <w:rPr>
                <w:b/>
                <w:bCs/>
              </w:rPr>
              <w:t xml:space="preserve">Recommended exclusions</w:t>
            </w:r>
          </w:p>
        </w:tc>
        <w:tc>
          <w:tcPr/>
          <w:p>
            <w:pPr>
              <w:pStyle w:val="Compact"/>
            </w:pPr>
            <w:r>
              <w:t xml:space="preserve">Ghosts, UFO humanoids, non-humanoids, satire, fiction, imported overseas events, footprints-only, sounds-only, culturally restricted material</w:t>
            </w:r>
          </w:p>
        </w:tc>
      </w:tr>
      <w:tr>
        <w:tc>
          <w:tcPr/>
          <w:p>
            <w:pPr>
              <w:pStyle w:val="Compact"/>
            </w:pPr>
            <w:r>
              <w:rPr>
                <w:b/>
                <w:bCs/>
              </w:rPr>
              <w:t xml:space="preserve">Human review</w:t>
            </w:r>
          </w:p>
        </w:tc>
        <w:tc>
          <w:tcPr/>
          <w:p>
            <w:pPr>
              <w:pStyle w:val="Compact"/>
            </w:pPr>
            <w:r>
              <w:t xml:space="preserve">Mandatory for every Tier 1 promotion and every Indigenous-related context inclusion</w:t>
            </w:r>
          </w:p>
        </w:tc>
      </w:tr>
      <w:tr>
        <w:tc>
          <w:tcPr/>
          <w:p>
            <w:pPr>
              <w:pStyle w:val="Compact"/>
            </w:pPr>
            <w:r>
              <w:rPr>
                <w:b/>
                <w:bCs/>
              </w:rPr>
              <w:t xml:space="preserve">Semantic-change / search-attention modules</w:t>
            </w:r>
          </w:p>
        </w:tc>
        <w:tc>
          <w:tcPr/>
          <w:p>
            <w:pPr>
              <w:pStyle w:val="Compact"/>
            </w:pPr>
            <w:r>
              <w:t xml:space="preserve">Move to later extensions, not v1 core</w:t>
            </w:r>
          </w:p>
        </w:tc>
      </w:tr>
    </w:tbl>
    <w:p>
      <w:pPr>
        <w:pStyle w:val="BodyText"/>
      </w:pPr>
      <w:r>
        <w:t xml:space="preserve">That last point matters. The current repo summary still bundles search-attention infrastructure such as Google Trends and Wikimedia pageviews into the same general frame as encounter records. Those are interesting later modules, but they are not part of a clean v1 encounter archive.</w:t>
      </w:r>
      <w:r>
        <w:t xml:space="preserve"> </w:t>
      </w:r>
      <w:hyperlink r:id="rId21">
        <w:r>
          <w:rPr>
            <w:rStyle w:val="Hyperlink"/>
          </w:rPr>
          <w:t xml:space="preserve">[25]</w:t>
        </w:r>
      </w:hyperlink>
    </w:p>
    <w:p>
      <w:pPr>
        <w:pStyle w:val="BodyText"/>
      </w:pPr>
      <w:r>
        <w:rPr>
          <w:b/>
          <w:bCs/>
        </w:rPr>
        <w:t xml:space="preserve">16. Migration plan</w:t>
      </w:r>
    </w:p>
    <w:p>
      <w:pPr>
        <w:pStyle w:val="BodyText"/>
      </w:pPr>
      <w:r>
        <w:rPr>
          <w:b/>
          <w:bCs/>
        </w:rPr>
        <w:t xml:space="preserve">Stage 1: Freeze and document the current dataset</w:t>
      </w:r>
      <w:r>
        <w:br/>
      </w:r>
      <w:r>
        <w:t xml:space="preserve">Create a permanent frozen release of the current broad-scope export, clearly labelled as a legacy version built under the old scope. Preserve the raw export, lexicon, query plans, and provenance notes. The existing summary already encodes the legacy broad-scope logic and should be retained as documentation of the project’s first phase.</w:t>
      </w:r>
      <w:r>
        <w:t xml:space="preserve"> </w:t>
      </w:r>
      <w:hyperlink r:id="rId21">
        <w:r>
          <w:rPr>
            <w:rStyle w:val="Hyperlink"/>
          </w:rPr>
          <w:t xml:space="preserve">[26]</w:t>
        </w:r>
      </w:hyperlink>
    </w:p>
    <w:p>
      <w:pPr>
        <w:pStyle w:val="BodyText"/>
      </w:pPr>
      <w:r>
        <w:rPr>
          <w:b/>
          <w:bCs/>
        </w:rPr>
        <w:t xml:space="preserve">Stage 2: Introduce the new ontology</w:t>
      </w:r>
      <w:r>
        <w:br/>
      </w:r>
      <w:r>
        <w:t xml:space="preserve">Create new tables or JSON classes for</w:t>
      </w:r>
      <w:r>
        <w:t xml:space="preserve"> </w:t>
      </w:r>
      <w:r>
        <w:rPr>
          <w:rStyle w:val="VerbatimChar"/>
        </w:rPr>
        <w:t xml:space="preserve">encounter_events</w:t>
      </w:r>
      <w:r>
        <w:t xml:space="preserve">,</w:t>
      </w:r>
      <w:r>
        <w:t xml:space="preserve"> </w:t>
      </w:r>
      <w:r>
        <w:rPr>
          <w:rStyle w:val="VerbatimChar"/>
        </w:rPr>
        <w:t xml:space="preserve">source_items</w:t>
      </w:r>
      <w:r>
        <w:t xml:space="preserve">,</w:t>
      </w:r>
      <w:r>
        <w:t xml:space="preserve"> </w:t>
      </w:r>
      <w:r>
        <w:rPr>
          <w:rStyle w:val="VerbatimChar"/>
        </w:rPr>
        <w:t xml:space="preserve">event_source_links</w:t>
      </w:r>
      <w:r>
        <w:t xml:space="preserve">,</w:t>
      </w:r>
      <w:r>
        <w:t xml:space="preserve"> </w:t>
      </w:r>
      <w:r>
        <w:rPr>
          <w:rStyle w:val="VerbatimChar"/>
        </w:rPr>
        <w:t xml:space="preserve">entity_labels</w:t>
      </w:r>
      <w:r>
        <w:t xml:space="preserve">,</w:t>
      </w:r>
      <w:r>
        <w:t xml:space="preserve"> </w:t>
      </w:r>
      <w:r>
        <w:rPr>
          <w:rStyle w:val="VerbatimChar"/>
        </w:rPr>
        <w:t xml:space="preserve">context_items</w:t>
      </w:r>
      <w:r>
        <w:t xml:space="preserve">,</w:t>
      </w:r>
      <w:r>
        <w:t xml:space="preserve"> </w:t>
      </w:r>
      <w:r>
        <w:rPr>
          <w:rStyle w:val="VerbatimChar"/>
        </w:rPr>
        <w:t xml:space="preserve">leads</w:t>
      </w:r>
      <w:r>
        <w:t xml:space="preserve">, and</w:t>
      </w:r>
      <w:r>
        <w:t xml:space="preserve"> </w:t>
      </w:r>
      <w:r>
        <w:rPr>
          <w:rStyle w:val="VerbatimChar"/>
        </w:rPr>
        <w:t xml:space="preserve">exclusions</w:t>
      </w:r>
      <w:r>
        <w:t xml:space="preserve">.</w:t>
      </w:r>
    </w:p>
    <w:p>
      <w:pPr>
        <w:pStyle w:val="BodyText"/>
      </w:pPr>
      <w:r>
        <w:rPr>
          <w:b/>
          <w:bCs/>
        </w:rPr>
        <w:t xml:space="preserve">Stage 3: Reclassify current rows</w:t>
      </w:r>
      <w:r>
        <w:br/>
      </w:r>
      <w:r>
        <w:t xml:space="preserve">Every legacy row should be triaged into one of: event candidate, source-only, context item, lead, duplicate/reprint, or excluded/control.</w:t>
      </w:r>
    </w:p>
    <w:p>
      <w:pPr>
        <w:pStyle w:val="BodyText"/>
      </w:pPr>
      <w:r>
        <w:rPr>
          <w:b/>
          <w:bCs/>
        </w:rPr>
        <w:t xml:space="preserve">Stage 4: Resolve event duplication</w:t>
      </w:r>
      <w:r>
        <w:br/>
      </w:r>
      <w:r>
        <w:t xml:space="preserve">Rows about the same incident should normally become</w:t>
      </w:r>
      <w:r>
        <w:t xml:space="preserve"> </w:t>
      </w:r>
      <w:r>
        <w:rPr>
          <w:b/>
          <w:bCs/>
        </w:rPr>
        <w:t xml:space="preserve">multiple source items linked to one encounter event</w:t>
      </w:r>
      <w:r>
        <w:t xml:space="preserve">. This is especially important for historical reprints and for AYR pages that embed further references to the same witness or later interviews.</w:t>
      </w:r>
      <w:r>
        <w:t xml:space="preserve"> </w:t>
      </w:r>
      <w:hyperlink r:id="rId28">
        <w:r>
          <w:rPr>
            <w:rStyle w:val="Hyperlink"/>
          </w:rPr>
          <w:t xml:space="preserve">[27]</w:t>
        </w:r>
      </w:hyperlink>
    </w:p>
    <w:p>
      <w:pPr>
        <w:pStyle w:val="BodyText"/>
      </w:pPr>
      <w:r>
        <w:rPr>
          <w:b/>
          <w:bCs/>
        </w:rPr>
        <w:t xml:space="preserve">Stage 5: Rebuild the core export</w:t>
      </w:r>
      <w:r>
        <w:br/>
      </w:r>
      <w:r>
        <w:t xml:space="preserve">The front-end core count should count</w:t>
      </w:r>
      <w:r>
        <w:t xml:space="preserve"> </w:t>
      </w:r>
      <w:r>
        <w:rPr>
          <w:b/>
          <w:bCs/>
        </w:rPr>
        <w:t xml:space="preserve">unique eligible encounter events</w:t>
      </w:r>
      <w:r>
        <w:t xml:space="preserve">, not raw source rows.</w:t>
      </w:r>
    </w:p>
    <w:p>
      <w:pPr>
        <w:pStyle w:val="BodyText"/>
      </w:pPr>
      <w:r>
        <w:rPr>
          <w:b/>
          <w:bCs/>
        </w:rPr>
        <w:t xml:space="preserve">Stage 6: Retain broader material as extensions</w:t>
      </w:r>
      <w:r>
        <w:br/>
      </w:r>
      <w:r>
        <w:t xml:space="preserve">Create clearly separated modules for context/discourse, tourism/media, semantic history, Indigenous-figure context, and candidate leads.</w:t>
      </w:r>
    </w:p>
    <w:p>
      <w:pPr>
        <w:pStyle w:val="BodyText"/>
      </w:pPr>
      <w:r>
        <w:rPr>
          <w:b/>
          <w:bCs/>
        </w:rPr>
        <w:t xml:space="preserve">Stage 7: Update narrative and visualization</w:t>
      </w:r>
      <w:r>
        <w:br/>
      </w:r>
      <w:r>
        <w:t xml:space="preserve">Every dashboard and chart should distinguish between:</w:t>
      </w:r>
    </w:p>
    <w:p>
      <w:pPr>
        <w:pStyle w:val="Compact"/>
        <w:numPr>
          <w:ilvl w:val="0"/>
          <w:numId w:val="1005"/>
        </w:numPr>
      </w:pPr>
      <w:r>
        <w:t xml:space="preserve">encounter events</w:t>
      </w:r>
    </w:p>
    <w:p>
      <w:pPr>
        <w:pStyle w:val="Compact"/>
        <w:numPr>
          <w:ilvl w:val="0"/>
          <w:numId w:val="1005"/>
        </w:numPr>
      </w:pPr>
      <w:r>
        <w:t xml:space="preserve">source items</w:t>
      </w:r>
    </w:p>
    <w:p>
      <w:pPr>
        <w:pStyle w:val="Compact"/>
        <w:numPr>
          <w:ilvl w:val="0"/>
          <w:numId w:val="1005"/>
        </w:numPr>
      </w:pPr>
      <w:r>
        <w:t xml:space="preserve">labels</w:t>
      </w:r>
    </w:p>
    <w:p>
      <w:pPr>
        <w:pStyle w:val="Compact"/>
        <w:numPr>
          <w:ilvl w:val="0"/>
          <w:numId w:val="1005"/>
        </w:numPr>
      </w:pPr>
      <w:r>
        <w:t xml:space="preserve">context items</w:t>
      </w:r>
    </w:p>
    <w:p>
      <w:pPr>
        <w:pStyle w:val="Compact"/>
        <w:numPr>
          <w:ilvl w:val="0"/>
          <w:numId w:val="1005"/>
        </w:numPr>
      </w:pPr>
      <w:r>
        <w:t xml:space="preserve">unresolved leads</w:t>
      </w:r>
    </w:p>
    <w:p>
      <w:pPr>
        <w:pStyle w:val="FirstParagraph"/>
      </w:pPr>
      <w:r>
        <w:t xml:space="preserve">This staged plan preserves the useful labour already done while fixing the conceptual problem at the level of data structure.</w:t>
      </w:r>
    </w:p>
    <w:bookmarkEnd w:id="37"/>
    <w:bookmarkStart w:id="48" w:name="public-language-claims-and-bibliography"/>
    <w:p>
      <w:pPr>
        <w:pStyle w:val="Heading2"/>
      </w:pPr>
      <w:r>
        <w:t xml:space="preserve">Public language, claims, and bibliography</w:t>
      </w:r>
    </w:p>
    <w:p>
      <w:pPr>
        <w:pStyle w:val="FirstParagraph"/>
      </w:pPr>
      <w:r>
        <w:rPr>
          <w:b/>
          <w:bCs/>
        </w:rPr>
        <w:t xml:space="preserve">17. README and frontend language</w:t>
      </w:r>
    </w:p>
    <w:p>
      <w:pPr>
        <w:pStyle w:val="BodyText"/>
      </w:pPr>
      <w:r>
        <w:rPr>
          <w:b/>
          <w:bCs/>
        </w:rPr>
        <w:t xml:space="preserve">Recommended scope statement for README</w:t>
      </w:r>
      <w:r>
        <w:br/>
      </w:r>
      <w:r>
        <w:t xml:space="preserve">This project documents how alleged anomalous humanoid encounters in Australia have been publicly recorded, described, repeated, and classified in accessible sources. The archive is organised around encounter events, source items, retellings, and contextual records. Version 1 focuses only on event-specific reports of apparently non-ordinary humanoid figures and separates them from folklore summaries, cultural representation, tourism discourse, and search leads.</w:t>
      </w:r>
    </w:p>
    <w:p>
      <w:pPr>
        <w:pStyle w:val="BodyText"/>
      </w:pPr>
      <w:r>
        <w:rPr>
          <w:b/>
          <w:bCs/>
        </w:rPr>
        <w:t xml:space="preserve">Recommended non-goals statement</w:t>
      </w:r>
      <w:r>
        <w:br/>
      </w:r>
      <w:r>
        <w:t xml:space="preserve">This project does not attempt to prove that supernatural or unknown beings exist. It does not treat named figures from Aboriginal and Torres Strait Islander traditions as cryptids by default. It does not claim to be comprehensive, peer reviewed, culturally authoritative, or representative of all Australian traditions.</w:t>
      </w:r>
    </w:p>
    <w:p>
      <w:pPr>
        <w:pStyle w:val="BodyText"/>
      </w:pPr>
      <w:r>
        <w:rPr>
          <w:b/>
          <w:bCs/>
        </w:rPr>
        <w:t xml:space="preserve">Recommended frontend metric labels</w:t>
      </w:r>
    </w:p>
    <w:p>
      <w:pPr>
        <w:pStyle w:val="Compact"/>
        <w:numPr>
          <w:ilvl w:val="0"/>
          <w:numId w:val="1006"/>
        </w:numPr>
      </w:pPr>
      <w:r>
        <w:rPr>
          <w:rStyle w:val="VerbatimChar"/>
        </w:rPr>
        <w:t xml:space="preserve">Eligible encounter events</w:t>
      </w:r>
    </w:p>
    <w:p>
      <w:pPr>
        <w:pStyle w:val="Compact"/>
        <w:numPr>
          <w:ilvl w:val="0"/>
          <w:numId w:val="1006"/>
        </w:numPr>
      </w:pPr>
      <w:r>
        <w:rPr>
          <w:rStyle w:val="VerbatimChar"/>
        </w:rPr>
        <w:t xml:space="preserve">Public source items</w:t>
      </w:r>
    </w:p>
    <w:p>
      <w:pPr>
        <w:pStyle w:val="Compact"/>
        <w:numPr>
          <w:ilvl w:val="0"/>
          <w:numId w:val="1006"/>
        </w:numPr>
      </w:pPr>
      <w:r>
        <w:rPr>
          <w:rStyle w:val="VerbatimChar"/>
        </w:rPr>
        <w:t xml:space="preserve">Source labels</w:t>
      </w:r>
    </w:p>
    <w:p>
      <w:pPr>
        <w:pStyle w:val="Compact"/>
        <w:numPr>
          <w:ilvl w:val="0"/>
          <w:numId w:val="1006"/>
        </w:numPr>
      </w:pPr>
      <w:r>
        <w:rPr>
          <w:rStyle w:val="VerbatimChar"/>
        </w:rPr>
        <w:t xml:space="preserve">Context records</w:t>
      </w:r>
    </w:p>
    <w:p>
      <w:pPr>
        <w:pStyle w:val="Compact"/>
        <w:numPr>
          <w:ilvl w:val="0"/>
          <w:numId w:val="1006"/>
        </w:numPr>
      </w:pPr>
      <w:r>
        <w:rPr>
          <w:rStyle w:val="VerbatimChar"/>
        </w:rPr>
        <w:t xml:space="preserve">Unresolved leads</w:t>
      </w:r>
    </w:p>
    <w:p>
      <w:pPr>
        <w:pStyle w:val="FirstParagraph"/>
      </w:pPr>
      <w:r>
        <w:rPr>
          <w:b/>
          <w:bCs/>
        </w:rPr>
        <w:t xml:space="preserve">18. Claims the project may make</w:t>
      </w:r>
    </w:p>
    <w:p>
      <w:pPr>
        <w:pStyle w:val="BodyText"/>
      </w:pPr>
      <w:r>
        <w:t xml:space="preserve">The project may truthfully say that it is:</w:t>
      </w:r>
    </w:p>
    <w:p>
      <w:pPr>
        <w:pStyle w:val="Compact"/>
        <w:numPr>
          <w:ilvl w:val="0"/>
          <w:numId w:val="1007"/>
        </w:numPr>
      </w:pPr>
      <w:r>
        <w:t xml:space="preserve">a</w:t>
      </w:r>
      <w:r>
        <w:t xml:space="preserve"> </w:t>
      </w:r>
      <w:r>
        <w:rPr>
          <w:b/>
          <w:bCs/>
        </w:rPr>
        <w:t xml:space="preserve">research-extensible public evidence archive</w:t>
      </w:r>
    </w:p>
    <w:p>
      <w:pPr>
        <w:pStyle w:val="Compact"/>
        <w:numPr>
          <w:ilvl w:val="0"/>
          <w:numId w:val="1007"/>
        </w:numPr>
      </w:pPr>
      <w:r>
        <w:t xml:space="preserve">a</w:t>
      </w:r>
      <w:r>
        <w:t xml:space="preserve"> </w:t>
      </w:r>
      <w:r>
        <w:rPr>
          <w:b/>
          <w:bCs/>
        </w:rPr>
        <w:t xml:space="preserve">structured public corpus</w:t>
      </w:r>
    </w:p>
    <w:p>
      <w:pPr>
        <w:pStyle w:val="Compact"/>
        <w:numPr>
          <w:ilvl w:val="0"/>
          <w:numId w:val="1007"/>
        </w:numPr>
      </w:pPr>
      <w:r>
        <w:rPr>
          <w:b/>
          <w:bCs/>
        </w:rPr>
        <w:t xml:space="preserve">provenance-aware</w:t>
      </w:r>
    </w:p>
    <w:p>
      <w:pPr>
        <w:pStyle w:val="Compact"/>
        <w:numPr>
          <w:ilvl w:val="0"/>
          <w:numId w:val="1007"/>
        </w:numPr>
      </w:pPr>
      <w:r>
        <w:rPr>
          <w:b/>
          <w:bCs/>
        </w:rPr>
        <w:t xml:space="preserve">versioned</w:t>
      </w:r>
    </w:p>
    <w:p>
      <w:pPr>
        <w:pStyle w:val="Compact"/>
        <w:numPr>
          <w:ilvl w:val="0"/>
          <w:numId w:val="1007"/>
        </w:numPr>
      </w:pPr>
      <w:r>
        <w:rPr>
          <w:b/>
          <w:bCs/>
        </w:rPr>
        <w:t xml:space="preserve">human-reviewed</w:t>
      </w:r>
    </w:p>
    <w:p>
      <w:pPr>
        <w:pStyle w:val="Compact"/>
        <w:numPr>
          <w:ilvl w:val="0"/>
          <w:numId w:val="1007"/>
        </w:numPr>
      </w:pPr>
      <w:r>
        <w:t xml:space="preserve">focused on</w:t>
      </w:r>
      <w:r>
        <w:t xml:space="preserve"> </w:t>
      </w:r>
      <w:r>
        <w:rPr>
          <w:b/>
          <w:bCs/>
        </w:rPr>
        <w:t xml:space="preserve">reported encounters and public reporting history</w:t>
      </w:r>
    </w:p>
    <w:p>
      <w:pPr>
        <w:pStyle w:val="Compact"/>
        <w:numPr>
          <w:ilvl w:val="0"/>
          <w:numId w:val="1007"/>
        </w:numPr>
      </w:pPr>
      <w:r>
        <w:t xml:space="preserve">suitable for</w:t>
      </w:r>
      <w:r>
        <w:t xml:space="preserve"> </w:t>
      </w:r>
      <w:r>
        <w:rPr>
          <w:b/>
          <w:bCs/>
        </w:rPr>
        <w:t xml:space="preserve">future research extension</w:t>
      </w:r>
    </w:p>
    <w:p>
      <w:pPr>
        <w:pStyle w:val="Compact"/>
        <w:numPr>
          <w:ilvl w:val="0"/>
          <w:numId w:val="1007"/>
        </w:numPr>
      </w:pPr>
      <w:r>
        <w:t xml:space="preserve">concerned with</w:t>
      </w:r>
      <w:r>
        <w:t xml:space="preserve"> </w:t>
      </w:r>
      <w:r>
        <w:rPr>
          <w:b/>
          <w:bCs/>
        </w:rPr>
        <w:t xml:space="preserve">source mediation, classification history, and retelling</w:t>
      </w:r>
    </w:p>
    <w:p>
      <w:pPr>
        <w:pStyle w:val="FirstParagraph"/>
      </w:pPr>
      <w:r>
        <w:rPr>
          <w:b/>
          <w:bCs/>
        </w:rPr>
        <w:t xml:space="preserve">19. Claims the project must not make</w:t>
      </w:r>
    </w:p>
    <w:p>
      <w:pPr>
        <w:pStyle w:val="BodyText"/>
      </w:pPr>
      <w:r>
        <w:t xml:space="preserve">The project should not claim that it is:</w:t>
      </w:r>
    </w:p>
    <w:p>
      <w:pPr>
        <w:pStyle w:val="Compact"/>
        <w:numPr>
          <w:ilvl w:val="0"/>
          <w:numId w:val="1008"/>
        </w:numPr>
      </w:pPr>
      <w:r>
        <w:t xml:space="preserve">proof that anomalous beings exist</w:t>
      </w:r>
    </w:p>
    <w:p>
      <w:pPr>
        <w:pStyle w:val="Compact"/>
        <w:numPr>
          <w:ilvl w:val="0"/>
          <w:numId w:val="1008"/>
        </w:numPr>
      </w:pPr>
      <w:r>
        <w:t xml:space="preserve">a verified catalogue of supernatural entities</w:t>
      </w:r>
    </w:p>
    <w:p>
      <w:pPr>
        <w:pStyle w:val="Compact"/>
        <w:numPr>
          <w:ilvl w:val="0"/>
          <w:numId w:val="1008"/>
        </w:numPr>
      </w:pPr>
      <w:r>
        <w:t xml:space="preserve">a complete census of Australian humanoid phenomena</w:t>
      </w:r>
    </w:p>
    <w:p>
      <w:pPr>
        <w:pStyle w:val="Compact"/>
        <w:numPr>
          <w:ilvl w:val="0"/>
          <w:numId w:val="1008"/>
        </w:numPr>
      </w:pPr>
      <w:r>
        <w:t xml:space="preserve">academically authoritative or peer reviewed</w:t>
      </w:r>
    </w:p>
    <w:p>
      <w:pPr>
        <w:pStyle w:val="Compact"/>
        <w:numPr>
          <w:ilvl w:val="0"/>
          <w:numId w:val="1008"/>
        </w:numPr>
      </w:pPr>
      <w:r>
        <w:t xml:space="preserve">representative of all Indigenous traditions</w:t>
      </w:r>
    </w:p>
    <w:p>
      <w:pPr>
        <w:pStyle w:val="Compact"/>
        <w:numPr>
          <w:ilvl w:val="0"/>
          <w:numId w:val="1008"/>
        </w:numPr>
      </w:pPr>
      <w:r>
        <w:t xml:space="preserve">an authoritative Indigenous knowledge repository</w:t>
      </w:r>
    </w:p>
    <w:p>
      <w:pPr>
        <w:pStyle w:val="Compact"/>
        <w:numPr>
          <w:ilvl w:val="0"/>
          <w:numId w:val="1008"/>
        </w:numPr>
      </w:pPr>
      <w:r>
        <w:t xml:space="preserve">a map of actual distribution, habitat, population, or species diversity</w:t>
      </w:r>
    </w:p>
    <w:p>
      <w:pPr>
        <w:pStyle w:val="FirstParagraph"/>
      </w:pPr>
      <w:r>
        <w:rPr>
          <w:b/>
          <w:bCs/>
        </w:rPr>
        <w:t xml:space="preserve">20. Unresolved methodological questions</w:t>
      </w:r>
    </w:p>
    <w:p>
      <w:pPr>
        <w:pStyle w:val="BodyText"/>
      </w:pPr>
      <w:r>
        <w:t xml:space="preserve">A few decisions still need explicit internal policy, even though the overall direction is clear:</w:t>
      </w:r>
    </w:p>
    <w:p>
      <w:pPr>
        <w:pStyle w:val="Compact"/>
        <w:numPr>
          <w:ilvl w:val="0"/>
          <w:numId w:val="1009"/>
        </w:numPr>
      </w:pPr>
      <w:r>
        <w:t xml:space="preserve">Should</w:t>
      </w:r>
      <w:r>
        <w:t xml:space="preserve"> </w:t>
      </w:r>
      <w:r>
        <w:rPr>
          <w:b/>
          <w:bCs/>
        </w:rPr>
        <w:t xml:space="preserve">quasi-physical apparitional encounters</w:t>
      </w:r>
      <w:r>
        <w:t xml:space="preserve"> </w:t>
      </w:r>
      <w:r>
        <w:t xml:space="preserve">ever be admitted if they are source-described as embodied and non-ordinary, or should v1 stay strictly on physical-seeming reports?</w:t>
      </w:r>
    </w:p>
    <w:p>
      <w:pPr>
        <w:pStyle w:val="Compact"/>
        <w:numPr>
          <w:ilvl w:val="0"/>
          <w:numId w:val="1009"/>
        </w:numPr>
      </w:pPr>
      <w:r>
        <w:t xml:space="preserve">Should</w:t>
      </w:r>
      <w:r>
        <w:t xml:space="preserve"> </w:t>
      </w:r>
      <w:r>
        <w:rPr>
          <w:b/>
          <w:bCs/>
        </w:rPr>
        <w:t xml:space="preserve">early colonial backsearch</w:t>
      </w:r>
      <w:r>
        <w:t xml:space="preserve"> </w:t>
      </w:r>
      <w:r>
        <w:t xml:space="preserve">begin at 1803, or should the verified-source core initially start in the</w:t>
      </w:r>
      <w:r>
        <w:t xml:space="preserve"> </w:t>
      </w:r>
      <w:r>
        <w:rPr>
          <w:b/>
          <w:bCs/>
        </w:rPr>
        <w:t xml:space="preserve">1840s</w:t>
      </w:r>
      <w:r>
        <w:t xml:space="preserve"> </w:t>
      </w:r>
      <w:r>
        <w:t xml:space="preserve">and treat earlier material as a lead queue until source density improves?</w:t>
      </w:r>
    </w:p>
    <w:p>
      <w:pPr>
        <w:pStyle w:val="Compact"/>
        <w:numPr>
          <w:ilvl w:val="0"/>
          <w:numId w:val="1009"/>
        </w:numPr>
      </w:pPr>
      <w:r>
        <w:t xml:space="preserve">Should some AYR witness pages be allowed into</w:t>
      </w:r>
      <w:r>
        <w:t xml:space="preserve"> </w:t>
      </w:r>
      <w:r>
        <w:rPr>
          <w:b/>
          <w:bCs/>
        </w:rPr>
        <w:t xml:space="preserve">Tier 1</w:t>
      </w:r>
      <w:r>
        <w:t xml:space="preserve"> </w:t>
      </w:r>
      <w:r>
        <w:t xml:space="preserve">when the AYR page itself is the first public publication of the narrative, or should all AYR-hosted witness material begin in</w:t>
      </w:r>
      <w:r>
        <w:t xml:space="preserve"> </w:t>
      </w:r>
      <w:r>
        <w:rPr>
          <w:b/>
          <w:bCs/>
        </w:rPr>
        <w:t xml:space="preserve">Tier 2</w:t>
      </w:r>
      <w:r>
        <w:t xml:space="preserve">?</w:t>
      </w:r>
    </w:p>
    <w:p>
      <w:pPr>
        <w:pStyle w:val="Compact"/>
        <w:numPr>
          <w:ilvl w:val="0"/>
          <w:numId w:val="1009"/>
        </w:numPr>
      </w:pPr>
      <w:r>
        <w:t xml:space="preserve">How should the project flag labels that later compilers routinely collapse into “Yowie” when the original source did not use that term?</w:t>
      </w:r>
    </w:p>
    <w:p>
      <w:pPr>
        <w:pStyle w:val="Compact"/>
        <w:numPr>
          <w:ilvl w:val="0"/>
          <w:numId w:val="1009"/>
        </w:numPr>
      </w:pPr>
      <w:r>
        <w:t xml:space="preserve">What is the exact public-facing policy for context records concerning culturally sensitive Indigenous figures, especially where public catalogue entries explicitly mention restricted access or sacred sites?</w:t>
      </w:r>
      <w:r>
        <w:t xml:space="preserve"> </w:t>
      </w:r>
      <w:hyperlink r:id="rId25">
        <w:r>
          <w:rPr>
            <w:rStyle w:val="Hyperlink"/>
          </w:rPr>
          <w:t xml:space="preserve">[28]</w:t>
        </w:r>
      </w:hyperlink>
    </w:p>
    <w:p>
      <w:pPr>
        <w:pStyle w:val="FirstParagraph"/>
      </w:pPr>
      <w:r>
        <w:rPr>
          <w:b/>
          <w:bCs/>
        </w:rPr>
        <w:t xml:space="preserve">Recommended revised research question</w:t>
      </w:r>
    </w:p>
    <w:p>
      <w:pPr>
        <w:pStyle w:val="BodyText"/>
      </w:pPr>
      <w:r>
        <w:t xml:space="preserve">The best governing question for v1 is:</w:t>
      </w:r>
    </w:p>
    <w:p>
      <w:pPr>
        <w:pStyle w:val="BodyText"/>
      </w:pPr>
      <w:r>
        <w:rPr>
          <w:b/>
          <w:bCs/>
        </w:rPr>
        <w:t xml:space="preserve">How have alleged encounters with anomalous humanoid figures in Australia been publicly recorded, sourced, classified, republished, and retold in traceable public sources?</w:t>
      </w:r>
    </w:p>
    <w:p>
      <w:pPr>
        <w:pStyle w:val="BodyText"/>
      </w:pPr>
      <w:r>
        <w:t xml:space="preserve">Supporting questions:</w:t>
      </w:r>
    </w:p>
    <w:p>
      <w:pPr>
        <w:pStyle w:val="Compact"/>
        <w:numPr>
          <w:ilvl w:val="0"/>
          <w:numId w:val="1010"/>
        </w:numPr>
      </w:pPr>
      <w:r>
        <w:t xml:space="preserve">How have descriptive labels changed over time, especially the relationship between older “Yahoo/Hairy Man” reporting and later “Yowie” classification?</w:t>
      </w:r>
    </w:p>
    <w:p>
      <w:pPr>
        <w:pStyle w:val="Compact"/>
        <w:numPr>
          <w:ilvl w:val="0"/>
          <w:numId w:val="1010"/>
        </w:numPr>
      </w:pPr>
      <w:r>
        <w:t xml:space="preserve">How often do later aggregators or websites overwrite the label used in the earliest accessible source?</w:t>
      </w:r>
    </w:p>
    <w:p>
      <w:pPr>
        <w:pStyle w:val="Compact"/>
        <w:numPr>
          <w:ilvl w:val="0"/>
          <w:numId w:val="1010"/>
        </w:numPr>
      </w:pPr>
      <w:r>
        <w:t xml:space="preserve">How do source proximity, reprinting, and derivative retelling change what later readers think the event was?</w:t>
      </w:r>
    </w:p>
    <w:p>
      <w:pPr>
        <w:pStyle w:val="Compact"/>
        <w:numPr>
          <w:ilvl w:val="0"/>
          <w:numId w:val="1010"/>
        </w:numPr>
      </w:pPr>
      <w:r>
        <w:t xml:space="preserve">What is the difference between a documented encounter report and a broader context text about folklore, heritage, or cultural representation?</w:t>
      </w:r>
    </w:p>
    <w:p>
      <w:pPr>
        <w:pStyle w:val="FirstParagraph"/>
      </w:pPr>
      <w:r>
        <w:rPr>
          <w:b/>
          <w:bCs/>
        </w:rPr>
        <w:t xml:space="preserve">Full bibliography and source notes</w:t>
      </w:r>
    </w:p>
    <w:p>
      <w:pPr>
        <w:pStyle w:val="BodyText"/>
      </w:pPr>
      <w:r>
        <w:rPr>
          <w:b/>
          <w:bCs/>
        </w:rPr>
        <w:t xml:space="preserve">Repository and project materials</w:t>
      </w:r>
    </w:p>
    <w:p>
      <w:pPr>
        <w:pStyle w:val="Compact"/>
        <w:numPr>
          <w:ilvl w:val="0"/>
          <w:numId w:val="1011"/>
        </w:numPr>
      </w:pPr>
      <w:r>
        <w:t xml:space="preserve">Public repository front-end export and summary, showing 707 current records, date ranges, figure counts, ontology counts, and current mixed scope.</w:t>
      </w:r>
      <w:r>
        <w:t xml:space="preserve"> </w:t>
      </w:r>
      <w:hyperlink r:id="rId21">
        <w:r>
          <w:rPr>
            <w:rStyle w:val="Hyperlink"/>
          </w:rPr>
          <w:t xml:space="preserve">[29]</w:t>
        </w:r>
      </w:hyperlink>
    </w:p>
    <w:p>
      <w:pPr>
        <w:pStyle w:val="Compact"/>
        <w:numPr>
          <w:ilvl w:val="0"/>
          <w:numId w:val="1011"/>
        </w:numPr>
      </w:pPr>
      <w:r>
        <w:t xml:space="preserve">Public CSV review export, used to inspect representative rows, metadata inconsistencies, and reliance on AYR/Wikipedia/ABC.</w:t>
      </w:r>
      <w:r>
        <w:t xml:space="preserve"> </w:t>
      </w:r>
      <w:hyperlink r:id="rId23">
        <w:r>
          <w:rPr>
            <w:rStyle w:val="Hyperlink"/>
          </w:rPr>
          <w:t xml:space="preserve">[30]</w:t>
        </w:r>
      </w:hyperlink>
    </w:p>
    <w:p>
      <w:pPr>
        <w:pStyle w:val="Compact"/>
        <w:numPr>
          <w:ilvl w:val="0"/>
          <w:numId w:val="1011"/>
        </w:numPr>
      </w:pPr>
      <w:r>
        <w:t xml:space="preserve">Repository source configuration and query/lead audit documents.</w:t>
      </w:r>
      <w:r>
        <w:t xml:space="preserve"> </w:t>
      </w:r>
      <w:hyperlink r:id="rId38">
        <w:r>
          <w:rPr>
            <w:rStyle w:val="Hyperlink"/>
          </w:rPr>
          <w:t xml:space="preserve">[31]</w:t>
        </w:r>
      </w:hyperlink>
    </w:p>
    <w:p>
      <w:pPr>
        <w:pStyle w:val="FirstParagraph"/>
      </w:pPr>
      <w:r>
        <w:rPr>
          <w:b/>
          <w:bCs/>
        </w:rPr>
        <w:t xml:space="preserve">Ethics, access, and Indigenous collections guidance</w:t>
      </w:r>
    </w:p>
    <w:p>
      <w:pPr>
        <w:pStyle w:val="Compact"/>
        <w:numPr>
          <w:ilvl w:val="0"/>
          <w:numId w:val="1012"/>
        </w:numPr>
      </w:pPr>
      <w:r>
        <w:rPr>
          <w:b/>
          <w:bCs/>
        </w:rPr>
        <w:t xml:space="preserve">AIATSIS Code of Ethics for Aboriginal and Torres Strait Islander Research</w:t>
      </w:r>
      <w:r>
        <w:t xml:space="preserve">. Key for ethical research obligations, including archival and collection-based research.</w:t>
      </w:r>
      <w:r>
        <w:t xml:space="preserve"> </w:t>
      </w:r>
      <w:hyperlink r:id="rId25">
        <w:r>
          <w:rPr>
            <w:rStyle w:val="Hyperlink"/>
          </w:rPr>
          <w:t xml:space="preserve">[32]</w:t>
        </w:r>
      </w:hyperlink>
    </w:p>
    <w:p>
      <w:pPr>
        <w:pStyle w:val="Compact"/>
        <w:numPr>
          <w:ilvl w:val="0"/>
          <w:numId w:val="1012"/>
        </w:numPr>
      </w:pPr>
      <w:r>
        <w:rPr>
          <w:b/>
          <w:bCs/>
        </w:rPr>
        <w:t xml:space="preserve">AIATSIS Collection Access and Use Policy</w:t>
      </w:r>
      <w:r>
        <w:t xml:space="preserve">. Key for sensitive content and restricted material.</w:t>
      </w:r>
      <w:r>
        <w:t xml:space="preserve"> </w:t>
      </w:r>
      <w:hyperlink r:id="rId26">
        <w:r>
          <w:rPr>
            <w:rStyle w:val="Hyperlink"/>
          </w:rPr>
          <w:t xml:space="preserve">[33]</w:t>
        </w:r>
      </w:hyperlink>
    </w:p>
    <w:p>
      <w:pPr>
        <w:pStyle w:val="Compact"/>
        <w:numPr>
          <w:ilvl w:val="0"/>
          <w:numId w:val="1012"/>
        </w:numPr>
      </w:pPr>
      <w:r>
        <w:rPr>
          <w:b/>
          <w:bCs/>
        </w:rPr>
        <w:t xml:space="preserve">AIATSIS Search the Collection / How to search the Collection</w:t>
      </w:r>
      <w:r>
        <w:t xml:space="preserve">. Key for understanding public metadata, Mura, Collections Online, and Pathways thesauri.</w:t>
      </w:r>
      <w:r>
        <w:t xml:space="preserve"> </w:t>
      </w:r>
      <w:hyperlink r:id="rId30">
        <w:r>
          <w:rPr>
            <w:rStyle w:val="Hyperlink"/>
          </w:rPr>
          <w:t xml:space="preserve">[34]</w:t>
        </w:r>
      </w:hyperlink>
    </w:p>
    <w:p>
      <w:pPr>
        <w:pStyle w:val="Compact"/>
        <w:numPr>
          <w:ilvl w:val="0"/>
          <w:numId w:val="1012"/>
        </w:numPr>
      </w:pPr>
      <w:r>
        <w:rPr>
          <w:b/>
          <w:bCs/>
        </w:rPr>
        <w:t xml:space="preserve">ATSILIRN Protocol 5: Description and classification</w:t>
      </w:r>
      <w:r>
        <w:t xml:space="preserve">. Key for culturally appropriate description and classification.</w:t>
      </w:r>
      <w:r>
        <w:t xml:space="preserve"> </w:t>
      </w:r>
      <w:hyperlink r:id="rId39">
        <w:r>
          <w:rPr>
            <w:rStyle w:val="Hyperlink"/>
          </w:rPr>
          <w:t xml:space="preserve">[35]</w:t>
        </w:r>
      </w:hyperlink>
    </w:p>
    <w:p>
      <w:pPr>
        <w:pStyle w:val="Compact"/>
        <w:numPr>
          <w:ilvl w:val="0"/>
          <w:numId w:val="1012"/>
        </w:numPr>
      </w:pPr>
      <w:r>
        <w:rPr>
          <w:b/>
          <w:bCs/>
        </w:rPr>
        <w:t xml:space="preserve">National Museum of Australia policy on secret/sacred, sensitive and private materials</w:t>
      </w:r>
      <w:r>
        <w:t xml:space="preserve">. Key for display, access, and research limits.</w:t>
      </w:r>
      <w:r>
        <w:t xml:space="preserve"> </w:t>
      </w:r>
      <w:hyperlink r:id="rId40">
        <w:r>
          <w:rPr>
            <w:rStyle w:val="Hyperlink"/>
          </w:rPr>
          <w:t xml:space="preserve">[36]</w:t>
        </w:r>
      </w:hyperlink>
    </w:p>
    <w:p>
      <w:pPr>
        <w:pStyle w:val="Compact"/>
        <w:numPr>
          <w:ilvl w:val="0"/>
          <w:numId w:val="1012"/>
        </w:numPr>
      </w:pPr>
      <w:r>
        <w:rPr>
          <w:b/>
          <w:bCs/>
        </w:rPr>
        <w:t xml:space="preserve">National Library of Australia copyright guidance</w:t>
      </w:r>
      <w:r>
        <w:t xml:space="preserve">. Key for reuse and culturally sensitive material cautions.</w:t>
      </w:r>
      <w:r>
        <w:t xml:space="preserve"> </w:t>
      </w:r>
      <w:hyperlink r:id="rId41">
        <w:r>
          <w:rPr>
            <w:rStyle w:val="Hyperlink"/>
          </w:rPr>
          <w:t xml:space="preserve">[37]</w:t>
        </w:r>
      </w:hyperlink>
    </w:p>
    <w:p>
      <w:pPr>
        <w:pStyle w:val="FirstParagraph"/>
      </w:pPr>
      <w:r>
        <w:rPr>
          <w:b/>
          <w:bCs/>
        </w:rPr>
        <w:t xml:space="preserve">Archival and metadata modeling</w:t>
      </w:r>
    </w:p>
    <w:p>
      <w:pPr>
        <w:pStyle w:val="Compact"/>
        <w:numPr>
          <w:ilvl w:val="0"/>
          <w:numId w:val="1013"/>
        </w:numPr>
      </w:pPr>
      <w:r>
        <w:rPr>
          <w:b/>
          <w:bCs/>
        </w:rPr>
        <w:t xml:space="preserve">ICA Records in Contexts Ontology</w:t>
      </w:r>
      <w:r>
        <w:t xml:space="preserve">. Key rationale for modeling resources and relationships rather than flattening them.</w:t>
      </w:r>
      <w:r>
        <w:t xml:space="preserve"> </w:t>
      </w:r>
      <w:hyperlink r:id="rId42">
        <w:r>
          <w:rPr>
            <w:rStyle w:val="Hyperlink"/>
          </w:rPr>
          <w:t xml:space="preserve">[38]</w:t>
        </w:r>
      </w:hyperlink>
    </w:p>
    <w:p>
      <w:pPr>
        <w:pStyle w:val="Compact"/>
        <w:numPr>
          <w:ilvl w:val="0"/>
          <w:numId w:val="1013"/>
        </w:numPr>
      </w:pPr>
      <w:r>
        <w:rPr>
          <w:b/>
          <w:bCs/>
        </w:rPr>
        <w:t xml:space="preserve">Getty Introduction to Metadata</w:t>
      </w:r>
      <w:r>
        <w:t xml:space="preserve">. Key support for context, evidential value, and archival descriptive practice.</w:t>
      </w:r>
      <w:r>
        <w:t xml:space="preserve"> </w:t>
      </w:r>
      <w:hyperlink r:id="rId24">
        <w:r>
          <w:rPr>
            <w:rStyle w:val="Hyperlink"/>
          </w:rPr>
          <w:t xml:space="preserve">[39]</w:t>
        </w:r>
      </w:hyperlink>
    </w:p>
    <w:p>
      <w:pPr>
        <w:pStyle w:val="FirstParagraph"/>
      </w:pPr>
      <w:r>
        <w:rPr>
          <w:b/>
          <w:bCs/>
        </w:rPr>
        <w:t xml:space="preserve">Primary and near-primary public evidence examples</w:t>
      </w:r>
    </w:p>
    <w:p>
      <w:pPr>
        <w:pStyle w:val="Compact"/>
        <w:numPr>
          <w:ilvl w:val="0"/>
          <w:numId w:val="1014"/>
        </w:numPr>
      </w:pPr>
      <w:r>
        <w:rPr>
          <w:b/>
          <w:bCs/>
        </w:rPr>
        <w:t xml:space="preserve">Trove: “MILBURN GREEK”</w:t>
      </w:r>
      <w:r>
        <w:t xml:space="preserve"> </w:t>
      </w:r>
      <w:r>
        <w:t xml:space="preserve">(Australian Town and Country Journal, 18 Nov 1876). Important example of “Yahoo-Devil Devil” / “Hairy Man of the Wood” reporting with explicit humanoid description.</w:t>
      </w:r>
      <w:r>
        <w:t xml:space="preserve"> </w:t>
      </w:r>
      <w:hyperlink r:id="rId28">
        <w:r>
          <w:rPr>
            <w:rStyle w:val="Hyperlink"/>
          </w:rPr>
          <w:t xml:space="preserve">[12]</w:t>
        </w:r>
      </w:hyperlink>
    </w:p>
    <w:p>
      <w:pPr>
        <w:pStyle w:val="Compact"/>
        <w:numPr>
          <w:ilvl w:val="0"/>
          <w:numId w:val="1014"/>
        </w:numPr>
      </w:pPr>
      <w:r>
        <w:rPr>
          <w:b/>
          <w:bCs/>
        </w:rPr>
        <w:t xml:space="preserve">Trove: “Hairy Man of Bombala”</w:t>
      </w:r>
      <w:r>
        <w:t xml:space="preserve"> </w:t>
      </w:r>
      <w:r>
        <w:t xml:space="preserve">(Huon Times, 23 Oct 1912). Important example of explicit man-like hairy morphology in an original press source.</w:t>
      </w:r>
      <w:r>
        <w:t xml:space="preserve"> </w:t>
      </w:r>
      <w:hyperlink r:id="rId29">
        <w:r>
          <w:rPr>
            <w:rStyle w:val="Hyperlink"/>
          </w:rPr>
          <w:t xml:space="preserve">[11]</w:t>
        </w:r>
      </w:hyperlink>
    </w:p>
    <w:p>
      <w:pPr>
        <w:pStyle w:val="Compact"/>
        <w:numPr>
          <w:ilvl w:val="0"/>
          <w:numId w:val="1014"/>
        </w:numPr>
      </w:pPr>
      <w:r>
        <w:rPr>
          <w:b/>
          <w:bCs/>
        </w:rPr>
        <w:t xml:space="preserve">Trove title page for Australian Town and Country Journal</w:t>
      </w:r>
      <w:r>
        <w:t xml:space="preserve">. Important for title coverage and rights/disclaimer notes.</w:t>
      </w:r>
      <w:r>
        <w:t xml:space="preserve"> </w:t>
      </w:r>
      <w:hyperlink r:id="rId43">
        <w:r>
          <w:rPr>
            <w:rStyle w:val="Hyperlink"/>
          </w:rPr>
          <w:t xml:space="preserve">[40]</w:t>
        </w:r>
      </w:hyperlink>
    </w:p>
    <w:p>
      <w:pPr>
        <w:pStyle w:val="Compact"/>
        <w:numPr>
          <w:ilvl w:val="0"/>
          <w:numId w:val="1014"/>
        </w:numPr>
      </w:pPr>
      <w:r>
        <w:rPr>
          <w:b/>
          <w:bCs/>
        </w:rPr>
        <w:t xml:space="preserve">Trove text-correction help</w:t>
      </w:r>
      <w:r>
        <w:t xml:space="preserve">. Important for OCR caution and transcription workflow.</w:t>
      </w:r>
      <w:r>
        <w:t xml:space="preserve"> </w:t>
      </w:r>
      <w:hyperlink r:id="rId31">
        <w:r>
          <w:rPr>
            <w:rStyle w:val="Hyperlink"/>
          </w:rPr>
          <w:t xml:space="preserve">[22]</w:t>
        </w:r>
      </w:hyperlink>
    </w:p>
    <w:p>
      <w:pPr>
        <w:pStyle w:val="FirstParagraph"/>
      </w:pPr>
      <w:r>
        <w:rPr>
          <w:b/>
          <w:bCs/>
        </w:rPr>
        <w:t xml:space="preserve">Australian Yowie Research</w:t>
      </w:r>
    </w:p>
    <w:p>
      <w:pPr>
        <w:pStyle w:val="Compact"/>
        <w:numPr>
          <w:ilvl w:val="0"/>
          <w:numId w:val="1015"/>
        </w:numPr>
      </w:pPr>
      <w:r>
        <w:t xml:space="preserve">AYR home page and About page, showing self-description, scope claims, and discovery role.</w:t>
      </w:r>
      <w:r>
        <w:t xml:space="preserve"> </w:t>
      </w:r>
      <w:hyperlink r:id="rId35">
        <w:r>
          <w:rPr>
            <w:rStyle w:val="Hyperlink"/>
          </w:rPr>
          <w:t xml:space="preserve">[41]</w:t>
        </w:r>
      </w:hyperlink>
    </w:p>
    <w:p>
      <w:pPr>
        <w:pStyle w:val="Compact"/>
        <w:numPr>
          <w:ilvl w:val="0"/>
          <w:numId w:val="1015"/>
        </w:numPr>
      </w:pPr>
      <w:r>
        <w:t xml:space="preserve">AYR historical listings, researcher guide, and “What is a Yowie?” pages, showing label normalization patterns and proof-oriented framing.</w:t>
      </w:r>
      <w:r>
        <w:t xml:space="preserve"> </w:t>
      </w:r>
      <w:hyperlink r:id="rId44">
        <w:r>
          <w:rPr>
            <w:rStyle w:val="Hyperlink"/>
          </w:rPr>
          <w:t xml:space="preserve">[42]</w:t>
        </w:r>
      </w:hyperlink>
    </w:p>
    <w:p>
      <w:pPr>
        <w:pStyle w:val="FirstParagraph"/>
      </w:pPr>
      <w:r>
        <w:rPr>
          <w:b/>
          <w:bCs/>
        </w:rPr>
        <w:t xml:space="preserve">Context sources for culturally specific figures</w:t>
      </w:r>
    </w:p>
    <w:p>
      <w:pPr>
        <w:pStyle w:val="Compact"/>
        <w:numPr>
          <w:ilvl w:val="0"/>
          <w:numId w:val="1016"/>
        </w:numPr>
      </w:pPr>
      <w:r>
        <w:t xml:space="preserve">AIATSIS collection records and public catalogue items relating to</w:t>
      </w:r>
      <w:r>
        <w:t xml:space="preserve"> </w:t>
      </w:r>
      <w:r>
        <w:rPr>
          <w:b/>
          <w:bCs/>
        </w:rPr>
        <w:t xml:space="preserve">Mimih</w:t>
      </w:r>
      <w:r>
        <w:t xml:space="preserve">,</w:t>
      </w:r>
      <w:r>
        <w:t xml:space="preserve"> </w:t>
      </w:r>
      <w:r>
        <w:rPr>
          <w:b/>
          <w:bCs/>
        </w:rPr>
        <w:t xml:space="preserve">Quinkan</w:t>
      </w:r>
      <w:r>
        <w:t xml:space="preserve">, and</w:t>
      </w:r>
      <w:r>
        <w:t xml:space="preserve"> </w:t>
      </w:r>
      <w:r>
        <w:rPr>
          <w:b/>
          <w:bCs/>
        </w:rPr>
        <w:t xml:space="preserve">Wandjina/Wanjina</w:t>
      </w:r>
      <w:r>
        <w:t xml:space="preserve">, showing that these terms circulate primarily in art, ancestral, spirit, and heritage contexts in public collection metadata.</w:t>
      </w:r>
      <w:r>
        <w:t xml:space="preserve"> </w:t>
      </w:r>
      <w:hyperlink r:id="rId45">
        <w:r>
          <w:rPr>
            <w:rStyle w:val="Hyperlink"/>
          </w:rPr>
          <w:t xml:space="preserve">[43]</w:t>
        </w:r>
      </w:hyperlink>
    </w:p>
    <w:p>
      <w:pPr>
        <w:pStyle w:val="Compact"/>
        <w:numPr>
          <w:ilvl w:val="0"/>
          <w:numId w:val="1016"/>
        </w:numPr>
      </w:pPr>
      <w:r>
        <w:t xml:space="preserve">AIATSIS public catalogue material for</w:t>
      </w:r>
      <w:r>
        <w:t xml:space="preserve"> </w:t>
      </w:r>
      <w:r>
        <w:rPr>
          <w:b/>
          <w:bCs/>
        </w:rPr>
        <w:t xml:space="preserve">Garkain</w:t>
      </w:r>
      <w:r>
        <w:t xml:space="preserve">,</w:t>
      </w:r>
      <w:r>
        <w:t xml:space="preserve"> </w:t>
      </w:r>
      <w:r>
        <w:rPr>
          <w:b/>
          <w:bCs/>
        </w:rPr>
        <w:t xml:space="preserve">Mokoi</w:t>
      </w:r>
      <w:r>
        <w:t xml:space="preserve">, and</w:t>
      </w:r>
      <w:r>
        <w:t xml:space="preserve"> </w:t>
      </w:r>
      <w:r>
        <w:rPr>
          <w:b/>
          <w:bCs/>
        </w:rPr>
        <w:t xml:space="preserve">Mamu</w:t>
      </w:r>
      <w:r>
        <w:t xml:space="preserve">, useful mostly as contextual attestation and as caution against uncritical encounter normalization.</w:t>
      </w:r>
      <w:r>
        <w:t xml:space="preserve"> </w:t>
      </w:r>
      <w:hyperlink r:id="rId46">
        <w:r>
          <w:rPr>
            <w:rStyle w:val="Hyperlink"/>
          </w:rPr>
          <w:t xml:space="preserve">[44]</w:t>
        </w:r>
      </w:hyperlink>
    </w:p>
    <w:p>
      <w:pPr>
        <w:pStyle w:val="Compact"/>
        <w:numPr>
          <w:ilvl w:val="0"/>
          <w:numId w:val="1016"/>
        </w:numPr>
      </w:pPr>
      <w:r>
        <w:t xml:space="preserve">WA government and allied public material showing ongoing cultural significance of Wandjina/Wandjina-associated places and the care needed around representation.</w:t>
      </w:r>
      <w:r>
        <w:t xml:space="preserve"> </w:t>
      </w:r>
      <w:hyperlink r:id="rId47">
        <w:r>
          <w:rPr>
            <w:rStyle w:val="Hyperlink"/>
          </w:rPr>
          <w:t xml:space="preserve">[45]</w:t>
        </w:r>
      </w:hyperlink>
    </w:p>
    <w:p>
      <w:pPr>
        <w:pStyle w:val="FirstParagraph"/>
      </w:pPr>
      <w:r>
        <w:t xml:space="preserve">The overall conclusion is straightforward:</w:t>
      </w:r>
      <w:r>
        <w:t xml:space="preserve"> </w:t>
      </w:r>
      <w:r>
        <w:rPr>
          <w:b/>
          <w:bCs/>
        </w:rPr>
        <w:t xml:space="preserve">shrink the core, strengthen the ontology, separate events from sources, preserve labels without reifying them, and move culturally specific and non-event material into clearly marked context layers.</w:t>
      </w:r>
      <w:r>
        <w:t xml:space="preserve"> </w:t>
      </w:r>
      <w:r>
        <w:t xml:space="preserve">That will turn the repository from a broad but unstable collection into a rigorous, research-extensible public archive.</w:t>
      </w:r>
    </w:p>
    <w:bookmarkEnd w:id="48"/>
    <w:bookmarkEnd w:id="49"/>
    <w:bookmarkEnd w:id="50"/>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1">
        <w:r>
          <w:rPr>
            <w:rStyle w:val="Hyperlink"/>
          </w:rPr>
          <w:t xml:space="preserve">[19]</w:t>
        </w:r>
      </w:hyperlink>
      <w:r>
        <w:t xml:space="preserve"> </w:t>
      </w:r>
      <w:hyperlink r:id="rId21">
        <w:r>
          <w:rPr>
            <w:rStyle w:val="Hyperlink"/>
          </w:rPr>
          <w:t xml:space="preserve">[20]</w:t>
        </w:r>
      </w:hyperlink>
      <w:r>
        <w:t xml:space="preserve"> </w:t>
      </w:r>
      <w:hyperlink r:id="rId21">
        <w:r>
          <w:rPr>
            <w:rStyle w:val="Hyperlink"/>
          </w:rPr>
          <w:t xml:space="preserve">[25]</w:t>
        </w:r>
      </w:hyperlink>
      <w:r>
        <w:t xml:space="preserve"> </w:t>
      </w:r>
      <w:hyperlink r:id="rId21">
        <w:r>
          <w:rPr>
            <w:rStyle w:val="Hyperlink"/>
          </w:rPr>
          <w:t xml:space="preserve">[26]</w:t>
        </w:r>
      </w:hyperlink>
      <w:r>
        <w:t xml:space="preserve"> </w:t>
      </w:r>
      <w:hyperlink r:id="rId21">
        <w:r>
          <w:rPr>
            <w:rStyle w:val="Hyperlink"/>
          </w:rPr>
          <w:t xml:space="preserve">[29]</w:t>
        </w:r>
      </w:hyperlink>
      <w:r>
        <w:t xml:space="preserve"> </w:t>
      </w:r>
      <w:r>
        <w:t xml:space="preserve">raw.githubusercontent.com</w:t>
      </w:r>
    </w:p>
    <w:p>
      <w:pPr>
        <w:pStyle w:val="BodyText"/>
      </w:pPr>
      <w:hyperlink r:id="rId21">
        <w:r>
          <w:rPr>
            <w:rStyle w:val="Hyperlink"/>
          </w:rPr>
          <w:t xml:space="preserve">https://raw.githubusercontent.com/dpan538/australian-humanoid-supernatural-texts/main/public/data/frontend-data.json</w:t>
        </w:r>
      </w:hyperlink>
    </w:p>
    <w:p>
      <w:pPr>
        <w:pStyle w:val="BodyText"/>
      </w:pPr>
      <w:hyperlink r:id="rId22">
        <w:r>
          <w:rPr>
            <w:rStyle w:val="Hyperlink"/>
          </w:rPr>
          <w:t xml:space="preserve">[2]</w:t>
        </w:r>
      </w:hyperlink>
      <w:r>
        <w:t xml:space="preserve"> </w:t>
      </w:r>
      <w:r>
        <w:t xml:space="preserve">https://www.yowiehunters.com.au/</w:t>
      </w:r>
    </w:p>
    <w:p>
      <w:pPr>
        <w:pStyle w:val="BodyText"/>
      </w:pPr>
      <w:hyperlink r:id="rId22">
        <w:r>
          <w:rPr>
            <w:rStyle w:val="Hyperlink"/>
          </w:rPr>
          <w:t xml:space="preserve">https://www.yowiehunters.com.au/</w:t>
        </w:r>
      </w:hyperlink>
    </w:p>
    <w:p>
      <w:pPr>
        <w:pStyle w:val="BodyText"/>
      </w:pPr>
      <w:hyperlink r:id="rId23">
        <w:r>
          <w:rPr>
            <w:rStyle w:val="Hyperlink"/>
          </w:rPr>
          <w:t xml:space="preserve">[3]</w:t>
        </w:r>
      </w:hyperlink>
      <w:r>
        <w:t xml:space="preserve"> </w:t>
      </w:r>
      <w:hyperlink r:id="rId23">
        <w:r>
          <w:rPr>
            <w:rStyle w:val="Hyperlink"/>
          </w:rPr>
          <w:t xml:space="preserve">[10]</w:t>
        </w:r>
      </w:hyperlink>
      <w:r>
        <w:t xml:space="preserve"> </w:t>
      </w:r>
      <w:hyperlink r:id="rId23">
        <w:r>
          <w:rPr>
            <w:rStyle w:val="Hyperlink"/>
          </w:rPr>
          <w:t xml:space="preserve">[18]</w:t>
        </w:r>
      </w:hyperlink>
      <w:r>
        <w:t xml:space="preserve"> </w:t>
      </w:r>
      <w:hyperlink r:id="rId23">
        <w:r>
          <w:rPr>
            <w:rStyle w:val="Hyperlink"/>
          </w:rPr>
          <w:t xml:space="preserve">[30]</w:t>
        </w:r>
      </w:hyperlink>
      <w:r>
        <w:t xml:space="preserve"> </w:t>
      </w:r>
      <w:r>
        <w:t xml:space="preserve">https://raw.githubusercontent.com/dpan538/australian-humanoid-supernatural-texts/main/data/exports/records_review.csv</w:t>
      </w:r>
    </w:p>
    <w:p>
      <w:pPr>
        <w:pStyle w:val="BodyText"/>
      </w:pPr>
      <w:hyperlink r:id="rId23">
        <w:r>
          <w:rPr>
            <w:rStyle w:val="Hyperlink"/>
          </w:rPr>
          <w:t xml:space="preserve">https://raw.githubusercontent.com/dpan538/australian-humanoid-supernatural-texts/main/data/exports/records_review.csv</w:t>
        </w:r>
      </w:hyperlink>
    </w:p>
    <w:p>
      <w:pPr>
        <w:pStyle w:val="BodyText"/>
      </w:pPr>
      <w:hyperlink r:id="rId24">
        <w:r>
          <w:rPr>
            <w:rStyle w:val="Hyperlink"/>
          </w:rPr>
          <w:t xml:space="preserve">[4]</w:t>
        </w:r>
      </w:hyperlink>
      <w:r>
        <w:t xml:space="preserve"> </w:t>
      </w:r>
      <w:hyperlink r:id="rId24">
        <w:r>
          <w:rPr>
            <w:rStyle w:val="Hyperlink"/>
          </w:rPr>
          <w:t xml:space="preserve">[24]</w:t>
        </w:r>
      </w:hyperlink>
      <w:r>
        <w:t xml:space="preserve"> </w:t>
      </w:r>
      <w:hyperlink r:id="rId24">
        <w:r>
          <w:rPr>
            <w:rStyle w:val="Hyperlink"/>
          </w:rPr>
          <w:t xml:space="preserve">[39]</w:t>
        </w:r>
      </w:hyperlink>
      <w:r>
        <w:t xml:space="preserve"> </w:t>
      </w:r>
      <w:r>
        <w:t xml:space="preserve">https://www.getty.edu/publications/intrometadata/setting-the-stage/</w:t>
      </w:r>
    </w:p>
    <w:p>
      <w:pPr>
        <w:pStyle w:val="BodyText"/>
      </w:pPr>
      <w:hyperlink r:id="rId24">
        <w:r>
          <w:rPr>
            <w:rStyle w:val="Hyperlink"/>
          </w:rPr>
          <w:t xml:space="preserve">https://www.getty.edu/publications/intrometadata/setting-the-stage/</w:t>
        </w:r>
      </w:hyperlink>
    </w:p>
    <w:p>
      <w:pPr>
        <w:pStyle w:val="BodyText"/>
      </w:pPr>
      <w:hyperlink r:id="rId25">
        <w:r>
          <w:rPr>
            <w:rStyle w:val="Hyperlink"/>
          </w:rPr>
          <w:t xml:space="preserve">[5]</w:t>
        </w:r>
      </w:hyperlink>
      <w:r>
        <w:t xml:space="preserve"> </w:t>
      </w:r>
      <w:hyperlink r:id="rId25">
        <w:r>
          <w:rPr>
            <w:rStyle w:val="Hyperlink"/>
          </w:rPr>
          <w:t xml:space="preserve">[6]</w:t>
        </w:r>
      </w:hyperlink>
      <w:r>
        <w:t xml:space="preserve"> </w:t>
      </w:r>
      <w:hyperlink r:id="rId25">
        <w:r>
          <w:rPr>
            <w:rStyle w:val="Hyperlink"/>
          </w:rPr>
          <w:t xml:space="preserve">[15]</w:t>
        </w:r>
      </w:hyperlink>
      <w:r>
        <w:t xml:space="preserve"> </w:t>
      </w:r>
      <w:hyperlink r:id="rId25">
        <w:r>
          <w:rPr>
            <w:rStyle w:val="Hyperlink"/>
          </w:rPr>
          <w:t xml:space="preserve">[28]</w:t>
        </w:r>
      </w:hyperlink>
      <w:r>
        <w:t xml:space="preserve"> </w:t>
      </w:r>
      <w:hyperlink r:id="rId25">
        <w:r>
          <w:rPr>
            <w:rStyle w:val="Hyperlink"/>
          </w:rPr>
          <w:t xml:space="preserve">[32]</w:t>
        </w:r>
      </w:hyperlink>
      <w:r>
        <w:t xml:space="preserve"> </w:t>
      </w:r>
      <w:r>
        <w:t xml:space="preserve">https://aiatsis.gov.au/sites/default/files/2020-10/aiatsis-code-ethics.pdf</w:t>
      </w:r>
    </w:p>
    <w:p>
      <w:pPr>
        <w:pStyle w:val="BodyText"/>
      </w:pPr>
      <w:hyperlink r:id="rId25">
        <w:r>
          <w:rPr>
            <w:rStyle w:val="Hyperlink"/>
          </w:rPr>
          <w:t xml:space="preserve">https://aiatsis.gov.au/sites/default/files/2020-10/aiatsis-code-ethics.pdf</w:t>
        </w:r>
      </w:hyperlink>
    </w:p>
    <w:p>
      <w:pPr>
        <w:pStyle w:val="BodyText"/>
      </w:pPr>
      <w:hyperlink r:id="rId26">
        <w:r>
          <w:rPr>
            <w:rStyle w:val="Hyperlink"/>
          </w:rPr>
          <w:t xml:space="preserve">[7]</w:t>
        </w:r>
      </w:hyperlink>
      <w:r>
        <w:t xml:space="preserve"> </w:t>
      </w:r>
      <w:hyperlink r:id="rId26">
        <w:r>
          <w:rPr>
            <w:rStyle w:val="Hyperlink"/>
          </w:rPr>
          <w:t xml:space="preserve">[33]</w:t>
        </w:r>
      </w:hyperlink>
      <w:r>
        <w:t xml:space="preserve"> </w:t>
      </w:r>
      <w:r>
        <w:t xml:space="preserve">https://aiatsis.gov.au/sites/default/files/2023-12/aiatsis-webpage-15-december-2023-access-and-use-policy.pdf</w:t>
      </w:r>
    </w:p>
    <w:p>
      <w:pPr>
        <w:pStyle w:val="BodyText"/>
      </w:pPr>
      <w:hyperlink r:id="rId26">
        <w:r>
          <w:rPr>
            <w:rStyle w:val="Hyperlink"/>
          </w:rPr>
          <w:t xml:space="preserve">https://aiatsis.gov.au/sites/default/files/2023-12/aiatsis-webpage-15-december-2023-access-and-use-policy.pdf</w:t>
        </w:r>
      </w:hyperlink>
    </w:p>
    <w:p>
      <w:pPr>
        <w:pStyle w:val="BodyText"/>
      </w:pPr>
      <w:hyperlink r:id="rId28">
        <w:r>
          <w:rPr>
            <w:rStyle w:val="Hyperlink"/>
          </w:rPr>
          <w:t xml:space="preserve">[8]</w:t>
        </w:r>
      </w:hyperlink>
      <w:r>
        <w:t xml:space="preserve"> </w:t>
      </w:r>
      <w:hyperlink r:id="rId28">
        <w:r>
          <w:rPr>
            <w:rStyle w:val="Hyperlink"/>
          </w:rPr>
          <w:t xml:space="preserve">[9]</w:t>
        </w:r>
      </w:hyperlink>
      <w:r>
        <w:t xml:space="preserve"> </w:t>
      </w:r>
      <w:hyperlink r:id="rId28">
        <w:r>
          <w:rPr>
            <w:rStyle w:val="Hyperlink"/>
          </w:rPr>
          <w:t xml:space="preserve">[12]</w:t>
        </w:r>
      </w:hyperlink>
      <w:r>
        <w:t xml:space="preserve"> </w:t>
      </w:r>
      <w:hyperlink r:id="rId28">
        <w:r>
          <w:rPr>
            <w:rStyle w:val="Hyperlink"/>
          </w:rPr>
          <w:t xml:space="preserve">[16]</w:t>
        </w:r>
      </w:hyperlink>
      <w:r>
        <w:t xml:space="preserve"> </w:t>
      </w:r>
      <w:hyperlink r:id="rId28">
        <w:r>
          <w:rPr>
            <w:rStyle w:val="Hyperlink"/>
          </w:rPr>
          <w:t xml:space="preserve">[21]</w:t>
        </w:r>
      </w:hyperlink>
      <w:r>
        <w:t xml:space="preserve"> </w:t>
      </w:r>
      <w:hyperlink r:id="rId28">
        <w:r>
          <w:rPr>
            <w:rStyle w:val="Hyperlink"/>
          </w:rPr>
          <w:t xml:space="preserve">[27]</w:t>
        </w:r>
      </w:hyperlink>
      <w:r>
        <w:t xml:space="preserve"> </w:t>
      </w:r>
      <w:r>
        <w:t xml:space="preserve">https://trove.nla.gov.au/newspaper/article/70605854</w:t>
      </w:r>
    </w:p>
    <w:p>
      <w:pPr>
        <w:pStyle w:val="BodyText"/>
      </w:pPr>
      <w:hyperlink r:id="rId28">
        <w:r>
          <w:rPr>
            <w:rStyle w:val="Hyperlink"/>
          </w:rPr>
          <w:t xml:space="preserve">https://trove.nla.gov.au/newspaper/article/70605854</w:t>
        </w:r>
      </w:hyperlink>
    </w:p>
    <w:p>
      <w:pPr>
        <w:pStyle w:val="BodyText"/>
      </w:pPr>
      <w:hyperlink r:id="rId29">
        <w:r>
          <w:rPr>
            <w:rStyle w:val="Hyperlink"/>
          </w:rPr>
          <w:t xml:space="preserve">[11]</w:t>
        </w:r>
      </w:hyperlink>
      <w:r>
        <w:t xml:space="preserve"> </w:t>
      </w:r>
      <w:r>
        <w:t xml:space="preserve">https://trove.nla.gov.au/newspaper/article/135821330</w:t>
      </w:r>
    </w:p>
    <w:p>
      <w:pPr>
        <w:pStyle w:val="BodyText"/>
      </w:pPr>
      <w:hyperlink r:id="rId29">
        <w:r>
          <w:rPr>
            <w:rStyle w:val="Hyperlink"/>
          </w:rPr>
          <w:t xml:space="preserve">https://trove.nla.gov.au/newspaper/article/135821330</w:t>
        </w:r>
      </w:hyperlink>
    </w:p>
    <w:p>
      <w:pPr>
        <w:pStyle w:val="BodyText"/>
      </w:pPr>
      <w:hyperlink r:id="rId30">
        <w:r>
          <w:rPr>
            <w:rStyle w:val="Hyperlink"/>
          </w:rPr>
          <w:t xml:space="preserve">[13]</w:t>
        </w:r>
      </w:hyperlink>
      <w:r>
        <w:t xml:space="preserve"> </w:t>
      </w:r>
      <w:hyperlink r:id="rId30">
        <w:r>
          <w:rPr>
            <w:rStyle w:val="Hyperlink"/>
          </w:rPr>
          <w:t xml:space="preserve">[34]</w:t>
        </w:r>
      </w:hyperlink>
      <w:r>
        <w:t xml:space="preserve"> </w:t>
      </w:r>
      <w:r>
        <w:t xml:space="preserve">https://aiatsis.gov.au/collection/search-collection</w:t>
      </w:r>
    </w:p>
    <w:p>
      <w:pPr>
        <w:pStyle w:val="BodyText"/>
      </w:pPr>
      <w:hyperlink r:id="rId30">
        <w:r>
          <w:rPr>
            <w:rStyle w:val="Hyperlink"/>
          </w:rPr>
          <w:t xml:space="preserve">https://aiatsis.gov.au/collection/search-collection</w:t>
        </w:r>
      </w:hyperlink>
    </w:p>
    <w:p>
      <w:pPr>
        <w:pStyle w:val="BodyText"/>
      </w:pPr>
      <w:hyperlink r:id="rId31">
        <w:r>
          <w:rPr>
            <w:rStyle w:val="Hyperlink"/>
          </w:rPr>
          <w:t xml:space="preserve">[14]</w:t>
        </w:r>
      </w:hyperlink>
      <w:r>
        <w:t xml:space="preserve"> </w:t>
      </w:r>
      <w:hyperlink r:id="rId31">
        <w:r>
          <w:rPr>
            <w:rStyle w:val="Hyperlink"/>
          </w:rPr>
          <w:t xml:space="preserve">[22]</w:t>
        </w:r>
      </w:hyperlink>
      <w:r>
        <w:t xml:space="preserve"> </w:t>
      </w:r>
      <w:r>
        <w:t xml:space="preserve">https://trove.nla.gov.au/help/your-trove-tools/text-correction</w:t>
      </w:r>
    </w:p>
    <w:p>
      <w:pPr>
        <w:pStyle w:val="BodyText"/>
      </w:pPr>
      <w:hyperlink r:id="rId31">
        <w:r>
          <w:rPr>
            <w:rStyle w:val="Hyperlink"/>
          </w:rPr>
          <w:t xml:space="preserve">https://trove.nla.gov.au/help/your-trove-tools/text-correction</w:t>
        </w:r>
      </w:hyperlink>
    </w:p>
    <w:p>
      <w:pPr>
        <w:pStyle w:val="BodyText"/>
      </w:pPr>
      <w:hyperlink r:id="rId33">
        <w:r>
          <w:rPr>
            <w:rStyle w:val="Hyperlink"/>
          </w:rPr>
          <w:t xml:space="preserve">[17]</w:t>
        </w:r>
      </w:hyperlink>
      <w:r>
        <w:t xml:space="preserve"> </w:t>
      </w:r>
      <w:r>
        <w:t xml:space="preserve">raw.githubusercontent.com</w:t>
      </w:r>
    </w:p>
    <w:p>
      <w:pPr>
        <w:pStyle w:val="BodyText"/>
      </w:pPr>
      <w:hyperlink r:id="rId33">
        <w:r>
          <w:rPr>
            <w:rStyle w:val="Hyperlink"/>
          </w:rPr>
          <w:t xml:space="preserve">https://raw.githubusercontent.com/dpan538/australian-humanoid-supernatural-texts/main/config/noise_rules.yml</w:t>
        </w:r>
      </w:hyperlink>
    </w:p>
    <w:p>
      <w:pPr>
        <w:pStyle w:val="BodyText"/>
      </w:pPr>
      <w:hyperlink r:id="rId35">
        <w:r>
          <w:rPr>
            <w:rStyle w:val="Hyperlink"/>
          </w:rPr>
          <w:t xml:space="preserve">[23]</w:t>
        </w:r>
      </w:hyperlink>
      <w:r>
        <w:t xml:space="preserve"> </w:t>
      </w:r>
      <w:hyperlink r:id="rId35">
        <w:r>
          <w:rPr>
            <w:rStyle w:val="Hyperlink"/>
          </w:rPr>
          <w:t xml:space="preserve">[41]</w:t>
        </w:r>
      </w:hyperlink>
      <w:r>
        <w:t xml:space="preserve"> </w:t>
      </w:r>
      <w:r>
        <w:t xml:space="preserve">https://www.yowiehunters.com.au/about-us</w:t>
      </w:r>
    </w:p>
    <w:p>
      <w:pPr>
        <w:pStyle w:val="BodyText"/>
      </w:pPr>
      <w:hyperlink r:id="rId35">
        <w:r>
          <w:rPr>
            <w:rStyle w:val="Hyperlink"/>
          </w:rPr>
          <w:t xml:space="preserve">https://www.yowiehunters.com.au/about-us</w:t>
        </w:r>
      </w:hyperlink>
    </w:p>
    <w:p>
      <w:pPr>
        <w:pStyle w:val="BodyText"/>
      </w:pPr>
      <w:hyperlink r:id="rId38">
        <w:r>
          <w:rPr>
            <w:rStyle w:val="Hyperlink"/>
          </w:rPr>
          <w:t xml:space="preserve">[31]</w:t>
        </w:r>
      </w:hyperlink>
      <w:r>
        <w:t xml:space="preserve"> </w:t>
      </w:r>
      <w:r>
        <w:t xml:space="preserve">raw.githubusercontent.com</w:t>
      </w:r>
    </w:p>
    <w:p>
      <w:pPr>
        <w:pStyle w:val="BodyText"/>
      </w:pPr>
      <w:hyperlink r:id="rId38">
        <w:r>
          <w:rPr>
            <w:rStyle w:val="Hyperlink"/>
          </w:rPr>
          <w:t xml:space="preserve">https://raw.githubusercontent.com/dpan538/australian-humanoid-supernatural-texts/main/config/sources.yml</w:t>
        </w:r>
      </w:hyperlink>
    </w:p>
    <w:p>
      <w:pPr>
        <w:pStyle w:val="BodyText"/>
      </w:pPr>
      <w:hyperlink r:id="rId39">
        <w:r>
          <w:rPr>
            <w:rStyle w:val="Hyperlink"/>
          </w:rPr>
          <w:t xml:space="preserve">[35]</w:t>
        </w:r>
      </w:hyperlink>
      <w:r>
        <w:t xml:space="preserve"> </w:t>
      </w:r>
      <w:r>
        <w:t xml:space="preserve">https://www.nsla.org.au/resources/cslp-collections/protocol5/</w:t>
      </w:r>
    </w:p>
    <w:p>
      <w:pPr>
        <w:pStyle w:val="BodyText"/>
      </w:pPr>
      <w:hyperlink r:id="rId39">
        <w:r>
          <w:rPr>
            <w:rStyle w:val="Hyperlink"/>
          </w:rPr>
          <w:t xml:space="preserve">https://www.nsla.org.au/resources/cslp-collections/protocol5/</w:t>
        </w:r>
      </w:hyperlink>
    </w:p>
    <w:p>
      <w:pPr>
        <w:pStyle w:val="BodyText"/>
      </w:pPr>
      <w:hyperlink r:id="rId40">
        <w:r>
          <w:rPr>
            <w:rStyle w:val="Hyperlink"/>
          </w:rPr>
          <w:t xml:space="preserve">[36]</w:t>
        </w:r>
      </w:hyperlink>
      <w:r>
        <w:t xml:space="preserve"> </w:t>
      </w:r>
      <w:r>
        <w:t xml:space="preserve">https://www.nma.gov.au/about/corporate/policies/aboriginal-torres-strait-islander-secret-sacred-private-material</w:t>
      </w:r>
    </w:p>
    <w:p>
      <w:pPr>
        <w:pStyle w:val="BodyText"/>
      </w:pPr>
      <w:hyperlink r:id="rId40">
        <w:r>
          <w:rPr>
            <w:rStyle w:val="Hyperlink"/>
          </w:rPr>
          <w:t xml:space="preserve">https://www.nma.gov.au/about/corporate/policies/aboriginal-torres-strait-islander-secret-sacred-private-material</w:t>
        </w:r>
      </w:hyperlink>
    </w:p>
    <w:p>
      <w:pPr>
        <w:pStyle w:val="BodyText"/>
      </w:pPr>
      <w:hyperlink r:id="rId41">
        <w:r>
          <w:rPr>
            <w:rStyle w:val="Hyperlink"/>
          </w:rPr>
          <w:t xml:space="preserve">[37]</w:t>
        </w:r>
      </w:hyperlink>
      <w:r>
        <w:t xml:space="preserve"> </w:t>
      </w:r>
      <w:r>
        <w:t xml:space="preserve">https://www.library.gov.au/services/copyright-library-collections</w:t>
      </w:r>
    </w:p>
    <w:p>
      <w:pPr>
        <w:pStyle w:val="BodyText"/>
      </w:pPr>
      <w:hyperlink r:id="rId41">
        <w:r>
          <w:rPr>
            <w:rStyle w:val="Hyperlink"/>
          </w:rPr>
          <w:t xml:space="preserve">https://www.library.gov.au/services/copyright-library-collections</w:t>
        </w:r>
      </w:hyperlink>
    </w:p>
    <w:p>
      <w:pPr>
        <w:pStyle w:val="BodyText"/>
      </w:pPr>
      <w:hyperlink r:id="rId42">
        <w:r>
          <w:rPr>
            <w:rStyle w:val="Hyperlink"/>
          </w:rPr>
          <w:t xml:space="preserve">[38]</w:t>
        </w:r>
      </w:hyperlink>
      <w:r>
        <w:t xml:space="preserve"> </w:t>
      </w:r>
      <w:r>
        <w:t xml:space="preserve">https://www.ica.org/standards/RiC/ontology</w:t>
      </w:r>
    </w:p>
    <w:p>
      <w:pPr>
        <w:pStyle w:val="BodyText"/>
      </w:pPr>
      <w:hyperlink r:id="rId42">
        <w:r>
          <w:rPr>
            <w:rStyle w:val="Hyperlink"/>
          </w:rPr>
          <w:t xml:space="preserve">https://www.ica.org/standards/RiC/ontology</w:t>
        </w:r>
      </w:hyperlink>
    </w:p>
    <w:p>
      <w:pPr>
        <w:pStyle w:val="BodyText"/>
      </w:pPr>
      <w:hyperlink r:id="rId43">
        <w:r>
          <w:rPr>
            <w:rStyle w:val="Hyperlink"/>
          </w:rPr>
          <w:t xml:space="preserve">[40]</w:t>
        </w:r>
      </w:hyperlink>
      <w:r>
        <w:t xml:space="preserve"> </w:t>
      </w:r>
      <w:r>
        <w:t xml:space="preserve">https://trove.nla.gov.au/newspaper/title/52</w:t>
      </w:r>
    </w:p>
    <w:p>
      <w:pPr>
        <w:pStyle w:val="BodyText"/>
      </w:pPr>
      <w:hyperlink r:id="rId43">
        <w:r>
          <w:rPr>
            <w:rStyle w:val="Hyperlink"/>
          </w:rPr>
          <w:t xml:space="preserve">https://trove.nla.gov.au/newspaper/title/52</w:t>
        </w:r>
      </w:hyperlink>
    </w:p>
    <w:p>
      <w:pPr>
        <w:pStyle w:val="BodyText"/>
      </w:pPr>
      <w:hyperlink r:id="rId44">
        <w:r>
          <w:rPr>
            <w:rStyle w:val="Hyperlink"/>
          </w:rPr>
          <w:t xml:space="preserve">[42]</w:t>
        </w:r>
      </w:hyperlink>
      <w:r>
        <w:t xml:space="preserve"> </w:t>
      </w:r>
      <w:r>
        <w:t xml:space="preserve">https://www.yowiehunters.com.au/historical-articles</w:t>
      </w:r>
    </w:p>
    <w:p>
      <w:pPr>
        <w:pStyle w:val="BodyText"/>
      </w:pPr>
      <w:hyperlink r:id="rId44">
        <w:r>
          <w:rPr>
            <w:rStyle w:val="Hyperlink"/>
          </w:rPr>
          <w:t xml:space="preserve">https://www.yowiehunters.com.au/historical-articles</w:t>
        </w:r>
      </w:hyperlink>
    </w:p>
    <w:p>
      <w:pPr>
        <w:pStyle w:val="BodyText"/>
      </w:pPr>
      <w:hyperlink r:id="rId45">
        <w:r>
          <w:rPr>
            <w:rStyle w:val="Hyperlink"/>
          </w:rPr>
          <w:t xml:space="preserve">[43]</w:t>
        </w:r>
      </w:hyperlink>
      <w:r>
        <w:t xml:space="preserve"> </w:t>
      </w:r>
      <w:r>
        <w:t xml:space="preserve">https://aiatsis.gov.au/collections/item/a414283</w:t>
      </w:r>
    </w:p>
    <w:p>
      <w:pPr>
        <w:pStyle w:val="BodyText"/>
      </w:pPr>
      <w:hyperlink r:id="rId45">
        <w:r>
          <w:rPr>
            <w:rStyle w:val="Hyperlink"/>
          </w:rPr>
          <w:t xml:space="preserve">https://aiatsis.gov.au/collections/item/a414283</w:t>
        </w:r>
      </w:hyperlink>
    </w:p>
    <w:p>
      <w:pPr>
        <w:pStyle w:val="BodyText"/>
      </w:pPr>
      <w:hyperlink r:id="rId46">
        <w:r>
          <w:rPr>
            <w:rStyle w:val="Hyperlink"/>
          </w:rPr>
          <w:t xml:space="preserve">[44]</w:t>
        </w:r>
      </w:hyperlink>
      <w:r>
        <w:t xml:space="preserve"> </w:t>
      </w:r>
      <w:r>
        <w:t xml:space="preserve">https://aiatsis.gov.au/sites/default/files/catalogue_resources/mountford.c1.cs.htm</w:t>
      </w:r>
    </w:p>
    <w:p>
      <w:pPr>
        <w:pStyle w:val="BodyText"/>
      </w:pPr>
      <w:hyperlink r:id="rId46">
        <w:r>
          <w:rPr>
            <w:rStyle w:val="Hyperlink"/>
          </w:rPr>
          <w:t xml:space="preserve">https://aiatsis.gov.au/sites/default/files/catalogue_resources/mountford.c1.cs.htm</w:t>
        </w:r>
      </w:hyperlink>
    </w:p>
    <w:p>
      <w:pPr>
        <w:pStyle w:val="BodyText"/>
      </w:pPr>
      <w:hyperlink r:id="rId47">
        <w:r>
          <w:rPr>
            <w:rStyle w:val="Hyperlink"/>
          </w:rPr>
          <w:t xml:space="preserve">[45]</w:t>
        </w:r>
      </w:hyperlink>
      <w:r>
        <w:t xml:space="preserve"> </w:t>
      </w:r>
      <w:r>
        <w:t xml:space="preserve">https://exploreparks.dbca.wa.gov.au/park/bandilngan-windjana-gorge-national-park</w:t>
      </w:r>
    </w:p>
    <w:p>
      <w:pPr>
        <w:pStyle w:val="BodyText"/>
      </w:pPr>
      <w:hyperlink r:id="rId47">
        <w:r>
          <w:rPr>
            <w:rStyle w:val="Hyperlink"/>
          </w:rPr>
          <w:t xml:space="preserve">https://exploreparks.dbca.wa.gov.au/park/bandilngan-windjana-gorge-national-park</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aiatsis.gov.au/collection/search-collection" TargetMode="External" /><Relationship Type="http://schemas.openxmlformats.org/officeDocument/2006/relationships/hyperlink" Id="rId45" Target="https://aiatsis.gov.au/collections/item/a414283" TargetMode="External" /><Relationship Type="http://schemas.openxmlformats.org/officeDocument/2006/relationships/hyperlink" Id="rId25" Target="https://aiatsis.gov.au/sites/default/files/2020-10/aiatsis-code-ethics.pdf" TargetMode="External" /><Relationship Type="http://schemas.openxmlformats.org/officeDocument/2006/relationships/hyperlink" Id="rId26" Target="https://aiatsis.gov.au/sites/default/files/2023-12/aiatsis-webpage-15-december-2023-access-and-use-policy.pdf" TargetMode="External" /><Relationship Type="http://schemas.openxmlformats.org/officeDocument/2006/relationships/hyperlink" Id="rId46" Target="https://aiatsis.gov.au/sites/default/files/catalogue_resources/mountford.c1.cs.htm" TargetMode="External" /><Relationship Type="http://schemas.openxmlformats.org/officeDocument/2006/relationships/hyperlink" Id="rId47" Target="https://exploreparks.dbca.wa.gov.au/park/bandilngan-windjana-gorge-national-park" TargetMode="External" /><Relationship Type="http://schemas.openxmlformats.org/officeDocument/2006/relationships/hyperlink" Id="rId33" Target="https://raw.githubusercontent.com/dpan538/australian-humanoid-supernatural-texts/main/config/noise_rules.yml" TargetMode="External" /><Relationship Type="http://schemas.openxmlformats.org/officeDocument/2006/relationships/hyperlink" Id="rId38" Target="https://raw.githubusercontent.com/dpan538/australian-humanoid-supernatural-texts/main/config/sources.yml" TargetMode="External" /><Relationship Type="http://schemas.openxmlformats.org/officeDocument/2006/relationships/hyperlink" Id="rId23" Target="https://raw.githubusercontent.com/dpan538/australian-humanoid-supernatural-texts/main/data/exports/records_review.csv" TargetMode="External" /><Relationship Type="http://schemas.openxmlformats.org/officeDocument/2006/relationships/hyperlink" Id="rId21" Target="https://raw.githubusercontent.com/dpan538/australian-humanoid-supernatural-texts/main/public/data/frontend-data.json" TargetMode="External" /><Relationship Type="http://schemas.openxmlformats.org/officeDocument/2006/relationships/hyperlink" Id="rId31" Target="https://trove.nla.gov.au/help/your-trove-tools/text-correction" TargetMode="External" /><Relationship Type="http://schemas.openxmlformats.org/officeDocument/2006/relationships/hyperlink" Id="rId29" Target="https://trove.nla.gov.au/newspaper/article/135821330" TargetMode="External" /><Relationship Type="http://schemas.openxmlformats.org/officeDocument/2006/relationships/hyperlink" Id="rId28" Target="https://trove.nla.gov.au/newspaper/article/70605854" TargetMode="External" /><Relationship Type="http://schemas.openxmlformats.org/officeDocument/2006/relationships/hyperlink" Id="rId43" Target="https://trove.nla.gov.au/newspaper/title/52" TargetMode="External" /><Relationship Type="http://schemas.openxmlformats.org/officeDocument/2006/relationships/hyperlink" Id="rId24" Target="https://www.getty.edu/publications/intrometadata/setting-the-stage/" TargetMode="External" /><Relationship Type="http://schemas.openxmlformats.org/officeDocument/2006/relationships/hyperlink" Id="rId42" Target="https://www.ica.org/standards/RiC/ontology" TargetMode="External" /><Relationship Type="http://schemas.openxmlformats.org/officeDocument/2006/relationships/hyperlink" Id="rId41" Target="https://www.library.gov.au/services/copyright-library-collections" TargetMode="External" /><Relationship Type="http://schemas.openxmlformats.org/officeDocument/2006/relationships/hyperlink" Id="rId40" Target="https://www.nma.gov.au/about/corporate/policies/aboriginal-torres-strait-islander-secret-sacred-private-material" TargetMode="External" /><Relationship Type="http://schemas.openxmlformats.org/officeDocument/2006/relationships/hyperlink" Id="rId39" Target="https://www.nsla.org.au/resources/cslp-collections/protocol5/" TargetMode="External" /><Relationship Type="http://schemas.openxmlformats.org/officeDocument/2006/relationships/hyperlink" Id="rId22" Target="https://www.yowiehunters.com.au/" TargetMode="External" /><Relationship Type="http://schemas.openxmlformats.org/officeDocument/2006/relationships/hyperlink" Id="rId35" Target="https://www.yowiehunters.com.au/about-us" TargetMode="External" /><Relationship Type="http://schemas.openxmlformats.org/officeDocument/2006/relationships/hyperlink" Id="rId44" Target="https://www.yowiehunters.com.au/historical-articles" TargetMode="External" /></Relationships>
</file>

<file path=word/_rels/footnotes.xml.rels><?xml version="1.0" encoding="UTF-8"?><Relationships xmlns="http://schemas.openxmlformats.org/package/2006/relationships"><Relationship Type="http://schemas.openxmlformats.org/officeDocument/2006/relationships/hyperlink" Id="rId30" Target="https://aiatsis.gov.au/collection/search-collection" TargetMode="External" /><Relationship Type="http://schemas.openxmlformats.org/officeDocument/2006/relationships/hyperlink" Id="rId45" Target="https://aiatsis.gov.au/collections/item/a414283" TargetMode="External" /><Relationship Type="http://schemas.openxmlformats.org/officeDocument/2006/relationships/hyperlink" Id="rId25" Target="https://aiatsis.gov.au/sites/default/files/2020-10/aiatsis-code-ethics.pdf" TargetMode="External" /><Relationship Type="http://schemas.openxmlformats.org/officeDocument/2006/relationships/hyperlink" Id="rId26" Target="https://aiatsis.gov.au/sites/default/files/2023-12/aiatsis-webpage-15-december-2023-access-and-use-policy.pdf" TargetMode="External" /><Relationship Type="http://schemas.openxmlformats.org/officeDocument/2006/relationships/hyperlink" Id="rId46" Target="https://aiatsis.gov.au/sites/default/files/catalogue_resources/mountford.c1.cs.htm" TargetMode="External" /><Relationship Type="http://schemas.openxmlformats.org/officeDocument/2006/relationships/hyperlink" Id="rId47" Target="https://exploreparks.dbca.wa.gov.au/park/bandilngan-windjana-gorge-national-park" TargetMode="External" /><Relationship Type="http://schemas.openxmlformats.org/officeDocument/2006/relationships/hyperlink" Id="rId33" Target="https://raw.githubusercontent.com/dpan538/australian-humanoid-supernatural-texts/main/config/noise_rules.yml" TargetMode="External" /><Relationship Type="http://schemas.openxmlformats.org/officeDocument/2006/relationships/hyperlink" Id="rId38" Target="https://raw.githubusercontent.com/dpan538/australian-humanoid-supernatural-texts/main/config/sources.yml" TargetMode="External" /><Relationship Type="http://schemas.openxmlformats.org/officeDocument/2006/relationships/hyperlink" Id="rId23" Target="https://raw.githubusercontent.com/dpan538/australian-humanoid-supernatural-texts/main/data/exports/records_review.csv" TargetMode="External" /><Relationship Type="http://schemas.openxmlformats.org/officeDocument/2006/relationships/hyperlink" Id="rId21" Target="https://raw.githubusercontent.com/dpan538/australian-humanoid-supernatural-texts/main/public/data/frontend-data.json" TargetMode="External" /><Relationship Type="http://schemas.openxmlformats.org/officeDocument/2006/relationships/hyperlink" Id="rId31" Target="https://trove.nla.gov.au/help/your-trove-tools/text-correction" TargetMode="External" /><Relationship Type="http://schemas.openxmlformats.org/officeDocument/2006/relationships/hyperlink" Id="rId29" Target="https://trove.nla.gov.au/newspaper/article/135821330" TargetMode="External" /><Relationship Type="http://schemas.openxmlformats.org/officeDocument/2006/relationships/hyperlink" Id="rId28" Target="https://trove.nla.gov.au/newspaper/article/70605854" TargetMode="External" /><Relationship Type="http://schemas.openxmlformats.org/officeDocument/2006/relationships/hyperlink" Id="rId43" Target="https://trove.nla.gov.au/newspaper/title/52" TargetMode="External" /><Relationship Type="http://schemas.openxmlformats.org/officeDocument/2006/relationships/hyperlink" Id="rId24" Target="https://www.getty.edu/publications/intrometadata/setting-the-stage/" TargetMode="External" /><Relationship Type="http://schemas.openxmlformats.org/officeDocument/2006/relationships/hyperlink" Id="rId42" Target="https://www.ica.org/standards/RiC/ontology" TargetMode="External" /><Relationship Type="http://schemas.openxmlformats.org/officeDocument/2006/relationships/hyperlink" Id="rId41" Target="https://www.library.gov.au/services/copyright-library-collections" TargetMode="External" /><Relationship Type="http://schemas.openxmlformats.org/officeDocument/2006/relationships/hyperlink" Id="rId40" Target="https://www.nma.gov.au/about/corporate/policies/aboriginal-torres-strait-islander-secret-sacred-private-material" TargetMode="External" /><Relationship Type="http://schemas.openxmlformats.org/officeDocument/2006/relationships/hyperlink" Id="rId39" Target="https://www.nsla.org.au/resources/cslp-collections/protocol5/" TargetMode="External" /><Relationship Type="http://schemas.openxmlformats.org/officeDocument/2006/relationships/hyperlink" Id="rId22" Target="https://www.yowiehunters.com.au/" TargetMode="External" /><Relationship Type="http://schemas.openxmlformats.org/officeDocument/2006/relationships/hyperlink" Id="rId35" Target="https://www.yowiehunters.com.au/about-us" TargetMode="External" /><Relationship Type="http://schemas.openxmlformats.org/officeDocument/2006/relationships/hyperlink" Id="rId44" Target="https://www.yowiehunters.com.au/historical-artic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2026-06-19T17:02:39Z</dcterms:created>
  <dcterms:modified xsi:type="dcterms:W3CDTF">2026-06-19T17:02:39Z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