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6bef0542b66816d912fdc1da6915019dd71b3be"/>
    <w:p>
      <w:pPr>
        <w:pStyle w:val="Heading1"/>
      </w:pPr>
      <w:r>
        <w:t xml:space="preserve">Australian Public Text Archive of Supernatural Humanoid Narratives and Encounters</w:t>
      </w:r>
    </w:p>
    <w:bookmarkStart w:id="23" w:name="executive-verdict"/>
    <w:p>
      <w:pPr>
        <w:pStyle w:val="Heading2"/>
      </w:pPr>
      <w:r>
        <w:t xml:space="preserve">Executive verdict</w:t>
      </w:r>
    </w:p>
    <w:p>
      <w:pPr>
        <w:pStyle w:val="FirstParagraph"/>
      </w:pPr>
      <w:r>
        <w:t xml:space="preserve">The encounter-only recommendation is too narrow for the project the brief now defines. The intended repository is not just a witness-event database; it is a</w:t>
      </w:r>
      <w:r>
        <w:t xml:space="preserve"> </w:t>
      </w:r>
      <w:r>
        <w:rPr>
          <w:b/>
          <w:bCs/>
        </w:rPr>
        <w:t xml:space="preserve">typed, provenance-aware archive of public narrative records and their circulation</w:t>
      </w:r>
      <w:r>
        <w:t xml:space="preserve">. That means</w:t>
      </w:r>
      <w:r>
        <w:t xml:space="preserve"> </w:t>
      </w:r>
      <w:r>
        <w:rPr>
          <w:b/>
          <w:bCs/>
        </w:rPr>
        <w:t xml:space="preserve">stories, rumours, ghost narratives, local legends, traditional narratives, spirit-person narratives, and materially altered retellings can all be first-class V1 records</w:t>
      </w:r>
      <w:r>
        <w:t xml:space="preserve">, provided they are clearly typed, source-traceable, publicly accessible, and ethically reviewed rather than flattened into one encounter schema. The brief supplied for this reassessment explicitly frames the goal that way and also reports a current repository dominated by AYR and Yowie-labelled records. fileciteturn0file0</w:t>
      </w:r>
    </w:p>
    <w:p>
      <w:pPr>
        <w:pStyle w:val="BodyText"/>
      </w:pPr>
      <w:r>
        <w:t xml:space="preserve">My final recommendation is therefore clear: adopt</w:t>
      </w:r>
      <w:r>
        <w:t xml:space="preserve"> </w:t>
      </w:r>
      <w:r>
        <w:rPr>
          <w:b/>
          <w:bCs/>
        </w:rPr>
        <w:t xml:space="preserve">Model B, a typed multi-corpus narrative archive</w:t>
      </w:r>
      <w:r>
        <w:t xml:space="preserve">, with</w:t>
      </w:r>
      <w:r>
        <w:t xml:space="preserve"> </w:t>
      </w:r>
      <w:r>
        <w:rPr>
          <w:rStyle w:val="VerbatimChar"/>
          <w:b/>
          <w:bCs/>
        </w:rPr>
        <w:t xml:space="preserve">narrative_unit</w:t>
      </w:r>
      <w:r>
        <w:rPr>
          <w:b/>
          <w:bCs/>
        </w:rPr>
        <w:t xml:space="preserve"> </w:t>
      </w:r>
      <w:r>
        <w:rPr>
          <w:b/>
          <w:bCs/>
        </w:rPr>
        <w:t xml:space="preserve">as the top-level research object</w:t>
      </w:r>
      <w:r>
        <w:t xml:space="preserve"> </w:t>
      </w:r>
      <w:r>
        <w:t xml:space="preserve">and</w:t>
      </w:r>
      <w:r>
        <w:t xml:space="preserve"> </w:t>
      </w:r>
      <w:r>
        <w:rPr>
          <w:rStyle w:val="VerbatimChar"/>
          <w:b/>
          <w:bCs/>
        </w:rPr>
        <w:t xml:space="preserve">encounter_event</w:t>
      </w:r>
      <w:r>
        <w:rPr>
          <w:b/>
          <w:bCs/>
        </w:rPr>
        <w:t xml:space="preserve"> </w:t>
      </w:r>
      <w:r>
        <w:rPr>
          <w:b/>
          <w:bCs/>
        </w:rPr>
        <w:t xml:space="preserve">as an optional subtype only for bounded event claims</w:t>
      </w:r>
      <w:r>
        <w:t xml:space="preserve">. Ghosts belong in scope</w:t>
      </w:r>
      <w:r>
        <w:t xml:space="preserve"> </w:t>
      </w:r>
      <w:r>
        <w:rPr>
          <w:b/>
          <w:bCs/>
        </w:rPr>
        <w:t xml:space="preserve">when the narrative involves a human-like manifested figure</w:t>
      </w:r>
      <w:r>
        <w:t xml:space="preserve"> </w:t>
      </w:r>
      <w:r>
        <w:t xml:space="preserve">and is documented in Australian public texts. Traditional and mythic materials also belong in scope</w:t>
      </w:r>
      <w:r>
        <w:t xml:space="preserve"> </w:t>
      </w:r>
      <w:r>
        <w:rPr>
          <w:b/>
          <w:bCs/>
        </w:rPr>
        <w:t xml:space="preserve">when they are public, attributable, non-restricted, and described with culturally appropriate terminology and sensitivity controls</w:t>
      </w:r>
      <w:r>
        <w:t xml:space="preserve">. AIATSIS’s code treats research “about, or [that] may affect” Aboriginal and Torres Strait Islander peoples as falling within ethical obligations across planning, collection, analysis, and dissemination, and ATSILIRN explicitly warns against inaccurate or value-laden description while requiring differentiated handling of sensitive and secret/sacred materials.</w:t>
      </w:r>
      <w:r>
        <w:t xml:space="preserve"> </w:t>
      </w:r>
      <w:hyperlink r:id="rId21">
        <w:r>
          <w:rPr>
            <w:rStyle w:val="Hyperlink"/>
          </w:rPr>
          <w:t xml:space="preserve">[1]</w:t>
        </w:r>
      </w:hyperlink>
    </w:p>
    <w:p>
      <w:pPr>
        <w:pStyle w:val="BodyText"/>
      </w:pPr>
      <w:r>
        <w:t xml:space="preserve">Because the live GitHub repository itself was not retrievable in this session, I could not honestly verify row-level counts directly from the repo interface. The numerical statements below that concern the current database should therefore be read as</w:t>
      </w:r>
      <w:r>
        <w:t xml:space="preserve"> </w:t>
      </w:r>
      <w:r>
        <w:rPr>
          <w:b/>
          <w:bCs/>
        </w:rPr>
        <w:t xml:space="preserve">reported project figures from the brief, not independently repo-verified counts</w:t>
      </w:r>
      <w:r>
        <w:t xml:space="preserve">. fileciteturn0file0</w:t>
      </w:r>
    </w:p>
    <w:bookmarkStart w:id="22" w:name="final-decision-matrix"/>
    <w:p>
      <w:pPr>
        <w:pStyle w:val="Heading3"/>
      </w:pPr>
      <w:r>
        <w:t xml:space="preserve">Final decision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 point</w:t>
            </w:r>
          </w:p>
        </w:tc>
        <w:tc>
          <w:tcPr/>
          <w:p>
            <w:pPr>
              <w:pStyle w:val="Compact"/>
            </w:pPr>
            <w:r>
              <w:t xml:space="preserve">Final decision</w:t>
            </w:r>
          </w:p>
        </w:tc>
      </w:tr>
      <w:tr>
        <w:tc>
          <w:tcPr/>
          <w:p>
            <w:pPr>
              <w:pStyle w:val="Compact"/>
            </w:pPr>
            <w:r>
              <w:t xml:space="preserve">Is an encounter-only V1 too narrow?</w:t>
            </w:r>
          </w:p>
        </w:tc>
        <w:tc>
          <w:tcPr/>
          <w:p>
            <w:pPr>
              <w:pStyle w:val="Compact"/>
            </w:pPr>
            <w:r>
              <w:rPr>
                <w:b/>
                <w:bCs/>
              </w:rPr>
              <w:t xml:space="preserve">Yes</w:t>
            </w:r>
          </w:p>
        </w:tc>
      </w:tr>
      <w:tr>
        <w:tc>
          <w:tcPr/>
          <w:p>
            <w:pPr>
              <w:pStyle w:val="Compact"/>
            </w:pPr>
            <w:r>
              <w:t xml:space="preserve">Can stories, rumours, ghost narratives, and traditional narratives be first-class V1 records?</w:t>
            </w:r>
          </w:p>
        </w:tc>
        <w:tc>
          <w:tcPr/>
          <w:p>
            <w:pPr>
              <w:pStyle w:val="Compact"/>
            </w:pPr>
            <w:r>
              <w:rPr>
                <w:b/>
                <w:bCs/>
              </w:rPr>
              <w:t xml:space="preserve">Yes, if clearly typed and ethically reviewed</w:t>
            </w:r>
          </w:p>
        </w:tc>
      </w:tr>
      <w:tr>
        <w:tc>
          <w:tcPr/>
          <w:p>
            <w:pPr>
              <w:pStyle w:val="Compact"/>
            </w:pPr>
            <w:r>
              <w:t xml:space="preserve">Recommended archive model</w:t>
            </w:r>
          </w:p>
        </w:tc>
        <w:tc>
          <w:tcPr/>
          <w:p>
            <w:pPr>
              <w:pStyle w:val="Compact"/>
            </w:pPr>
            <w:r>
              <w:rPr>
                <w:b/>
                <w:bCs/>
              </w:rPr>
              <w:t xml:space="preserve">Typed multi-corpus narrative archive</w:t>
            </w:r>
          </w:p>
        </w:tc>
      </w:tr>
      <w:tr>
        <w:tc>
          <w:tcPr/>
          <w:p>
            <w:pPr>
              <w:pStyle w:val="Compact"/>
            </w:pPr>
            <w:r>
              <w:t xml:space="preserve">Recommended top-level unit</w:t>
            </w:r>
          </w:p>
        </w:tc>
        <w:tc>
          <w:tcPr/>
          <w:p>
            <w:pPr>
              <w:pStyle w:val="Compact"/>
            </w:pPr>
            <w:r>
              <w:rPr>
                <w:rStyle w:val="VerbatimChar"/>
                <w:b/>
                <w:bCs/>
              </w:rPr>
              <w:t xml:space="preserve">narrative_unit</w:t>
            </w:r>
          </w:p>
        </w:tc>
      </w:tr>
      <w:tr>
        <w:tc>
          <w:tcPr/>
          <w:p>
            <w:pPr>
              <w:pStyle w:val="Compact"/>
            </w:pPr>
            <w:r>
              <w:t xml:space="preserve">Are ghosts in scope?</w:t>
            </w:r>
          </w:p>
        </w:tc>
        <w:tc>
          <w:tcPr/>
          <w:p>
            <w:pPr>
              <w:pStyle w:val="Compact"/>
            </w:pPr>
            <w:r>
              <w:rPr>
                <w:b/>
                <w:bCs/>
              </w:rPr>
              <w:t xml:space="preserve">Yes, but only human-like apparition narratives, not generic hauntings</w:t>
            </w:r>
          </w:p>
        </w:tc>
      </w:tr>
      <w:tr>
        <w:tc>
          <w:tcPr/>
          <w:p>
            <w:pPr>
              <w:pStyle w:val="Compact"/>
            </w:pPr>
            <w:r>
              <w:t xml:space="preserve">How do traditional narratives belong?</w:t>
            </w:r>
          </w:p>
        </w:tc>
        <w:tc>
          <w:tcPr/>
          <w:p>
            <w:pPr>
              <w:pStyle w:val="Compact"/>
            </w:pPr>
            <w:r>
              <w:rPr>
                <w:b/>
                <w:bCs/>
              </w:rPr>
              <w:t xml:space="preserve">As first-class narrative units when public, attributable, and non-restricted</w:t>
            </w:r>
          </w:p>
        </w:tc>
      </w:tr>
      <w:tr>
        <w:tc>
          <w:tcPr/>
          <w:p>
            <w:pPr>
              <w:pStyle w:val="Compact"/>
            </w:pPr>
            <w:r>
              <w:t xml:space="preserve">Should all public mentions be included?</w:t>
            </w:r>
          </w:p>
        </w:tc>
        <w:tc>
          <w:tcPr/>
          <w:p>
            <w:pPr>
              <w:pStyle w:val="Compact"/>
            </w:pPr>
            <w:r>
              <w:rPr>
                <w:b/>
                <w:bCs/>
              </w:rPr>
              <w:t xml:space="preserve">No</w:t>
            </w:r>
          </w:p>
        </w:tc>
      </w:tr>
      <w:tr>
        <w:tc>
          <w:tcPr/>
          <w:p>
            <w:pPr>
              <w:pStyle w:val="Compact"/>
            </w:pPr>
            <w:r>
              <w:t xml:space="preserve">Should entity labels be treated as species?</w:t>
            </w:r>
          </w:p>
        </w:tc>
        <w:tc>
          <w:tcPr/>
          <w:p>
            <w:pPr>
              <w:pStyle w:val="Compact"/>
            </w:pPr>
            <w:r>
              <w:rPr>
                <w:b/>
                <w:bCs/>
              </w:rPr>
              <w:t xml:space="preserve">No</w:t>
            </w:r>
          </w:p>
        </w:tc>
      </w:tr>
      <w:tr>
        <w:tc>
          <w:tcPr/>
          <w:p>
            <w:pPr>
              <w:pStyle w:val="Compact"/>
            </w:pPr>
            <w:r>
              <w:t xml:space="preserve">Should Indigenous figures be flattened into cryptid classes?</w:t>
            </w:r>
          </w:p>
        </w:tc>
        <w:tc>
          <w:tcPr/>
          <w:p>
            <w:pPr>
              <w:pStyle w:val="Compact"/>
            </w:pPr>
            <w:r>
              <w:rPr>
                <w:b/>
                <w:bCs/>
              </w:rPr>
              <w:t xml:space="preserve">No</w:t>
            </w:r>
          </w:p>
        </w:tc>
      </w:tr>
      <w:tr>
        <w:tc>
          <w:tcPr/>
          <w:p>
            <w:pPr>
              <w:pStyle w:val="Compact"/>
            </w:pPr>
            <w:r>
              <w:t xml:space="preserve">What should Codex implement next?</w:t>
            </w:r>
          </w:p>
        </w:tc>
        <w:tc>
          <w:tcPr/>
          <w:p>
            <w:pPr>
              <w:pStyle w:val="Compact"/>
            </w:pPr>
            <w:r>
              <w:rPr>
                <w:b/>
                <w:bCs/>
              </w:rPr>
              <w:t xml:space="preserve">Non-destructive transition to typed records, provenance links, label/entity separation, location-role separation, and ethics controls</w:t>
            </w:r>
          </w:p>
        </w:tc>
      </w:tr>
    </w:tbl>
    <w:p>
      <w:pPr>
        <w:pStyle w:val="BodyText"/>
      </w:pPr>
      <w:r>
        <w:t xml:space="preserve">These decisions follow from the brief itself and from the AIATSIS and ATSILIRN emphasis on Indigenous leadership, appropriate representation, consultation, descriptive caution, and differentiated access/sensitivity handling. fileciteturn0file0</w:t>
      </w:r>
      <w:r>
        <w:t xml:space="preserve"> </w:t>
      </w:r>
      <w:hyperlink r:id="rId21">
        <w:r>
          <w:rPr>
            <w:rStyle w:val="Hyperlink"/>
          </w:rPr>
          <w:t xml:space="preserve">[2]</w:t>
        </w:r>
      </w:hyperlink>
    </w:p>
    <w:bookmarkEnd w:id="22"/>
    <w:bookmarkEnd w:id="23"/>
    <w:bookmarkStart w:id="30" w:name="diagnosis-and-recommended-position"/>
    <w:p>
      <w:pPr>
        <w:pStyle w:val="Heading2"/>
      </w:pPr>
      <w:r>
        <w:t xml:space="preserve">Diagnosis and recommended position</w:t>
      </w:r>
    </w:p>
    <w:bookmarkStart w:id="24" w:name="Xb014503753ec6464dfcaabdc04ebbfd40205348"/>
    <w:p>
      <w:pPr>
        <w:pStyle w:val="Heading3"/>
      </w:pPr>
      <w:r>
        <w:t xml:space="preserve">Why the earlier encounter-only model now fails</w:t>
      </w:r>
    </w:p>
    <w:p>
      <w:pPr>
        <w:pStyle w:val="FirstParagraph"/>
      </w:pPr>
      <w:r>
        <w:t xml:space="preserve">The earlier model was useful for one specific task: normalising</w:t>
      </w:r>
      <w:r>
        <w:t xml:space="preserve"> </w:t>
      </w:r>
      <w:r>
        <w:rPr>
          <w:b/>
          <w:bCs/>
        </w:rPr>
        <w:t xml:space="preserve">bounded alleged encounter events</w:t>
      </w:r>
      <w:r>
        <w:t xml:space="preserve">. But the present brief asks a different research question: how supernatural or anomalous humanoid figures are</w:t>
      </w:r>
      <w:r>
        <w:t xml:space="preserve"> </w:t>
      </w:r>
      <w:r>
        <w:rPr>
          <w:b/>
          <w:bCs/>
        </w:rPr>
        <w:t xml:space="preserve">encountered, narrated, localised, named, transmitted, and reinterpreted in Australian public texts</w:t>
      </w:r>
      <w:r>
        <w:t xml:space="preserve">. That is a narrative-history, transmission, and provenance problem, not just an event-normalisation problem. Under that broader goal, reducing legends, rumours, ghost stories, traditional narratives, and later adaptations to mere “context” would discard exactly the materials the project now claims it is trying to preserve and analyse. fileciteturn0file0</w:t>
      </w:r>
    </w:p>
    <w:p>
      <w:pPr>
        <w:pStyle w:val="BodyText"/>
      </w:pPr>
      <w:r>
        <w:t xml:space="preserve">It also risks descriptively misrepresenting culturally specific materials. ATSILIRN states that outdated, inaccurate, or value-laden terms obstruct access and that institutions should consult Aboriginal and Torres Strait Islander peoples in description, cataloguing, and classification. AIATSIS likewise frames Indigenous self-determination and Indigenous leadership as core ethical principles for research involving Indigenous peoples or collections. An archive that forces all culturally specific spirit-person or traditional narratives into an encounter-event or cryptid-species frame would run straight against that guidance.</w:t>
      </w:r>
      <w:r>
        <w:t xml:space="preserve"> </w:t>
      </w:r>
      <w:hyperlink r:id="rId21">
        <w:r>
          <w:rPr>
            <w:rStyle w:val="Hyperlink"/>
          </w:rPr>
          <w:t xml:space="preserve">[3]</w:t>
        </w:r>
      </w:hyperlink>
    </w:p>
    <w:bookmarkEnd w:id="24"/>
    <w:bookmarkStart w:id="25" w:name="scope-model-comparison"/>
    <w:p>
      <w:pPr>
        <w:pStyle w:val="Heading3"/>
      </w:pPr>
      <w:r>
        <w:t xml:space="preserve">Scope-model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Strengths</w:t>
            </w:r>
          </w:p>
        </w:tc>
        <w:tc>
          <w:tcPr/>
          <w:p>
            <w:pPr>
              <w:pStyle w:val="Compact"/>
            </w:pPr>
            <w:r>
              <w:t xml:space="preserve">Main failure mode</w:t>
            </w:r>
          </w:p>
        </w:tc>
        <w:tc>
          <w:tcPr/>
          <w:p>
            <w:pPr>
              <w:pStyle w:val="Compact"/>
            </w:pPr>
            <w:r>
              <w:t xml:space="preserve">Suitability</w:t>
            </w:r>
          </w:p>
        </w:tc>
      </w:tr>
      <w:tr>
        <w:tc>
          <w:tcPr/>
          <w:p>
            <w:pPr>
              <w:pStyle w:val="Compact"/>
            </w:pPr>
            <w:r>
              <w:rPr>
                <w:b/>
                <w:bCs/>
              </w:rPr>
              <w:t xml:space="preserve">Encounter-only archive</w:t>
            </w:r>
          </w:p>
        </w:tc>
        <w:tc>
          <w:tcPr/>
          <w:p>
            <w:pPr>
              <w:pStyle w:val="Compact"/>
            </w:pPr>
            <w:r>
              <w:t xml:space="preserve">Clean event structure; good for witness databases</w:t>
            </w:r>
          </w:p>
        </w:tc>
        <w:tc>
          <w:tcPr/>
          <w:p>
            <w:pPr>
              <w:pStyle w:val="Compact"/>
            </w:pPr>
            <w:r>
              <w:t xml:space="preserve">Discards rumours, legends, ghost narratives, traditional narratives, and retellings as primary objects</w:t>
            </w:r>
          </w:p>
        </w:tc>
        <w:tc>
          <w:tcPr/>
          <w:p>
            <w:pPr>
              <w:pStyle w:val="Compact"/>
            </w:pPr>
            <w:r>
              <w:rPr>
                <w:b/>
                <w:bCs/>
              </w:rPr>
              <w:t xml:space="preserve">Too narrow</w:t>
            </w:r>
          </w:p>
        </w:tc>
      </w:tr>
      <w:tr>
        <w:tc>
          <w:tcPr/>
          <w:p>
            <w:pPr>
              <w:pStyle w:val="Compact"/>
            </w:pPr>
            <w:r>
              <w:rPr>
                <w:b/>
                <w:bCs/>
              </w:rPr>
              <w:t xml:space="preserve">Typed multi-corpus narrative archive</w:t>
            </w:r>
          </w:p>
        </w:tc>
        <w:tc>
          <w:tcPr/>
          <w:p>
            <w:pPr>
              <w:pStyle w:val="Compact"/>
            </w:pPr>
            <w:r>
              <w:t xml:space="preserve">Keeps heterogeneous materials while preserving type boundaries; supports provenance, ethics, and later extension</w:t>
            </w:r>
          </w:p>
        </w:tc>
        <w:tc>
          <w:tcPr/>
          <w:p>
            <w:pPr>
              <w:pStyle w:val="Compact"/>
            </w:pPr>
            <w:r>
              <w:t xml:space="preserve">Requires stronger schema design and review workflow</w:t>
            </w:r>
          </w:p>
        </w:tc>
        <w:tc>
          <w:tcPr/>
          <w:p>
            <w:pPr>
              <w:pStyle w:val="Compact"/>
            </w:pPr>
            <w:r>
              <w:rPr>
                <w:b/>
                <w:bCs/>
              </w:rPr>
              <w:t xml:space="preserve">Best fit</w:t>
            </w:r>
          </w:p>
        </w:tc>
      </w:tr>
      <w:tr>
        <w:tc>
          <w:tcPr/>
          <w:p>
            <w:pPr>
              <w:pStyle w:val="Compact"/>
            </w:pPr>
            <w:r>
              <w:rPr>
                <w:b/>
                <w:bCs/>
              </w:rPr>
              <w:t xml:space="preserve">All public representations</w:t>
            </w:r>
          </w:p>
        </w:tc>
        <w:tc>
          <w:tcPr/>
          <w:p>
            <w:pPr>
              <w:pStyle w:val="Compact"/>
            </w:pPr>
            <w:r>
              <w:t xml:space="preserve">Maximises recall</w:t>
            </w:r>
          </w:p>
        </w:tc>
        <w:tc>
          <w:tcPr/>
          <w:p>
            <w:pPr>
              <w:pStyle w:val="Compact"/>
            </w:pPr>
            <w:r>
              <w:t xml:space="preserve">Category inflation; tourism pages, artworks, and fiction overwhelm research core</w:t>
            </w:r>
          </w:p>
        </w:tc>
        <w:tc>
          <w:tcPr/>
          <w:p>
            <w:pPr>
              <w:pStyle w:val="Compact"/>
            </w:pPr>
            <w:r>
              <w:rPr>
                <w:b/>
                <w:bCs/>
              </w:rPr>
              <w:t xml:space="preserve">Too broad</w:t>
            </w:r>
          </w:p>
        </w:tc>
      </w:tr>
      <w:tr>
        <w:tc>
          <w:tcPr/>
          <w:p>
            <w:pPr>
              <w:pStyle w:val="Compact"/>
            </w:pPr>
            <w:r>
              <w:rPr>
                <w:b/>
                <w:bCs/>
              </w:rPr>
              <w:t xml:space="preserve">General paranormal or folklore encyclopedia</w:t>
            </w:r>
          </w:p>
        </w:tc>
        <w:tc>
          <w:tcPr/>
          <w:p>
            <w:pPr>
              <w:pStyle w:val="Compact"/>
            </w:pPr>
            <w:r>
              <w:t xml:space="preserve">Broad public browseability</w:t>
            </w:r>
          </w:p>
        </w:tc>
        <w:tc>
          <w:tcPr/>
          <w:p>
            <w:pPr>
              <w:pStyle w:val="Compact"/>
            </w:pPr>
            <w:r>
              <w:t xml:space="preserve">Loses conceptual coherence; humanoid focus collapses; non-humanoid anomalies swamp archive</w:t>
            </w:r>
          </w:p>
        </w:tc>
        <w:tc>
          <w:tcPr/>
          <w:p>
            <w:pPr>
              <w:pStyle w:val="Compact"/>
            </w:pPr>
            <w:r>
              <w:rPr>
                <w:b/>
                <w:bCs/>
              </w:rPr>
              <w:t xml:space="preserve">Wrong project</w:t>
            </w:r>
          </w:p>
        </w:tc>
      </w:tr>
    </w:tbl>
    <w:p>
      <w:pPr>
        <w:pStyle w:val="BodyText"/>
      </w:pPr>
      <w:r>
        <w:t xml:space="preserve">The most appropriate compromise is</w:t>
      </w:r>
      <w:r>
        <w:t xml:space="preserve"> </w:t>
      </w:r>
      <w:r>
        <w:rPr>
          <w:b/>
          <w:bCs/>
        </w:rPr>
        <w:t xml:space="preserve">Model B</w:t>
      </w:r>
      <w:r>
        <w:t xml:space="preserve">. It is broad enough to include the project’s intended first-class objects, but controlled enough to avoid becoming either a monster list or a generic paranormal encyclopedia. That balance is especially important given the brief’s stated desire for something “typed, provenance-aware, ethically constrained, research-extensible,” and the archival guidance from AIATSIS and ATSILIRN on differentiated handling, appropriate terminology, and culturally specific control. fileciteturn0file0</w:t>
      </w:r>
      <w:r>
        <w:t xml:space="preserve"> </w:t>
      </w:r>
      <w:hyperlink r:id="rId21">
        <w:r>
          <w:rPr>
            <w:rStyle w:val="Hyperlink"/>
          </w:rPr>
          <w:t xml:space="preserve">[2]</w:t>
        </w:r>
      </w:hyperlink>
    </w:p>
    <w:bookmarkEnd w:id="25"/>
    <w:bookmarkStart w:id="26" w:name="recommended-title-and-positioning"/>
    <w:p>
      <w:pPr>
        <w:pStyle w:val="Heading3"/>
      </w:pPr>
      <w:r>
        <w:t xml:space="preserve">Recommended title and positioning</w:t>
      </w:r>
    </w:p>
    <w:p>
      <w:pPr>
        <w:pStyle w:val="FirstParagraph"/>
      </w:pPr>
      <w:r>
        <w:rPr>
          <w:b/>
          <w:bCs/>
        </w:rPr>
        <w:t xml:space="preserve">Recommended project title:</w:t>
      </w:r>
      <w:r>
        <w:t xml:space="preserve"> </w:t>
      </w:r>
      <w:r>
        <w:rPr>
          <w:b/>
          <w:bCs/>
        </w:rPr>
        <w:t xml:space="preserve">Australian Public Text Archive of Supernatural Humanoid Narratives and Encounters</w:t>
      </w:r>
      <w:r>
        <w:t xml:space="preserve">. fileciteturn0file0</w:t>
      </w:r>
    </w:p>
    <w:p>
      <w:pPr>
        <w:pStyle w:val="BodyText"/>
      </w:pPr>
      <w:r>
        <w:rPr>
          <w:b/>
          <w:bCs/>
        </w:rPr>
        <w:t xml:space="preserve">One-sentence description:</w:t>
      </w:r>
      <w:r>
        <w:t xml:space="preserve"> </w:t>
      </w:r>
      <w:r>
        <w:t xml:space="preserve">A typed, provenance-aware, ethically constrained archive of public Australian texts about supernatural or anomalous humanoid encounters, apparitions, rumours, legends, traditional narratives, and their later retellings. fileciteturn0file0</w:t>
      </w:r>
    </w:p>
    <w:p>
      <w:pPr>
        <w:pStyle w:val="BodyText"/>
      </w:pPr>
      <w:r>
        <w:rPr>
          <w:b/>
          <w:bCs/>
        </w:rPr>
        <w:t xml:space="preserve">Positioning statement:</w:t>
      </w:r>
      <w:r>
        <w:br/>
      </w:r>
      <w:r>
        <w:t xml:space="preserve">This project documents how supernatural or anomalous humanoid figures have been represented in Australian public texts. It does not verify the existence of such beings. Instead, it preserves and links public records of alleged encounters, apparition narratives, local rumours, ghost legends, traditional and spirit-person narratives, later retellings, and related discourse. Records are typed rather than collapsed into a single ontology; provenance is explicit; labels used by sources are preserved separately from later analytical concepts; and materials involving Aboriginal and Torres Strait Islander peoples are handled under a stronger ethics and sensitivity regime informed by AIATSIS and ATSILIRN guidance on consultation, appropriate representation, classification, cultural and intellectual property, and differentiated access to sensitive material. fileciteturn0file0</w:t>
      </w:r>
      <w:r>
        <w:t xml:space="preserve"> </w:t>
      </w:r>
      <w:hyperlink r:id="rId21">
        <w:r>
          <w:rPr>
            <w:rStyle w:val="Hyperlink"/>
          </w:rPr>
          <w:t xml:space="preserve">[4]</w:t>
        </w:r>
      </w:hyperlink>
    </w:p>
    <w:bookmarkEnd w:id="26"/>
    <w:bookmarkStart w:id="28" w:name="scope-non-goals-and-public-disclaimers"/>
    <w:p>
      <w:pPr>
        <w:pStyle w:val="Heading3"/>
      </w:pPr>
      <w:r>
        <w:t xml:space="preserve">Scope, non-goals, and public disclaimers</w:t>
      </w:r>
    </w:p>
    <w:p>
      <w:pPr>
        <w:pStyle w:val="FirstParagraph"/>
      </w:pPr>
      <w:r>
        <w:rPr>
          <w:b/>
          <w:bCs/>
        </w:rPr>
        <w:t xml:space="preserve">Scope statement:</w:t>
      </w:r>
      <w:r>
        <w:br/>
      </w:r>
      <w:r>
        <w:t xml:space="preserve">Include public, attributable Australian texts or public metadata about supernatural humanoid narratives where there is enough content to justify inclusion as a narrative unit, source item, or structured lead. That includes bounded encounter accounts, apparition accounts, ghost legends, rumours, local legends, traditional narratives, spirit-person narratives, giant/ogre narratives, descriptive belief records, and materially distinct retellings or adaptations. fileciteturn0file0</w:t>
      </w:r>
    </w:p>
    <w:p>
      <w:pPr>
        <w:pStyle w:val="BodyText"/>
      </w:pPr>
      <w:r>
        <w:rPr>
          <w:b/>
          <w:bCs/>
        </w:rPr>
        <w:t xml:space="preserve">Non-goals statement:</w:t>
      </w:r>
      <w:r>
        <w:br/>
      </w:r>
      <w:r>
        <w:t xml:space="preserve">Do</w:t>
      </w:r>
      <w:r>
        <w:t xml:space="preserve"> </w:t>
      </w:r>
      <w:r>
        <w:rPr>
          <w:b/>
          <w:bCs/>
        </w:rPr>
        <w:t xml:space="preserve">not</w:t>
      </w:r>
      <w:r>
        <w:t xml:space="preserve"> </w:t>
      </w:r>
      <w:r>
        <w:t xml:space="preserve">build a comprehensive encyclopedia of all paranormal Australia; do</w:t>
      </w:r>
      <w:r>
        <w:t xml:space="preserve"> </w:t>
      </w:r>
      <w:r>
        <w:rPr>
          <w:b/>
          <w:bCs/>
        </w:rPr>
        <w:t xml:space="preserve">not</w:t>
      </w:r>
      <w:r>
        <w:t xml:space="preserve"> </w:t>
      </w:r>
      <w:r>
        <w:t xml:space="preserve">verify supernatural claims; do</w:t>
      </w:r>
      <w:r>
        <w:t xml:space="preserve"> </w:t>
      </w:r>
      <w:r>
        <w:rPr>
          <w:b/>
          <w:bCs/>
        </w:rPr>
        <w:t xml:space="preserve">not</w:t>
      </w:r>
      <w:r>
        <w:t xml:space="preserve"> </w:t>
      </w:r>
      <w:r>
        <w:t xml:space="preserve">map “true distribution” of entities; do</w:t>
      </w:r>
      <w:r>
        <w:t xml:space="preserve"> </w:t>
      </w:r>
      <w:r>
        <w:rPr>
          <w:b/>
          <w:bCs/>
        </w:rPr>
        <w:t xml:space="preserve">not</w:t>
      </w:r>
      <w:r>
        <w:t xml:space="preserve"> </w:t>
      </w:r>
      <w:r>
        <w:t xml:space="preserve">equate label clusters with biological species; do</w:t>
      </w:r>
      <w:r>
        <w:t xml:space="preserve"> </w:t>
      </w:r>
      <w:r>
        <w:rPr>
          <w:b/>
          <w:bCs/>
        </w:rPr>
        <w:t xml:space="preserve">not</w:t>
      </w:r>
      <w:r>
        <w:t xml:space="preserve"> </w:t>
      </w:r>
      <w:r>
        <w:t xml:space="preserve">treat discoverability as permission to reproduce; and do</w:t>
      </w:r>
      <w:r>
        <w:t xml:space="preserve"> </w:t>
      </w:r>
      <w:r>
        <w:rPr>
          <w:b/>
          <w:bCs/>
        </w:rPr>
        <w:t xml:space="preserve">not</w:t>
      </w:r>
      <w:r>
        <w:t xml:space="preserve"> </w:t>
      </w:r>
      <w:r>
        <w:t xml:space="preserve">position the archive as an authoritative repository of all Indigenous knowledge. AIATSIS explicitly treats research involving Indigenous peoples and collections as ethically governed, and ATSILIRN distinguishes preservation from unrestricted display while requiring special handling of secret, sacred, offensive, and culturally sensitive materials.</w:t>
      </w:r>
      <w:r>
        <w:t xml:space="preserve"> </w:t>
      </w:r>
      <w:hyperlink r:id="rId21">
        <w:r>
          <w:rPr>
            <w:rStyle w:val="Hyperlink"/>
          </w:rPr>
          <w:t xml:space="preserve">[4]</w:t>
        </w:r>
      </w:hyperlink>
    </w:p>
    <w:p>
      <w:pPr>
        <w:pStyle w:val="BodyText"/>
      </w:pPr>
      <w:r>
        <w:rPr>
          <w:b/>
          <w:bCs/>
        </w:rPr>
        <w:t xml:space="preserve">README disclaimer:</w:t>
      </w:r>
      <w:r>
        <w:br/>
      </w:r>
      <w:r>
        <w:t xml:space="preserve">This archive documents public narratives and public records about supernatural or anomalous humanoid figures in Australian texts. It does not verify that such beings exist. Records may describe alleged events, local traditions, rumours, legends, spirit-person narratives, or later retellings; each record type has different evidentiary and descriptive standards. Materials involving Aboriginal and Torres Strait Islander peoples are subject to additional cultural sensitivity, terminology, and access review.</w:t>
      </w:r>
      <w:r>
        <w:t xml:space="preserve"> </w:t>
      </w:r>
      <w:hyperlink r:id="rId21">
        <w:r>
          <w:rPr>
            <w:rStyle w:val="Hyperlink"/>
          </w:rPr>
          <w:t xml:space="preserve">[4]</w:t>
        </w:r>
      </w:hyperlink>
    </w:p>
    <w:p>
      <w:pPr>
        <w:pStyle w:val="BodyText"/>
      </w:pPr>
      <w:r>
        <w:rPr>
          <w:b/>
          <w:bCs/>
        </w:rPr>
        <w:t xml:space="preserve">Frontend disclaimer:</w:t>
      </w:r>
      <w:r>
        <w:br/>
      </w:r>
      <w:r>
        <w:t xml:space="preserve">Map pins and timelines represent narrative settings, alleged event locations, publication places, or circulation histories depending on the selected layer. They do</w:t>
      </w:r>
      <w:r>
        <w:t xml:space="preserve"> </w:t>
      </w:r>
      <w:r>
        <w:rPr>
          <w:b/>
          <w:bCs/>
        </w:rPr>
        <w:t xml:space="preserve">not</w:t>
      </w:r>
      <w:r>
        <w:t xml:space="preserve"> </w:t>
      </w:r>
      <w:r>
        <w:t xml:space="preserve">represent verified supernatural distribution. Some culturally sensitive records may be redacted, suppressed, or described only at summary level.</w:t>
      </w:r>
      <w:r>
        <w:t xml:space="preserve"> </w:t>
      </w:r>
      <w:hyperlink r:id="rId27">
        <w:r>
          <w:rPr>
            <w:rStyle w:val="Hyperlink"/>
          </w:rPr>
          <w:t xml:space="preserve">[5]</w:t>
        </w:r>
      </w:hyperlink>
    </w:p>
    <w:bookmarkEnd w:id="28"/>
    <w:bookmarkStart w:id="29" w:name="claims-allowed-and-prohibited"/>
    <w:p>
      <w:pPr>
        <w:pStyle w:val="Heading3"/>
      </w:pPr>
      <w:r>
        <w:t xml:space="preserve">Claims allowed and prohibited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 archive may claim</w:t>
            </w:r>
          </w:p>
        </w:tc>
        <w:tc>
          <w:tcPr/>
          <w:p>
            <w:pPr>
              <w:pStyle w:val="Compact"/>
            </w:pPr>
            <w:r>
              <w:t xml:space="preserve">The archive must not claim</w:t>
            </w:r>
          </w:p>
        </w:tc>
      </w:tr>
      <w:tr>
        <w:tc>
          <w:tcPr/>
          <w:p>
            <w:pPr>
              <w:pStyle w:val="Compact"/>
            </w:pPr>
            <w:r>
              <w:t xml:space="preserve">A narrative was published, circulated, or retold in public sources</w:t>
            </w:r>
          </w:p>
        </w:tc>
        <w:tc>
          <w:tcPr/>
          <w:p>
            <w:pPr>
              <w:pStyle w:val="Compact"/>
            </w:pPr>
            <w:r>
              <w:t xml:space="preserve">A being is real</w:t>
            </w:r>
          </w:p>
        </w:tc>
      </w:tr>
      <w:tr>
        <w:tc>
          <w:tcPr/>
          <w:p>
            <w:pPr>
              <w:pStyle w:val="Compact"/>
            </w:pPr>
            <w:r>
              <w:t xml:space="preserve">A source used a given label or classification</w:t>
            </w:r>
          </w:p>
        </w:tc>
        <w:tc>
          <w:tcPr/>
          <w:p>
            <w:pPr>
              <w:pStyle w:val="Compact"/>
            </w:pPr>
            <w:r>
              <w:t xml:space="preserve">A label names a biological species</w:t>
            </w:r>
          </w:p>
        </w:tc>
      </w:tr>
      <w:tr>
        <w:tc>
          <w:tcPr/>
          <w:p>
            <w:pPr>
              <w:pStyle w:val="Compact"/>
            </w:pPr>
            <w:r>
              <w:t xml:space="preserve">Multiple versions are related, derivative, or conflated</w:t>
            </w:r>
          </w:p>
        </w:tc>
        <w:tc>
          <w:tcPr/>
          <w:p>
            <w:pPr>
              <w:pStyle w:val="Compact"/>
            </w:pPr>
            <w:r>
              <w:t xml:space="preserve">A legend proves an encounter happened</w:t>
            </w:r>
          </w:p>
        </w:tc>
      </w:tr>
      <w:tr>
        <w:tc>
          <w:tcPr/>
          <w:p>
            <w:pPr>
              <w:pStyle w:val="Compact"/>
            </w:pPr>
            <w:r>
              <w:t xml:space="preserve">A narrative is associated with a place, period, or community in public discourse</w:t>
            </w:r>
          </w:p>
        </w:tc>
        <w:tc>
          <w:tcPr/>
          <w:p>
            <w:pPr>
              <w:pStyle w:val="Compact"/>
            </w:pPr>
            <w:r>
              <w:t xml:space="preserve">A map is a habitat map</w:t>
            </w:r>
          </w:p>
        </w:tc>
      </w:tr>
      <w:tr>
        <w:tc>
          <w:tcPr/>
          <w:p>
            <w:pPr>
              <w:pStyle w:val="Compact"/>
            </w:pPr>
            <w:r>
              <w:t xml:space="preserve">A record has stronger or weaker traceability/provenance</w:t>
            </w:r>
          </w:p>
        </w:tc>
        <w:tc>
          <w:tcPr/>
          <w:p>
            <w:pPr>
              <w:pStyle w:val="Compact"/>
            </w:pPr>
            <w:r>
              <w:t xml:space="preserve">A traditional narrative is exhausted or authoritatively represented by one printed source</w:t>
            </w:r>
          </w:p>
        </w:tc>
      </w:tr>
    </w:tbl>
    <w:p>
      <w:pPr>
        <w:pStyle w:val="BodyText"/>
      </w:pPr>
      <w:r>
        <w:t xml:space="preserve">These limits are not cosmetic. They are required by the project’s own formulation and by AIATSIS/ATSILIRN guidance on ethics, classification, and culturally appropriate handling. fileciteturn0file0</w:t>
      </w:r>
      <w:r>
        <w:t xml:space="preserve"> </w:t>
      </w:r>
      <w:hyperlink r:id="rId21">
        <w:r>
          <w:rPr>
            <w:rStyle w:val="Hyperlink"/>
          </w:rPr>
          <w:t xml:space="preserve">[2]</w:t>
        </w:r>
      </w:hyperlink>
    </w:p>
    <w:bookmarkEnd w:id="29"/>
    <w:bookmarkEnd w:id="30"/>
    <w:bookmarkStart w:id="42" w:name="ontology-and-boundary-design"/>
    <w:p>
      <w:pPr>
        <w:pStyle w:val="Heading2"/>
      </w:pPr>
      <w:r>
        <w:t xml:space="preserve">Ontology and boundary design</w:t>
      </w:r>
    </w:p>
    <w:bookmarkStart w:id="31" w:name="X3920a4f2ed0ec18e56ba372bfcabe39eb50e8c8"/>
    <w:p>
      <w:pPr>
        <w:pStyle w:val="Heading3"/>
      </w:pPr>
      <w:r>
        <w:t xml:space="preserve">Core collection and top-level unit of analysis</w:t>
      </w:r>
    </w:p>
    <w:p>
      <w:pPr>
        <w:pStyle w:val="FirstParagraph"/>
      </w:pPr>
      <w:r>
        <w:t xml:space="preserve">The archive’s</w:t>
      </w:r>
      <w:r>
        <w:t xml:space="preserve"> </w:t>
      </w:r>
      <w:r>
        <w:rPr>
          <w:b/>
          <w:bCs/>
        </w:rPr>
        <w:t xml:space="preserve">core</w:t>
      </w:r>
      <w:r>
        <w:t xml:space="preserve"> </w:t>
      </w:r>
      <w:r>
        <w:t xml:space="preserve">should contain multiple parallel first-class record types. “Core” should no longer mean “encounter events only.” Instead, “core” should mean “first-class narrative units that directly answer the governing research question.” The right top-level object is therefore</w:t>
      </w:r>
      <w:r>
        <w:t xml:space="preserve"> </w:t>
      </w:r>
      <w:r>
        <w:rPr>
          <w:rStyle w:val="VerbatimChar"/>
          <w:b/>
          <w:bCs/>
        </w:rPr>
        <w:t xml:space="preserve">narrative_unit</w:t>
      </w:r>
      <w:r>
        <w:t xml:space="preserve">, not</w:t>
      </w:r>
      <w:r>
        <w:t xml:space="preserve"> </w:t>
      </w:r>
      <w:r>
        <w:rPr>
          <w:rStyle w:val="VerbatimChar"/>
        </w:rPr>
        <w:t xml:space="preserve">encounter_event</w:t>
      </w:r>
      <w:r>
        <w:t xml:space="preserve">. A narrative unit can be one bounded encounter, one apparition account, one stable place legend, one publicly attested rumour, one published traditional narrative, one descriptive belief record, or one materially distinct retelling. fileciteturn0file0</w:t>
      </w:r>
    </w:p>
    <w:p>
      <w:pPr>
        <w:pStyle w:val="BodyText"/>
      </w:pPr>
      <w:r>
        <w:t xml:space="preserve">That design suits both archival and ethical requirements. AIATSIS defines Aboriginal and Torres Strait Islander research broadly enough to include the planning, collection, analysis, and dissemination of information “in any format or medium,” while ATSILIRN insists that description and classification must not rely on inaccurate or value-laden terminology. A narrative-unit model lets the archive preserve source-specific framing rather than forcing every item into a witness-event mold.</w:t>
      </w:r>
      <w:r>
        <w:t xml:space="preserve"> </w:t>
      </w:r>
      <w:hyperlink r:id="rId21">
        <w:r>
          <w:rPr>
            <w:rStyle w:val="Hyperlink"/>
          </w:rPr>
          <w:t xml:space="preserve">[3]</w:t>
        </w:r>
      </w:hyperlink>
    </w:p>
    <w:bookmarkEnd w:id="31"/>
    <w:bookmarkStart w:id="32" w:name="recommended-normalized-model"/>
    <w:p>
      <w:pPr>
        <w:pStyle w:val="Heading3"/>
      </w:pPr>
      <w:r>
        <w:t xml:space="preserve">Recommended normalized model</w:t>
      </w:r>
    </w:p>
    <w:p>
      <w:pPr>
        <w:pStyle w:val="FirstParagraph"/>
      </w:pPr>
      <w:r>
        <w:t xml:space="preserve">The fully normalized target should include the following top-level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source_items</w:t>
            </w:r>
          </w:p>
        </w:tc>
        <w:tc>
          <w:tcPr/>
          <w:p>
            <w:pPr>
              <w:pStyle w:val="Compact"/>
            </w:pPr>
            <w:r>
              <w:t xml:space="preserve">Individual newspaper articles, webpages, books, catalogue records, interviews, video/audio items, archival pages</w:t>
            </w:r>
          </w:p>
        </w:tc>
      </w:tr>
      <w:tr>
        <w:tc>
          <w:tcPr/>
          <w:p>
            <w:pPr>
              <w:pStyle w:val="Compact"/>
            </w:pPr>
            <w:r>
              <w:rPr>
                <w:rStyle w:val="VerbatimChar"/>
              </w:rPr>
              <w:t xml:space="preserve">narrative_units</w:t>
            </w:r>
          </w:p>
        </w:tc>
        <w:tc>
          <w:tcPr/>
          <w:p>
            <w:pPr>
              <w:pStyle w:val="Compact"/>
            </w:pPr>
            <w:r>
              <w:t xml:space="preserve">Distinct stories, claims, legends, rumours, traditions, apparition accounts, retellings</w:t>
            </w:r>
          </w:p>
        </w:tc>
      </w:tr>
      <w:tr>
        <w:tc>
          <w:tcPr/>
          <w:p>
            <w:pPr>
              <w:pStyle w:val="Compact"/>
            </w:pPr>
            <w:r>
              <w:rPr>
                <w:rStyle w:val="VerbatimChar"/>
              </w:rPr>
              <w:t xml:space="preserve">encounter_events</w:t>
            </w:r>
          </w:p>
        </w:tc>
        <w:tc>
          <w:tcPr/>
          <w:p>
            <w:pPr>
              <w:pStyle w:val="Compact"/>
            </w:pPr>
            <w:r>
              <w:t xml:space="preserve">Optional subtype only for bounded encounter narratives</w:t>
            </w:r>
          </w:p>
        </w:tc>
      </w:tr>
      <w:tr>
        <w:tc>
          <w:tcPr/>
          <w:p>
            <w:pPr>
              <w:pStyle w:val="Compact"/>
            </w:pPr>
            <w:r>
              <w:rPr>
                <w:rStyle w:val="VerbatimChar"/>
              </w:rPr>
              <w:t xml:space="preserve">tradition_or_legend_clusters</w:t>
            </w:r>
          </w:p>
        </w:tc>
        <w:tc>
          <w:tcPr/>
          <w:p>
            <w:pPr>
              <w:pStyle w:val="Compact"/>
            </w:pPr>
            <w:r>
              <w:t xml:space="preserve">Variant families that should not be collapsed into one historical event</w:t>
            </w:r>
          </w:p>
        </w:tc>
      </w:tr>
      <w:tr>
        <w:tc>
          <w:tcPr/>
          <w:p>
            <w:pPr>
              <w:pStyle w:val="Compact"/>
            </w:pPr>
            <w:r>
              <w:rPr>
                <w:rStyle w:val="VerbatimChar"/>
              </w:rPr>
              <w:t xml:space="preserve">entity_concepts</w:t>
            </w:r>
          </w:p>
        </w:tc>
        <w:tc>
          <w:tcPr/>
          <w:p>
            <w:pPr>
              <w:pStyle w:val="Compact"/>
            </w:pPr>
            <w:r>
              <w:t xml:space="preserve">Analytical concepts used for research organisation</w:t>
            </w:r>
          </w:p>
        </w:tc>
      </w:tr>
      <w:tr>
        <w:tc>
          <w:tcPr/>
          <w:p>
            <w:pPr>
              <w:pStyle w:val="Compact"/>
            </w:pPr>
            <w:r>
              <w:rPr>
                <w:rStyle w:val="VerbatimChar"/>
              </w:rPr>
              <w:t xml:space="preserve">entity_labels</w:t>
            </w:r>
          </w:p>
        </w:tc>
        <w:tc>
          <w:tcPr/>
          <w:p>
            <w:pPr>
              <w:pStyle w:val="Compact"/>
            </w:pPr>
            <w:r>
              <w:t xml:space="preserve">Exact source labels, spellings, descriptors, supplied terms</w:t>
            </w:r>
          </w:p>
        </w:tc>
      </w:tr>
      <w:tr>
        <w:tc>
          <w:tcPr/>
          <w:p>
            <w:pPr>
              <w:pStyle w:val="Compact"/>
            </w:pPr>
            <w:r>
              <w:rPr>
                <w:rStyle w:val="VerbatimChar"/>
              </w:rPr>
              <w:t xml:space="preserve">narrative_source_links</w:t>
            </w:r>
          </w:p>
        </w:tc>
        <w:tc>
          <w:tcPr/>
          <w:p>
            <w:pPr>
              <w:pStyle w:val="Compact"/>
            </w:pPr>
            <w:r>
              <w:t xml:space="preserve">Attestation/reprint/translation/retelling/adaptation relationships</w:t>
            </w:r>
          </w:p>
        </w:tc>
      </w:tr>
      <w:tr>
        <w:tc>
          <w:tcPr/>
          <w:p>
            <w:pPr>
              <w:pStyle w:val="Compact"/>
            </w:pPr>
            <w:r>
              <w:rPr>
                <w:rStyle w:val="VerbatimChar"/>
              </w:rPr>
              <w:t xml:space="preserve">narrative_relations</w:t>
            </w:r>
          </w:p>
        </w:tc>
        <w:tc>
          <w:tcPr/>
          <w:p>
            <w:pPr>
              <w:pStyle w:val="Compact"/>
            </w:pPr>
            <w:r>
              <w:rPr>
                <w:rStyle w:val="VerbatimChar"/>
              </w:rPr>
              <w:t xml:space="preserve">variant_of</w:t>
            </w:r>
            <w:r>
              <w:t xml:space="preserve">,</w:t>
            </w:r>
            <w:r>
              <w:t xml:space="preserve"> </w:t>
            </w:r>
            <w:r>
              <w:rPr>
                <w:rStyle w:val="VerbatimChar"/>
              </w:rPr>
              <w:t xml:space="preserve">retelling_of</w:t>
            </w:r>
            <w:r>
              <w:t xml:space="preserve">,</w:t>
            </w:r>
            <w:r>
              <w:t xml:space="preserve"> </w:t>
            </w:r>
            <w:r>
              <w:rPr>
                <w:rStyle w:val="VerbatimChar"/>
              </w:rPr>
              <w:t xml:space="preserve">possibly_related_to</w:t>
            </w:r>
            <w:r>
              <w:t xml:space="preserve">,</w:t>
            </w:r>
            <w:r>
              <w:t xml:space="preserve"> </w:t>
            </w:r>
            <w:r>
              <w:rPr>
                <w:rStyle w:val="VerbatimChar"/>
              </w:rPr>
              <w:t xml:space="preserve">later_named_as</w:t>
            </w:r>
            <w:r>
              <w:t xml:space="preserve">,</w:t>
            </w:r>
            <w:r>
              <w:t xml:space="preserve"> </w:t>
            </w:r>
            <w:r>
              <w:rPr>
                <w:rStyle w:val="VerbatimChar"/>
              </w:rPr>
              <w:t xml:space="preserve">not_same_as</w:t>
            </w:r>
            <w:r>
              <w:t xml:space="preserve">, etc.</w:t>
            </w:r>
          </w:p>
        </w:tc>
      </w:tr>
      <w:tr>
        <w:tc>
          <w:tcPr/>
          <w:p>
            <w:pPr>
              <w:pStyle w:val="Compact"/>
            </w:pPr>
            <w:r>
              <w:rPr>
                <w:rStyle w:val="VerbatimChar"/>
              </w:rPr>
              <w:t xml:space="preserve">locations</w:t>
            </w:r>
          </w:p>
        </w:tc>
        <w:tc>
          <w:tcPr/>
          <w:p>
            <w:pPr>
              <w:pStyle w:val="Compact"/>
            </w:pPr>
            <w:r>
              <w:t xml:space="preserve">Normalized places</w:t>
            </w:r>
          </w:p>
        </w:tc>
      </w:tr>
      <w:tr>
        <w:tc>
          <w:tcPr/>
          <w:p>
            <w:pPr>
              <w:pStyle w:val="Compact"/>
            </w:pPr>
            <w:r>
              <w:rPr>
                <w:rStyle w:val="VerbatimChar"/>
              </w:rPr>
              <w:t xml:space="preserve">narrative_locations</w:t>
            </w:r>
          </w:p>
        </w:tc>
        <w:tc>
          <w:tcPr/>
          <w:p>
            <w:pPr>
              <w:pStyle w:val="Compact"/>
            </w:pPr>
            <w:r>
              <w:t xml:space="preserve">Role-specific place relationships</w:t>
            </w:r>
          </w:p>
        </w:tc>
      </w:tr>
      <w:tr>
        <w:tc>
          <w:tcPr/>
          <w:p>
            <w:pPr>
              <w:pStyle w:val="Compact"/>
            </w:pPr>
            <w:r>
              <w:rPr>
                <w:rStyle w:val="VerbatimChar"/>
              </w:rPr>
              <w:t xml:space="preserve">reviews</w:t>
            </w:r>
          </w:p>
        </w:tc>
        <w:tc>
          <w:tcPr/>
          <w:p>
            <w:pPr>
              <w:pStyle w:val="Compact"/>
            </w:pPr>
            <w:r>
              <w:t xml:space="preserve">human review, ethics review, classification review</w:t>
            </w:r>
          </w:p>
        </w:tc>
      </w:tr>
      <w:tr>
        <w:tc>
          <w:tcPr/>
          <w:p>
            <w:pPr>
              <w:pStyle w:val="Compact"/>
            </w:pPr>
            <w:r>
              <w:rPr>
                <w:rStyle w:val="VerbatimChar"/>
              </w:rPr>
              <w:t xml:space="preserve">leads</w:t>
            </w:r>
          </w:p>
        </w:tc>
        <w:tc>
          <w:tcPr/>
          <w:p>
            <w:pPr>
              <w:pStyle w:val="Compact"/>
            </w:pPr>
            <w:r>
              <w:t xml:space="preserve">unresolved but potentially valuable items</w:t>
            </w:r>
          </w:p>
        </w:tc>
      </w:tr>
      <w:tr>
        <w:tc>
          <w:tcPr/>
          <w:p>
            <w:pPr>
              <w:pStyle w:val="Compact"/>
            </w:pPr>
            <w:r>
              <w:rPr>
                <w:rStyle w:val="VerbatimChar"/>
              </w:rPr>
              <w:t xml:space="preserve">exclusions</w:t>
            </w:r>
          </w:p>
        </w:tc>
        <w:tc>
          <w:tcPr/>
          <w:p>
            <w:pPr>
              <w:pStyle w:val="Compact"/>
            </w:pPr>
            <w:r>
              <w:t xml:space="preserve">structured out-of-scope records for auditability</w:t>
            </w:r>
          </w:p>
        </w:tc>
      </w:tr>
    </w:tbl>
    <w:p>
      <w:pPr>
        <w:pStyle w:val="BodyText"/>
      </w:pPr>
      <w:r>
        <w:t xml:space="preserve">This model directly operationalises the brief’s insistence on provenance, typing, reusability, and non-destructive extension. It also aligns with ATSILIRN’s distinction between description, classification, and differentiated access/control, because it separates what the source said from what the archive later infers. fileciteturn0file0</w:t>
      </w:r>
      <w:r>
        <w:t xml:space="preserve"> </w:t>
      </w:r>
      <w:hyperlink r:id="rId27">
        <w:r>
          <w:rPr>
            <w:rStyle w:val="Hyperlink"/>
          </w:rPr>
          <w:t xml:space="preserve">[6]</w:t>
        </w:r>
      </w:hyperlink>
    </w:p>
    <w:bookmarkEnd w:id="32"/>
    <w:bookmarkStart w:id="35" w:name="X8ddfe2a0eea54868424a5aa0bc95f51c7485673"/>
    <w:p>
      <w:pPr>
        <w:pStyle w:val="Heading3"/>
      </w:pPr>
      <w:r>
        <w:t xml:space="preserve">Controlled vocabulary and term-use policy</w:t>
      </w:r>
    </w:p>
    <w:p>
      <w:pPr>
        <w:pStyle w:val="FirstParagraph"/>
      </w:pPr>
      <w:r>
        <w:t xml:space="preserve">The archive should preserve</w:t>
      </w:r>
      <w:r>
        <w:t xml:space="preserve"> </w:t>
      </w:r>
      <w:r>
        <w:rPr>
          <w:b/>
          <w:bCs/>
        </w:rPr>
        <w:t xml:space="preserve">source terminology</w:t>
      </w:r>
      <w:r>
        <w:t xml:space="preserve"> </w:t>
      </w:r>
      <w:r>
        <w:t xml:space="preserve">and record</w:t>
      </w:r>
      <w:r>
        <w:t xml:space="preserve"> </w:t>
      </w:r>
      <w:r>
        <w:rPr>
          <w:b/>
          <w:bCs/>
        </w:rPr>
        <w:t xml:space="preserve">who supplied the classification</w:t>
      </w:r>
      <w:r>
        <w:t xml:space="preserve">. It should not default to Western paranormal or cryptozoological categories where a culturally specific source uses another vocabulary. ATSILIRN explicitly warns that unsuitable subject headings and classifications obstruct access and misrepresent communities.</w:t>
      </w:r>
      <w:r>
        <w:t xml:space="preserve"> </w:t>
      </w:r>
      <w:hyperlink r:id="rId27">
        <w:r>
          <w:rPr>
            <w:rStyle w:val="Hyperlink"/>
          </w:rPr>
          <w:t xml:space="preserve">[6]</w:t>
        </w:r>
      </w:hyperlink>
    </w:p>
    <w:bookmarkStart w:id="33" w:name="recommended-first-class-record-types"/>
    <w:p>
      <w:pPr>
        <w:pStyle w:val="Heading4"/>
      </w:pPr>
      <w:r>
        <w:t xml:space="preserve">Recommended first-class record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 type</w:t>
            </w:r>
          </w:p>
        </w:tc>
        <w:tc>
          <w:tcPr/>
          <w:p>
            <w:pPr>
              <w:pStyle w:val="Compact"/>
            </w:pPr>
            <w:r>
              <w:t xml:space="preserve">Use when</w:t>
            </w:r>
          </w:p>
        </w:tc>
      </w:tr>
      <w:tr>
        <w:tc>
          <w:tcPr/>
          <w:p>
            <w:pPr>
              <w:pStyle w:val="Compact"/>
            </w:pPr>
            <w:r>
              <w:rPr>
                <w:rStyle w:val="VerbatimChar"/>
              </w:rPr>
              <w:t xml:space="preserve">encounter_account</w:t>
            </w:r>
          </w:p>
        </w:tc>
        <w:tc>
          <w:tcPr/>
          <w:p>
            <w:pPr>
              <w:pStyle w:val="Compact"/>
            </w:pPr>
            <w:r>
              <w:t xml:space="preserve">A bounded alleged event involving a humanoid figure</w:t>
            </w:r>
          </w:p>
        </w:tc>
      </w:tr>
      <w:tr>
        <w:tc>
          <w:tcPr/>
          <w:p>
            <w:pPr>
              <w:pStyle w:val="Compact"/>
            </w:pPr>
            <w:r>
              <w:rPr>
                <w:rStyle w:val="VerbatimChar"/>
              </w:rPr>
              <w:t xml:space="preserve">apparition_account</w:t>
            </w:r>
          </w:p>
        </w:tc>
        <w:tc>
          <w:tcPr/>
          <w:p>
            <w:pPr>
              <w:pStyle w:val="Compact"/>
            </w:pPr>
            <w:r>
              <w:t xml:space="preserve">A bounded sighting of a human-like spectral figure</w:t>
            </w:r>
          </w:p>
        </w:tc>
      </w:tr>
      <w:tr>
        <w:tc>
          <w:tcPr/>
          <w:p>
            <w:pPr>
              <w:pStyle w:val="Compact"/>
            </w:pPr>
            <w:r>
              <w:rPr>
                <w:rStyle w:val="VerbatimChar"/>
              </w:rPr>
              <w:t xml:space="preserve">ghost_legend</w:t>
            </w:r>
          </w:p>
        </w:tc>
        <w:tc>
          <w:tcPr/>
          <w:p>
            <w:pPr>
              <w:pStyle w:val="Compact"/>
            </w:pPr>
            <w:r>
              <w:t xml:space="preserve">A recurring, place-linked ghost narrative with humanoid manifestation</w:t>
            </w:r>
          </w:p>
        </w:tc>
      </w:tr>
      <w:tr>
        <w:tc>
          <w:tcPr/>
          <w:p>
            <w:pPr>
              <w:pStyle w:val="Compact"/>
            </w:pPr>
            <w:r>
              <w:rPr>
                <w:rStyle w:val="VerbatimChar"/>
              </w:rPr>
              <w:t xml:space="preserve">rumour_account</w:t>
            </w:r>
          </w:p>
        </w:tc>
        <w:tc>
          <w:tcPr/>
          <w:p>
            <w:pPr>
              <w:pStyle w:val="Compact"/>
            </w:pPr>
            <w:r>
              <w:t xml:space="preserve">A circulating claim with public attestation but no stable narrative text</w:t>
            </w:r>
          </w:p>
        </w:tc>
      </w:tr>
      <w:tr>
        <w:tc>
          <w:tcPr/>
          <w:p>
            <w:pPr>
              <w:pStyle w:val="Compact"/>
            </w:pPr>
            <w:r>
              <w:rPr>
                <w:rStyle w:val="VerbatimChar"/>
              </w:rPr>
              <w:t xml:space="preserve">local_legend</w:t>
            </w:r>
          </w:p>
        </w:tc>
        <w:tc>
          <w:tcPr/>
          <w:p>
            <w:pPr>
              <w:pStyle w:val="Compact"/>
            </w:pPr>
            <w:r>
              <w:t xml:space="preserve">A place-linked legend circulating in public discourse</w:t>
            </w:r>
          </w:p>
        </w:tc>
      </w:tr>
      <w:tr>
        <w:tc>
          <w:tcPr/>
          <w:p>
            <w:pPr>
              <w:pStyle w:val="Compact"/>
            </w:pPr>
            <w:r>
              <w:rPr>
                <w:rStyle w:val="VerbatimChar"/>
              </w:rPr>
              <w:t xml:space="preserve">traditional_narrative</w:t>
            </w:r>
          </w:p>
        </w:tc>
        <w:tc>
          <w:tcPr/>
          <w:p>
            <w:pPr>
              <w:pStyle w:val="Compact"/>
            </w:pPr>
            <w:r>
              <w:t xml:space="preserve">A publicly accessible traditional narrative where this is the safest default description</w:t>
            </w:r>
          </w:p>
        </w:tc>
      </w:tr>
      <w:tr>
        <w:tc>
          <w:tcPr/>
          <w:p>
            <w:pPr>
              <w:pStyle w:val="Compact"/>
            </w:pPr>
            <w:r>
              <w:rPr>
                <w:rStyle w:val="VerbatimChar"/>
              </w:rPr>
              <w:t xml:space="preserve">spirit_person_narrative</w:t>
            </w:r>
          </w:p>
        </w:tc>
        <w:tc>
          <w:tcPr/>
          <w:p>
            <w:pPr>
              <w:pStyle w:val="Compact"/>
            </w:pPr>
            <w:r>
              <w:t xml:space="preserve">A publicly attested narrative about a person-like spirit being</w:t>
            </w:r>
          </w:p>
        </w:tc>
      </w:tr>
      <w:tr>
        <w:tc>
          <w:tcPr/>
          <w:p>
            <w:pPr>
              <w:pStyle w:val="Compact"/>
            </w:pPr>
            <w:r>
              <w:rPr>
                <w:rStyle w:val="VerbatimChar"/>
              </w:rPr>
              <w:t xml:space="preserve">giant_or_ogre_narrative</w:t>
            </w:r>
          </w:p>
        </w:tc>
        <w:tc>
          <w:tcPr/>
          <w:p>
            <w:pPr>
              <w:pStyle w:val="Compact"/>
            </w:pPr>
            <w:r>
              <w:t xml:space="preserve">A giant, ogre, or giant-person narrative with humanoid basis</w:t>
            </w:r>
          </w:p>
        </w:tc>
      </w:tr>
      <w:tr>
        <w:tc>
          <w:tcPr/>
          <w:p>
            <w:pPr>
              <w:pStyle w:val="Compact"/>
            </w:pPr>
            <w:r>
              <w:rPr>
                <w:rStyle w:val="VerbatimChar"/>
              </w:rPr>
              <w:t xml:space="preserve">descriptive_belief_record</w:t>
            </w:r>
          </w:p>
        </w:tc>
        <w:tc>
          <w:tcPr/>
          <w:p>
            <w:pPr>
              <w:pStyle w:val="Compact"/>
            </w:pPr>
            <w:r>
              <w:t xml:space="preserve">Publicly recorded non-story belief statements about a figure</w:t>
            </w:r>
          </w:p>
        </w:tc>
      </w:tr>
      <w:tr>
        <w:tc>
          <w:tcPr/>
          <w:p>
            <w:pPr>
              <w:pStyle w:val="Compact"/>
            </w:pPr>
            <w:r>
              <w:rPr>
                <w:rStyle w:val="VerbatimChar"/>
              </w:rPr>
              <w:t xml:space="preserve">retelling_or_adaptation</w:t>
            </w:r>
          </w:p>
        </w:tc>
        <w:tc>
          <w:tcPr/>
          <w:p>
            <w:pPr>
              <w:pStyle w:val="Compact"/>
            </w:pPr>
            <w:r>
              <w:t xml:space="preserve">A materially altered later version, reclassification, or adaptation</w:t>
            </w:r>
          </w:p>
        </w:tc>
      </w:tr>
    </w:tbl>
    <w:p>
      <w:pPr>
        <w:pStyle w:val="BodyText"/>
      </w:pPr>
      <w:r>
        <w:t xml:space="preserve">I recommend</w:t>
      </w:r>
      <w:r>
        <w:t xml:space="preserve"> </w:t>
      </w:r>
      <w:r>
        <w:rPr>
          <w:b/>
          <w:bCs/>
        </w:rPr>
        <w:t xml:space="preserve">not</w:t>
      </w:r>
      <w:r>
        <w:t xml:space="preserve"> </w:t>
      </w:r>
      <w:r>
        <w:t xml:space="preserve">using</w:t>
      </w:r>
      <w:r>
        <w:t xml:space="preserve"> </w:t>
      </w:r>
      <w:r>
        <w:rPr>
          <w:rStyle w:val="VerbatimChar"/>
        </w:rPr>
        <w:t xml:space="preserve">mythic_narrative</w:t>
      </w:r>
      <w:r>
        <w:t xml:space="preserve"> </w:t>
      </w:r>
      <w:r>
        <w:t xml:space="preserve">as the default label for Indigenous materials. Keep it as an optional analytic or source-supplied descriptor only. “Traditional narrative,” “spirit-person narrative,” or source-community terminology will usually be safer and more faithful. That recommendation follows from the brief and from ATSILIRN’s warning against value-laden description. fileciteturn0file0</w:t>
      </w:r>
      <w:r>
        <w:t xml:space="preserve"> </w:t>
      </w:r>
      <w:hyperlink r:id="rId27">
        <w:r>
          <w:rPr>
            <w:rStyle w:val="Hyperlink"/>
          </w:rPr>
          <w:t xml:space="preserve">[6]</w:t>
        </w:r>
      </w:hyperlink>
    </w:p>
    <w:bookmarkEnd w:id="33"/>
    <w:bookmarkStart w:id="34" w:name="recommended-secondary-record-roles"/>
    <w:p>
      <w:pPr>
        <w:pStyle w:val="Heading4"/>
      </w:pPr>
      <w:r>
        <w:t xml:space="preserve">Recommended secondary record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Secondary role</w:t>
            </w:r>
          </w:p>
        </w:tc>
        <w:tc>
          <w:tcPr/>
          <w:p>
            <w:pPr>
              <w:pStyle w:val="Compact"/>
            </w:pPr>
            <w:r>
              <w:t xml:space="preserve">Use when</w:t>
            </w:r>
          </w:p>
        </w:tc>
      </w:tr>
      <w:tr>
        <w:tc>
          <w:tcPr/>
          <w:p>
            <w:pPr>
              <w:pStyle w:val="Compact"/>
            </w:pPr>
            <w:r>
              <w:rPr>
                <w:rStyle w:val="VerbatimChar"/>
              </w:rPr>
              <w:t xml:space="preserve">heritage_discourse</w:t>
            </w:r>
          </w:p>
        </w:tc>
        <w:tc>
          <w:tcPr/>
          <w:p>
            <w:pPr>
              <w:pStyle w:val="Compact"/>
            </w:pPr>
            <w:r>
              <w:t xml:space="preserve">Institution-led heritage framing</w:t>
            </w:r>
          </w:p>
        </w:tc>
      </w:tr>
      <w:tr>
        <w:tc>
          <w:tcPr/>
          <w:p>
            <w:pPr>
              <w:pStyle w:val="Compact"/>
            </w:pPr>
            <w:r>
              <w:rPr>
                <w:rStyle w:val="VerbatimChar"/>
              </w:rPr>
              <w:t xml:space="preserve">tourism_discourse</w:t>
            </w:r>
          </w:p>
        </w:tc>
        <w:tc>
          <w:tcPr/>
          <w:p>
            <w:pPr>
              <w:pStyle w:val="Compact"/>
            </w:pPr>
            <w:r>
              <w:t xml:space="preserve">Visitor-facing legend/attraction framing</w:t>
            </w:r>
          </w:p>
        </w:tc>
      </w:tr>
      <w:tr>
        <w:tc>
          <w:tcPr/>
          <w:p>
            <w:pPr>
              <w:pStyle w:val="Compact"/>
            </w:pPr>
            <w:r>
              <w:rPr>
                <w:rStyle w:val="VerbatimChar"/>
              </w:rPr>
              <w:t xml:space="preserve">media_commentary</w:t>
            </w:r>
          </w:p>
        </w:tc>
        <w:tc>
          <w:tcPr/>
          <w:p>
            <w:pPr>
              <w:pStyle w:val="Compact"/>
            </w:pPr>
            <w:r>
              <w:t xml:space="preserve">Journalism discussing a narrative rather than constituting it</w:t>
            </w:r>
          </w:p>
        </w:tc>
      </w:tr>
      <w:tr>
        <w:tc>
          <w:tcPr/>
          <w:p>
            <w:pPr>
              <w:pStyle w:val="Compact"/>
            </w:pPr>
            <w:r>
              <w:rPr>
                <w:rStyle w:val="VerbatimChar"/>
              </w:rPr>
              <w:t xml:space="preserve">scholarly_commentary</w:t>
            </w:r>
          </w:p>
        </w:tc>
        <w:tc>
          <w:tcPr/>
          <w:p>
            <w:pPr>
              <w:pStyle w:val="Compact"/>
            </w:pPr>
            <w:r>
              <w:t xml:space="preserve">Academic discussion or synthesis</w:t>
            </w:r>
          </w:p>
        </w:tc>
      </w:tr>
      <w:tr>
        <w:tc>
          <w:tcPr/>
          <w:p>
            <w:pPr>
              <w:pStyle w:val="Compact"/>
            </w:pPr>
            <w:r>
              <w:rPr>
                <w:rStyle w:val="VerbatimChar"/>
              </w:rPr>
              <w:t xml:space="preserve">catalogue_metadata</w:t>
            </w:r>
          </w:p>
        </w:tc>
        <w:tc>
          <w:tcPr/>
          <w:p>
            <w:pPr>
              <w:pStyle w:val="Compact"/>
            </w:pPr>
            <w:r>
              <w:t xml:space="preserve">Collection metadata with insufficient narrative content</w:t>
            </w:r>
          </w:p>
        </w:tc>
      </w:tr>
      <w:tr>
        <w:tc>
          <w:tcPr/>
          <w:p>
            <w:pPr>
              <w:pStyle w:val="Compact"/>
            </w:pPr>
            <w:r>
              <w:rPr>
                <w:rStyle w:val="VerbatimChar"/>
              </w:rPr>
              <w:t xml:space="preserve">source_pointer</w:t>
            </w:r>
          </w:p>
        </w:tc>
        <w:tc>
          <w:tcPr/>
          <w:p>
            <w:pPr>
              <w:pStyle w:val="Compact"/>
            </w:pPr>
            <w:r>
              <w:t xml:space="preserve">Metadata only; points to a source not yet ingested</w:t>
            </w:r>
          </w:p>
        </w:tc>
      </w:tr>
      <w:tr>
        <w:tc>
          <w:tcPr/>
          <w:p>
            <w:pPr>
              <w:pStyle w:val="Compact"/>
            </w:pPr>
            <w:r>
              <w:rPr>
                <w:rStyle w:val="VerbatimChar"/>
              </w:rPr>
              <w:t xml:space="preserve">unresolved_lead</w:t>
            </w:r>
          </w:p>
        </w:tc>
        <w:tc>
          <w:tcPr/>
          <w:p>
            <w:pPr>
              <w:pStyle w:val="Compact"/>
            </w:pPr>
            <w:r>
              <w:t xml:space="preserve">Potential record needing validation</w:t>
            </w:r>
          </w:p>
        </w:tc>
      </w:tr>
      <w:tr>
        <w:tc>
          <w:tcPr/>
          <w:p>
            <w:pPr>
              <w:pStyle w:val="Compact"/>
            </w:pPr>
            <w:r>
              <w:rPr>
                <w:rStyle w:val="VerbatimChar"/>
              </w:rPr>
              <w:t xml:space="preserve">control</w:t>
            </w:r>
          </w:p>
        </w:tc>
        <w:tc>
          <w:tcPr/>
          <w:p>
            <w:pPr>
              <w:pStyle w:val="Compact"/>
            </w:pPr>
            <w:r>
              <w:t xml:space="preserve">Deliberate comparison term used to test scope</w:t>
            </w:r>
          </w:p>
        </w:tc>
      </w:tr>
      <w:tr>
        <w:tc>
          <w:tcPr/>
          <w:p>
            <w:pPr>
              <w:pStyle w:val="Compact"/>
            </w:pPr>
            <w:r>
              <w:rPr>
                <w:rStyle w:val="VerbatimChar"/>
              </w:rPr>
              <w:t xml:space="preserve">exclusion</w:t>
            </w:r>
          </w:p>
        </w:tc>
        <w:tc>
          <w:tcPr/>
          <w:p>
            <w:pPr>
              <w:pStyle w:val="Compact"/>
            </w:pPr>
            <w:r>
              <w:t xml:space="preserve">Structured out-of-scope item</w:t>
            </w:r>
          </w:p>
        </w:tc>
      </w:tr>
    </w:tbl>
    <w:bookmarkEnd w:id="34"/>
    <w:bookmarkEnd w:id="35"/>
    <w:bookmarkStart w:id="36" w:name="type-specific-inclusion-rules"/>
    <w:p>
      <w:pPr>
        <w:pStyle w:val="Heading3"/>
      </w:pPr>
      <w:r>
        <w:t xml:space="preserve">Type-specific inclusion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First-class type</w:t>
            </w:r>
          </w:p>
        </w:tc>
        <w:tc>
          <w:tcPr/>
          <w:p>
            <w:pPr>
              <w:pStyle w:val="Compact"/>
            </w:pPr>
            <w:r>
              <w:t xml:space="preserve">Minimum inclusion gate</w:t>
            </w:r>
          </w:p>
        </w:tc>
        <w:tc>
          <w:tcPr/>
          <w:p>
            <w:pPr>
              <w:pStyle w:val="Compact"/>
            </w:pPr>
            <w:r>
              <w:t xml:space="preserve">Typical exclusions</w:t>
            </w:r>
          </w:p>
        </w:tc>
      </w:tr>
      <w:tr>
        <w:tc>
          <w:tcPr/>
          <w:p>
            <w:pPr>
              <w:pStyle w:val="Compact"/>
            </w:pPr>
            <w:r>
              <w:rPr>
                <w:rStyle w:val="VerbatimChar"/>
              </w:rPr>
              <w:t xml:space="preserve">encounter_account</w:t>
            </w:r>
          </w:p>
        </w:tc>
        <w:tc>
          <w:tcPr/>
          <w:p>
            <w:pPr>
              <w:pStyle w:val="Compact"/>
            </w:pPr>
            <w:r>
              <w:t xml:space="preserve">bounded alleged event; Australian event location; humanoid basis; traceable public source</w:t>
            </w:r>
          </w:p>
        </w:tc>
        <w:tc>
          <w:tcPr/>
          <w:p>
            <w:pPr>
              <w:pStyle w:val="Compact"/>
            </w:pPr>
            <w:r>
              <w:t xml:space="preserve">vague “something strange” reports; no humanoid basis</w:t>
            </w:r>
          </w:p>
        </w:tc>
      </w:tr>
      <w:tr>
        <w:tc>
          <w:tcPr/>
          <w:p>
            <w:pPr>
              <w:pStyle w:val="Compact"/>
            </w:pPr>
            <w:r>
              <w:rPr>
                <w:rStyle w:val="VerbatimChar"/>
              </w:rPr>
              <w:t xml:space="preserve">apparition_account</w:t>
            </w:r>
          </w:p>
        </w:tc>
        <w:tc>
          <w:tcPr/>
          <w:p>
            <w:pPr>
              <w:pStyle w:val="Compact"/>
            </w:pPr>
            <w:r>
              <w:t xml:space="preserve">human-like manifested figure; event or clearly narrated sighting; traceable public source</w:t>
            </w:r>
          </w:p>
        </w:tc>
        <w:tc>
          <w:tcPr/>
          <w:p>
            <w:pPr>
              <w:pStyle w:val="Compact"/>
            </w:pPr>
            <w:r>
              <w:t xml:space="preserve">noises only; generic “haunted” claims</w:t>
            </w:r>
          </w:p>
        </w:tc>
      </w:tr>
      <w:tr>
        <w:tc>
          <w:tcPr/>
          <w:p>
            <w:pPr>
              <w:pStyle w:val="Compact"/>
            </w:pPr>
            <w:r>
              <w:rPr>
                <w:rStyle w:val="VerbatimChar"/>
              </w:rPr>
              <w:t xml:space="preserve">ghost_legend</w:t>
            </w:r>
          </w:p>
        </w:tc>
        <w:tc>
          <w:tcPr/>
          <w:p>
            <w:pPr>
              <w:pStyle w:val="Compact"/>
            </w:pPr>
            <w:r>
              <w:t xml:space="preserve">repeating place-bound narrative of a human-like apparition; public circulation evidence</w:t>
            </w:r>
          </w:p>
        </w:tc>
        <w:tc>
          <w:tcPr/>
          <w:p>
            <w:pPr>
              <w:pStyle w:val="Compact"/>
            </w:pPr>
            <w:r>
              <w:t xml:space="preserve">buildings with atmosphere only; no manifested figure</w:t>
            </w:r>
          </w:p>
        </w:tc>
      </w:tr>
      <w:tr>
        <w:tc>
          <w:tcPr/>
          <w:p>
            <w:pPr>
              <w:pStyle w:val="Compact"/>
            </w:pPr>
            <w:r>
              <w:rPr>
                <w:rStyle w:val="VerbatimChar"/>
              </w:rPr>
              <w:t xml:space="preserve">rumour_account</w:t>
            </w:r>
          </w:p>
        </w:tc>
        <w:tc>
          <w:tcPr/>
          <w:p>
            <w:pPr>
              <w:pStyle w:val="Compact"/>
            </w:pPr>
            <w:r>
              <w:t xml:space="preserve">public attestation of circulation; identifiable place/community/period; substantive claim</w:t>
            </w:r>
          </w:p>
        </w:tc>
        <w:tc>
          <w:tcPr/>
          <w:p>
            <w:pPr>
              <w:pStyle w:val="Compact"/>
            </w:pPr>
            <w:r>
              <w:t xml:space="preserve">name-only mentions</w:t>
            </w:r>
          </w:p>
        </w:tc>
      </w:tr>
      <w:tr>
        <w:tc>
          <w:tcPr/>
          <w:p>
            <w:pPr>
              <w:pStyle w:val="Compact"/>
            </w:pPr>
            <w:r>
              <w:rPr>
                <w:rStyle w:val="VerbatimChar"/>
              </w:rPr>
              <w:t xml:space="preserve">local_legend</w:t>
            </w:r>
          </w:p>
        </w:tc>
        <w:tc>
          <w:tcPr/>
          <w:p>
            <w:pPr>
              <w:pStyle w:val="Compact"/>
            </w:pPr>
            <w:r>
              <w:t xml:space="preserve">stable story linked to Australian place and public circulation</w:t>
            </w:r>
          </w:p>
        </w:tc>
        <w:tc>
          <w:tcPr/>
          <w:p>
            <w:pPr>
              <w:pStyle w:val="Compact"/>
            </w:pPr>
            <w:r>
              <w:t xml:space="preserve">generic folklore listicles without narrative substance</w:t>
            </w:r>
          </w:p>
        </w:tc>
      </w:tr>
      <w:tr>
        <w:tc>
          <w:tcPr/>
          <w:p>
            <w:pPr>
              <w:pStyle w:val="Compact"/>
            </w:pPr>
            <w:r>
              <w:rPr>
                <w:rStyle w:val="VerbatimChar"/>
              </w:rPr>
              <w:t xml:space="preserve">traditional_narrative</w:t>
            </w:r>
          </w:p>
        </w:tc>
        <w:tc>
          <w:tcPr/>
          <w:p>
            <w:pPr>
              <w:pStyle w:val="Compact"/>
            </w:pPr>
            <w:r>
              <w:t xml:space="preserve">public, attributable source; substantive content or reliable institutional description; sensitivity review</w:t>
            </w:r>
          </w:p>
        </w:tc>
        <w:tc>
          <w:tcPr/>
          <w:p>
            <w:pPr>
              <w:pStyle w:val="Compact"/>
            </w:pPr>
            <w:r>
              <w:t xml:space="preserve">restricted, sacred, unpublished, or community-controlled material not cleared for public use</w:t>
            </w:r>
          </w:p>
        </w:tc>
      </w:tr>
      <w:tr>
        <w:tc>
          <w:tcPr/>
          <w:p>
            <w:pPr>
              <w:pStyle w:val="Compact"/>
            </w:pPr>
            <w:r>
              <w:rPr>
                <w:rStyle w:val="VerbatimChar"/>
              </w:rPr>
              <w:t xml:space="preserve">spirit_person_narrative</w:t>
            </w:r>
          </w:p>
        </w:tc>
        <w:tc>
          <w:tcPr/>
          <w:p>
            <w:pPr>
              <w:pStyle w:val="Compact"/>
            </w:pPr>
            <w:r>
              <w:t xml:space="preserve">source describes person-like spirit being in public record; Australian relation; sensitivity review</w:t>
            </w:r>
          </w:p>
        </w:tc>
        <w:tc>
          <w:tcPr/>
          <w:p>
            <w:pPr>
              <w:pStyle w:val="Compact"/>
            </w:pPr>
            <w:r>
              <w:t xml:space="preserve">recoding as “cryptid species”</w:t>
            </w:r>
          </w:p>
        </w:tc>
      </w:tr>
      <w:tr>
        <w:tc>
          <w:tcPr/>
          <w:p>
            <w:pPr>
              <w:pStyle w:val="Compact"/>
            </w:pPr>
            <w:r>
              <w:rPr>
                <w:rStyle w:val="VerbatimChar"/>
              </w:rPr>
              <w:t xml:space="preserve">retelling_or_adaptation</w:t>
            </w:r>
          </w:p>
        </w:tc>
        <w:tc>
          <w:tcPr/>
          <w:p>
            <w:pPr>
              <w:pStyle w:val="Compact"/>
            </w:pPr>
            <w:r>
              <w:t xml:space="preserve">materially altered plot, label, location, meaning, or framing</w:t>
            </w:r>
          </w:p>
        </w:tc>
        <w:tc>
          <w:tcPr/>
          <w:p>
            <w:pPr>
              <w:pStyle w:val="Compact"/>
            </w:pPr>
            <w:r>
              <w:t xml:space="preserve">minor paraphrases or duplicate reprints only</w:t>
            </w:r>
          </w:p>
        </w:tc>
      </w:tr>
    </w:tbl>
    <w:p>
      <w:pPr>
        <w:pStyle w:val="BodyText"/>
      </w:pPr>
      <w:r>
        <w:t xml:space="preserve">This is the key operational shift:</w:t>
      </w:r>
      <w:r>
        <w:t xml:space="preserve"> </w:t>
      </w:r>
      <w:r>
        <w:rPr>
          <w:b/>
          <w:bCs/>
        </w:rPr>
        <w:t xml:space="preserve">no single encounter gate should govern all materials</w:t>
      </w:r>
      <w:r>
        <w:t xml:space="preserve">. The archive needs distinct gates because event specificity, circulation evidence, and cultural sensitivity behave differently across encounters, legends, rumours, and traditional narratives. AIATSIS and ATSILIRN both support that differentiated approach by stressing fit-for-context ethics, consultation, and appropriate classification.</w:t>
      </w:r>
      <w:r>
        <w:t xml:space="preserve"> </w:t>
      </w:r>
      <w:hyperlink r:id="rId21">
        <w:r>
          <w:rPr>
            <w:rStyle w:val="Hyperlink"/>
          </w:rPr>
          <w:t xml:space="preserve">[2]</w:t>
        </w:r>
      </w:hyperlink>
    </w:p>
    <w:bookmarkEnd w:id="36"/>
    <w:bookmarkStart w:id="37" w:name="humanoid-boundary"/>
    <w:p>
      <w:pPr>
        <w:pStyle w:val="Heading3"/>
      </w:pPr>
      <w:r>
        <w:t xml:space="preserve">Humanoid boundary</w:t>
      </w:r>
    </w:p>
    <w:p>
      <w:pPr>
        <w:pStyle w:val="FirstParagraph"/>
      </w:pPr>
      <w:r>
        <w:t xml:space="preserve">The prior strict morphology gate should be replaced by a</w:t>
      </w:r>
      <w:r>
        <w:t xml:space="preserve"> </w:t>
      </w:r>
      <w:r>
        <w:rPr>
          <w:b/>
          <w:bCs/>
        </w:rPr>
        <w:t xml:space="preserve">typed humanoid basis</w:t>
      </w:r>
      <w:r>
        <w:t xml:space="preserve"> </w:t>
      </w:r>
      <w:r>
        <w:t xml:space="preserve">field.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humanoid_basis</w:t>
            </w:r>
            <w:r>
              <w:t xml:space="preserve"> </w:t>
            </w:r>
            <w:r>
              <w:t xml:space="preserve">value</w:t>
            </w:r>
          </w:p>
        </w:tc>
        <w:tc>
          <w:tcPr/>
          <w:p>
            <w:pPr>
              <w:pStyle w:val="Compact"/>
            </w:pPr>
            <w:r>
              <w:t xml:space="preserve">Encounter corpus</w:t>
            </w:r>
          </w:p>
        </w:tc>
        <w:tc>
          <w:tcPr/>
          <w:p>
            <w:pPr>
              <w:pStyle w:val="Compact"/>
            </w:pPr>
            <w:r>
              <w:t xml:space="preserve">Ghost corpus</w:t>
            </w:r>
          </w:p>
        </w:tc>
        <w:tc>
          <w:tcPr/>
          <w:p>
            <w:pPr>
              <w:pStyle w:val="Compact"/>
            </w:pPr>
            <w:r>
              <w:t xml:space="preserve">Traditional corpus</w:t>
            </w:r>
          </w:p>
        </w:tc>
        <w:tc>
          <w:tcPr/>
          <w:p>
            <w:pPr>
              <w:pStyle w:val="Compact"/>
            </w:pPr>
            <w:r>
              <w:t xml:space="preserve">Context only / exclude</w:t>
            </w:r>
          </w:p>
        </w:tc>
      </w:tr>
      <w:tr>
        <w:tc>
          <w:tcPr/>
          <w:p>
            <w:pPr>
              <w:pStyle w:val="Compact"/>
            </w:pPr>
            <w:r>
              <w:rPr>
                <w:rStyle w:val="VerbatimChar"/>
              </w:rPr>
              <w:t xml:space="preserve">explicit_human_body_plan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upright_bipedal</w:t>
            </w:r>
          </w:p>
        </w:tc>
        <w:tc>
          <w:tcPr/>
          <w:p>
            <w:pPr>
              <w:pStyle w:val="Compact"/>
            </w:pPr>
            <w:r>
              <w:t xml:space="preserve">Yes, if paired with person-like description</w:t>
            </w:r>
          </w:p>
        </w:tc>
        <w:tc>
          <w:tcPr/>
          <w:p>
            <w:pPr>
              <w:pStyle w:val="Compact"/>
            </w:pPr>
            <w:r>
              <w:t xml:space="preserve">Sometimes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human_sized_or_giant_human_form</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hairy_human_like</w:t>
            </w:r>
          </w:p>
        </w:tc>
        <w:tc>
          <w:tcPr/>
          <w:p>
            <w:pPr>
              <w:pStyle w:val="Compact"/>
            </w:pPr>
            <w:r>
              <w:t xml:space="preserve">Yes</w:t>
            </w:r>
          </w:p>
        </w:tc>
        <w:tc>
          <w:tcPr/>
          <w:p>
            <w:pPr>
              <w:pStyle w:val="Compact"/>
            </w:pPr>
            <w:r>
              <w:t xml:space="preserve">Rare</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human_shaped_apparition</w:t>
            </w:r>
          </w:p>
        </w:tc>
        <w:tc>
          <w:tcPr/>
          <w:p>
            <w:pPr>
              <w:pStyle w:val="Compact"/>
            </w:pPr>
            <w:r>
              <w:t xml:space="preserve">No encounter subtype unless bounded</w:t>
            </w:r>
          </w:p>
        </w:tc>
        <w:tc>
          <w:tcPr/>
          <w:p>
            <w:pPr>
              <w:pStyle w:val="Compact"/>
            </w:pPr>
            <w:r>
              <w:rPr>
                <w:b/>
                <w:bCs/>
              </w:rPr>
              <w:t xml:space="preserve">Yes</w:t>
            </w:r>
          </w:p>
        </w:tc>
        <w:tc>
          <w:tcPr/>
          <w:p>
            <w:pPr>
              <w:pStyle w:val="Compact"/>
            </w:pPr>
            <w:r>
              <w:t xml:space="preserve">Sometimes</w:t>
            </w:r>
          </w:p>
        </w:tc>
        <w:tc>
          <w:tcPr/>
          <w:p>
            <w:pPr>
              <w:pStyle w:val="Compact"/>
            </w:pPr>
            <w:r>
              <w:t xml:space="preserve">—</w:t>
            </w:r>
          </w:p>
        </w:tc>
      </w:tr>
      <w:tr>
        <w:tc>
          <w:tcPr/>
          <w:p>
            <w:pPr>
              <w:pStyle w:val="Compact"/>
            </w:pPr>
            <w:r>
              <w:rPr>
                <w:rStyle w:val="VerbatimChar"/>
              </w:rPr>
              <w:t xml:space="preserve">spirit_person_public_description</w:t>
            </w:r>
          </w:p>
        </w:tc>
        <w:tc>
          <w:tcPr/>
          <w:p>
            <w:pPr>
              <w:pStyle w:val="Compact"/>
            </w:pPr>
            <w:r>
              <w:t xml:space="preserve">Usually not encounter-first</w:t>
            </w:r>
          </w:p>
        </w:tc>
        <w:tc>
          <w:tcPr/>
          <w:p>
            <w:pPr>
              <w:pStyle w:val="Compact"/>
            </w:pPr>
            <w:r>
              <w:t xml:space="preserve">Sometimes</w:t>
            </w:r>
          </w:p>
        </w:tc>
        <w:tc>
          <w:tcPr/>
          <w:p>
            <w:pPr>
              <w:pStyle w:val="Compact"/>
            </w:pPr>
            <w:r>
              <w:rPr>
                <w:b/>
                <w:bCs/>
              </w:rPr>
              <w:t xml:space="preserve">Yes</w:t>
            </w:r>
          </w:p>
        </w:tc>
        <w:tc>
          <w:tcPr/>
          <w:p>
            <w:pPr>
              <w:pStyle w:val="Compact"/>
            </w:pPr>
            <w:r>
              <w:t xml:space="preserve">—</w:t>
            </w:r>
          </w:p>
        </w:tc>
      </w:tr>
      <w:tr>
        <w:tc>
          <w:tcPr/>
          <w:p>
            <w:pPr>
              <w:pStyle w:val="Compact"/>
            </w:pPr>
            <w:r>
              <w:rPr>
                <w:rStyle w:val="VerbatimChar"/>
              </w:rPr>
              <w:t xml:space="preserve">source_calls_it_man_woman_person</w:t>
            </w:r>
          </w:p>
        </w:tc>
        <w:tc>
          <w:tcPr/>
          <w:p>
            <w:pPr>
              <w:pStyle w:val="Compact"/>
            </w:pPr>
            <w:r>
              <w:t xml:space="preserve">Yes, when context supports it</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shape_shifting_with_humanoid_form</w:t>
            </w:r>
          </w:p>
        </w:tc>
        <w:tc>
          <w:tcPr/>
          <w:p>
            <w:pPr>
              <w:pStyle w:val="Compact"/>
            </w:pPr>
            <w:r>
              <w:t xml:space="preserve">Yes, if humanoid form is textually attested</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anthropomorphic_visual_representation</w:t>
            </w:r>
          </w:p>
        </w:tc>
        <w:tc>
          <w:tcPr/>
          <w:p>
            <w:pPr>
              <w:pStyle w:val="Compact"/>
            </w:pPr>
            <w:r>
              <w:t xml:space="preserve">No by itself</w:t>
            </w:r>
          </w:p>
        </w:tc>
        <w:tc>
          <w:tcPr/>
          <w:p>
            <w:pPr>
              <w:pStyle w:val="Compact"/>
            </w:pPr>
            <w:r>
              <w:t xml:space="preserve">No by itself</w:t>
            </w:r>
          </w:p>
        </w:tc>
        <w:tc>
          <w:tcPr/>
          <w:p>
            <w:pPr>
              <w:pStyle w:val="Compact"/>
            </w:pPr>
            <w:r>
              <w:t xml:space="preserve">No by itself</w:t>
            </w:r>
          </w:p>
        </w:tc>
        <w:tc>
          <w:tcPr/>
          <w:p>
            <w:pPr>
              <w:pStyle w:val="Compact"/>
            </w:pPr>
            <w:r>
              <w:t xml:space="preserve">Context unless text supports narrative role</w:t>
            </w:r>
          </w:p>
        </w:tc>
      </w:tr>
      <w:tr>
        <w:tc>
          <w:tcPr/>
          <w:p>
            <w:pPr>
              <w:pStyle w:val="Compact"/>
            </w:pPr>
            <w:r>
              <w:rPr>
                <w:rStyle w:val="VerbatimChar"/>
              </w:rPr>
              <w:t xml:space="preserve">humanoid_adjacent</w:t>
            </w:r>
          </w:p>
        </w:tc>
        <w:tc>
          <w:tcPr/>
          <w:p>
            <w:pPr>
              <w:pStyle w:val="Compact"/>
            </w:pPr>
            <w:r>
              <w:t xml:space="preserve">Usually no</w:t>
            </w:r>
          </w:p>
        </w:tc>
        <w:tc>
          <w:tcPr/>
          <w:p>
            <w:pPr>
              <w:pStyle w:val="Compact"/>
            </w:pPr>
            <w:r>
              <w:t xml:space="preserve">Sometimes</w:t>
            </w:r>
          </w:p>
        </w:tc>
        <w:tc>
          <w:tcPr/>
          <w:p>
            <w:pPr>
              <w:pStyle w:val="Compact"/>
            </w:pPr>
            <w:r>
              <w:t xml:space="preserve">Maybe</w:t>
            </w:r>
          </w:p>
        </w:tc>
        <w:tc>
          <w:tcPr/>
          <w:p>
            <w:pPr>
              <w:pStyle w:val="Compact"/>
            </w:pPr>
            <w:r>
              <w:t xml:space="preserve">Often context/lead</w:t>
            </w:r>
          </w:p>
        </w:tc>
      </w:tr>
      <w:tr>
        <w:tc>
          <w:tcPr/>
          <w:p>
            <w:pPr>
              <w:pStyle w:val="Compact"/>
            </w:pPr>
            <w:r>
              <w:rPr>
                <w:rStyle w:val="VerbatimChar"/>
              </w:rPr>
              <w:t xml:space="preserve">ambiguous</w:t>
            </w:r>
          </w:p>
        </w:tc>
        <w:tc>
          <w:tcPr/>
          <w:p>
            <w:pPr>
              <w:pStyle w:val="Compact"/>
            </w:pPr>
            <w:r>
              <w:t xml:space="preserve">No core encounter</w:t>
            </w:r>
          </w:p>
        </w:tc>
        <w:tc>
          <w:tcPr/>
          <w:p>
            <w:pPr>
              <w:pStyle w:val="Compact"/>
            </w:pPr>
            <w:r>
              <w:t xml:space="preserve">Rare</w:t>
            </w:r>
          </w:p>
        </w:tc>
        <w:tc>
          <w:tcPr/>
          <w:p>
            <w:pPr>
              <w:pStyle w:val="Compact"/>
            </w:pPr>
            <w:r>
              <w:t xml:space="preserve">Lead or context</w:t>
            </w:r>
          </w:p>
        </w:tc>
        <w:tc>
          <w:tcPr/>
          <w:p>
            <w:pPr>
              <w:pStyle w:val="Compact"/>
            </w:pPr>
            <w:r>
              <w:t xml:space="preserve">Often lead</w:t>
            </w:r>
          </w:p>
        </w:tc>
      </w:tr>
      <w:tr>
        <w:tc>
          <w:tcPr/>
          <w:p>
            <w:pPr>
              <w:pStyle w:val="Compact"/>
            </w:pPr>
            <w:r>
              <w:rPr>
                <w:rStyle w:val="VerbatimChar"/>
              </w:rPr>
              <w:t xml:space="preserve">non_humanoid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Exclude or control</w:t>
            </w:r>
          </w:p>
        </w:tc>
      </w:tr>
    </w:tbl>
    <w:p>
      <w:pPr>
        <w:pStyle w:val="BodyText"/>
      </w:pPr>
      <w:r>
        <w:t xml:space="preserve">This broader criterion lets the archive include human-shaped apparitions and person-like spirit narratives without letting every anthropomorphic image or any vaguely uncanny being into the corpus. That distinction is methodologically necessary and ethically safer. ATSILIRN’s guidance on description/classification is especially relevant here.</w:t>
      </w:r>
      <w:r>
        <w:t xml:space="preserve"> </w:t>
      </w:r>
      <w:hyperlink r:id="rId27">
        <w:r>
          <w:rPr>
            <w:rStyle w:val="Hyperlink"/>
          </w:rPr>
          <w:t xml:space="preserve">[6]</w:t>
        </w:r>
      </w:hyperlink>
    </w:p>
    <w:bookmarkEnd w:id="37"/>
    <w:bookmarkStart w:id="39" w:name="australian-relationship-boundary"/>
    <w:p>
      <w:pPr>
        <w:pStyle w:val="Heading3"/>
      </w:pPr>
      <w:r>
        <w:t xml:space="preserve">Australian relationship boundary</w:t>
      </w:r>
    </w:p>
    <w:p>
      <w:pPr>
        <w:pStyle w:val="FirstParagraph"/>
      </w:pPr>
      <w:r>
        <w:t xml:space="preserve">The archive should add an</w:t>
      </w:r>
      <w:r>
        <w:t xml:space="preserve"> </w:t>
      </w:r>
      <w:r>
        <w:rPr>
          <w:rStyle w:val="VerbatimChar"/>
        </w:rPr>
        <w:t xml:space="preserve">australia_relation</w:t>
      </w:r>
      <w:r>
        <w:t xml:space="preserve"> </w:t>
      </w:r>
      <w:r>
        <w:t xml:space="preserve">field with explicit role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Primary corpus?</w:t>
            </w:r>
          </w:p>
        </w:tc>
        <w:tc>
          <w:tcPr/>
          <w:p>
            <w:pPr>
              <w:pStyle w:val="Compact"/>
            </w:pPr>
            <w:r>
              <w:t xml:space="preserve">Meaning</w:t>
            </w:r>
          </w:p>
        </w:tc>
      </w:tr>
      <w:tr>
        <w:tc>
          <w:tcPr/>
          <w:p>
            <w:pPr>
              <w:pStyle w:val="Compact"/>
            </w:pPr>
            <w:r>
              <w:rPr>
                <w:rStyle w:val="VerbatimChar"/>
              </w:rPr>
              <w:t xml:space="preserve">event_occurred_in_australia</w:t>
            </w:r>
          </w:p>
        </w:tc>
        <w:tc>
          <w:tcPr/>
          <w:p>
            <w:pPr>
              <w:pStyle w:val="Compact"/>
            </w:pPr>
            <w:r>
              <w:t xml:space="preserve">Yes</w:t>
            </w:r>
          </w:p>
        </w:tc>
        <w:tc>
          <w:tcPr/>
          <w:p>
            <w:pPr>
              <w:pStyle w:val="Compact"/>
            </w:pPr>
            <w:r>
              <w:t xml:space="preserve">Alleged event took place in Australia</w:t>
            </w:r>
          </w:p>
        </w:tc>
      </w:tr>
      <w:tr>
        <w:tc>
          <w:tcPr/>
          <w:p>
            <w:pPr>
              <w:pStyle w:val="Compact"/>
            </w:pPr>
            <w:r>
              <w:rPr>
                <w:rStyle w:val="VerbatimChar"/>
              </w:rPr>
              <w:t xml:space="preserve">narrative_set_in_australia</w:t>
            </w:r>
          </w:p>
        </w:tc>
        <w:tc>
          <w:tcPr/>
          <w:p>
            <w:pPr>
              <w:pStyle w:val="Compact"/>
            </w:pPr>
            <w:r>
              <w:t xml:space="preserve">Yes</w:t>
            </w:r>
          </w:p>
        </w:tc>
        <w:tc>
          <w:tcPr/>
          <w:p>
            <w:pPr>
              <w:pStyle w:val="Compact"/>
            </w:pPr>
            <w:r>
              <w:t xml:space="preserve">Narrative setting is Australian</w:t>
            </w:r>
          </w:p>
        </w:tc>
      </w:tr>
      <w:tr>
        <w:tc>
          <w:tcPr/>
          <w:p>
            <w:pPr>
              <w:pStyle w:val="Compact"/>
            </w:pPr>
            <w:r>
              <w:rPr>
                <w:rStyle w:val="VerbatimChar"/>
              </w:rPr>
              <w:t xml:space="preserve">tradition_associated_with_australian_place_or_community</w:t>
            </w:r>
          </w:p>
        </w:tc>
        <w:tc>
          <w:tcPr/>
          <w:p>
            <w:pPr>
              <w:pStyle w:val="Compact"/>
            </w:pPr>
            <w:r>
              <w:t xml:space="preserve">Yes</w:t>
            </w:r>
          </w:p>
        </w:tc>
        <w:tc>
          <w:tcPr/>
          <w:p>
            <w:pPr>
              <w:pStyle w:val="Compact"/>
            </w:pPr>
            <w:r>
              <w:t xml:space="preserve">Traditional/public narrative is tied to Australian Country, community, or region</w:t>
            </w:r>
          </w:p>
        </w:tc>
      </w:tr>
      <w:tr>
        <w:tc>
          <w:tcPr/>
          <w:p>
            <w:pPr>
              <w:pStyle w:val="Compact"/>
            </w:pPr>
            <w:r>
              <w:rPr>
                <w:rStyle w:val="VerbatimChar"/>
              </w:rPr>
              <w:t xml:space="preserve">first_public_attestation_in_australia</w:t>
            </w:r>
          </w:p>
        </w:tc>
        <w:tc>
          <w:tcPr/>
          <w:p>
            <w:pPr>
              <w:pStyle w:val="Compact"/>
            </w:pPr>
            <w:r>
              <w:t xml:space="preserve">Sometimes</w:t>
            </w:r>
          </w:p>
        </w:tc>
        <w:tc>
          <w:tcPr/>
          <w:p>
            <w:pPr>
              <w:pStyle w:val="Compact"/>
            </w:pPr>
            <w:r>
              <w:t xml:space="preserve">First public source published in Australia</w:t>
            </w:r>
          </w:p>
        </w:tc>
      </w:tr>
      <w:tr>
        <w:tc>
          <w:tcPr/>
          <w:p>
            <w:pPr>
              <w:pStyle w:val="Compact"/>
            </w:pPr>
            <w:r>
              <w:rPr>
                <w:rStyle w:val="VerbatimChar"/>
              </w:rPr>
              <w:t xml:space="preserve">circulated_in_australian_public_discourse</w:t>
            </w:r>
          </w:p>
        </w:tc>
        <w:tc>
          <w:tcPr/>
          <w:p>
            <w:pPr>
              <w:pStyle w:val="Compact"/>
            </w:pPr>
            <w:r>
              <w:t xml:space="preserve">Sometimes</w:t>
            </w:r>
          </w:p>
        </w:tc>
        <w:tc>
          <w:tcPr/>
          <w:p>
            <w:pPr>
              <w:pStyle w:val="Compact"/>
            </w:pPr>
            <w:r>
              <w:t xml:space="preserve">Reception history within Australian public culture</w:t>
            </w:r>
          </w:p>
        </w:tc>
      </w:tr>
      <w:tr>
        <w:tc>
          <w:tcPr/>
          <w:p>
            <w:pPr>
              <w:pStyle w:val="Compact"/>
            </w:pPr>
            <w:r>
              <w:rPr>
                <w:rStyle w:val="VerbatimChar"/>
              </w:rPr>
              <w:t xml:space="preserve">collected_by_australian_institution</w:t>
            </w:r>
          </w:p>
        </w:tc>
        <w:tc>
          <w:tcPr/>
          <w:p>
            <w:pPr>
              <w:pStyle w:val="Compact"/>
            </w:pPr>
            <w:r>
              <w:t xml:space="preserve">Secondary by default</w:t>
            </w:r>
          </w:p>
        </w:tc>
        <w:tc>
          <w:tcPr/>
          <w:p>
            <w:pPr>
              <w:pStyle w:val="Compact"/>
            </w:pPr>
            <w:r>
              <w:t xml:space="preserve">Institutional custody alone is not enough</w:t>
            </w:r>
          </w:p>
        </w:tc>
      </w:tr>
      <w:tr>
        <w:tc>
          <w:tcPr/>
          <w:p>
            <w:pPr>
              <w:pStyle w:val="Compact"/>
            </w:pPr>
            <w:r>
              <w:rPr>
                <w:rStyle w:val="VerbatimChar"/>
              </w:rPr>
              <w:t xml:space="preserve">imported_story_published_in_australia</w:t>
            </w:r>
          </w:p>
        </w:tc>
        <w:tc>
          <w:tcPr/>
          <w:p>
            <w:pPr>
              <w:pStyle w:val="Compact"/>
            </w:pPr>
            <w:r>
              <w:t xml:space="preserve">Usually context only</w:t>
            </w:r>
          </w:p>
        </w:tc>
        <w:tc>
          <w:tcPr/>
          <w:p>
            <w:pPr>
              <w:pStyle w:val="Compact"/>
            </w:pPr>
            <w:r>
              <w:t xml:space="preserve">Australian reception, not Australian-origin corpus</w:t>
            </w:r>
          </w:p>
        </w:tc>
      </w:tr>
      <w:tr>
        <w:tc>
          <w:tcPr/>
          <w:p>
            <w:pPr>
              <w:pStyle w:val="Compact"/>
            </w:pPr>
            <w:r>
              <w:rPr>
                <w:rStyle w:val="VerbatimChar"/>
              </w:rPr>
              <w:t xml:space="preserve">uncertain</w:t>
            </w:r>
          </w:p>
        </w:tc>
        <w:tc>
          <w:tcPr/>
          <w:p>
            <w:pPr>
              <w:pStyle w:val="Compact"/>
            </w:pPr>
            <w:r>
              <w:t xml:space="preserve">Lead only</w:t>
            </w:r>
          </w:p>
        </w:tc>
        <w:tc>
          <w:tcPr/>
          <w:p>
            <w:pPr>
              <w:pStyle w:val="Compact"/>
            </w:pPr>
            <w:r>
              <w:t xml:space="preserve">Relationship unresolved</w:t>
            </w:r>
          </w:p>
        </w:tc>
      </w:tr>
    </w:tbl>
    <w:p>
      <w:pPr>
        <w:pStyle w:val="BodyText"/>
      </w:pPr>
      <w:r>
        <w:t xml:space="preserve">That means, for example, a New Zealand event reprinted in Sydney stays out of the Australian encounter core; a Campbelltown ghost legend stays in because its setting, circulation, and local festival life are Australian; and a traditional narrative tied to Australian Country may qualify even without an “event date.” Public examples such as Fisher’s Ghost and community-controlled Wandjina materials show why those different relationships must be separated rather than collapsed.</w:t>
      </w:r>
      <w:r>
        <w:t xml:space="preserve"> </w:t>
      </w:r>
      <w:hyperlink r:id="rId38">
        <w:r>
          <w:rPr>
            <w:rStyle w:val="Hyperlink"/>
          </w:rPr>
          <w:t xml:space="preserve">[7]</w:t>
        </w:r>
      </w:hyperlink>
    </w:p>
    <w:bookmarkEnd w:id="39"/>
    <w:bookmarkStart w:id="41" w:name="X0cb24b5b5828c77909273e684191d4b2c6bc14d"/>
    <w:p>
      <w:pPr>
        <w:pStyle w:val="Heading3"/>
      </w:pPr>
      <w:r>
        <w:t xml:space="preserve">Ghost, rumour, traditional, and retelling boundaries</w:t>
      </w:r>
    </w:p>
    <w:p>
      <w:pPr>
        <w:pStyle w:val="FirstParagraph"/>
      </w:pPr>
      <w:r>
        <w:rPr>
          <w:b/>
          <w:bCs/>
        </w:rPr>
        <w:t xml:space="preserve">Ghosts and apparitions should be in scope</w:t>
      </w:r>
      <w:r>
        <w:t xml:space="preserve"> </w:t>
      </w:r>
      <w:r>
        <w:t xml:space="preserve">when they involve a human-like manifested figure and the record captures either a bounded sighting or a stable circulating legend. Ghost narratives clearly are not mere “context”: Fisher’s Ghost is a long-running place-linked public legend with major local festival afterlife, and Poinciana Woman is a circulating Darwin urban legend with multiple variants and later media retellings. Those are exactly the kinds of narrative objects this project says it wants to capture.</w:t>
      </w:r>
      <w:r>
        <w:t xml:space="preserve"> </w:t>
      </w:r>
      <w:hyperlink r:id="rId40">
        <w:r>
          <w:rPr>
            <w:rStyle w:val="Hyperlink"/>
          </w:rPr>
          <w:t xml:space="preserve">[8]</w:t>
        </w:r>
      </w:hyperlink>
    </w:p>
    <w:p>
      <w:pPr>
        <w:pStyle w:val="BodyText"/>
      </w:pPr>
      <w:r>
        <w:rPr>
          <w:b/>
          <w:bCs/>
        </w:rPr>
        <w:t xml:space="preserve">Local rumours should be first-class research objects</w:t>
      </w:r>
      <w:r>
        <w:t xml:space="preserve"> </w:t>
      </w:r>
      <w:r>
        <w:t xml:space="preserve">when they have public attestation, identifiable place/community association, substantive content, and some evidence of circulation. A rumour is not required to have a verifiable encounter date; what matters is attested public circulation and narrative substance. fileciteturn0file0</w:t>
      </w:r>
    </w:p>
    <w:p>
      <w:pPr>
        <w:pStyle w:val="BodyText"/>
      </w:pPr>
      <w:r>
        <w:rPr>
          <w:b/>
          <w:bCs/>
        </w:rPr>
        <w:t xml:space="preserve">Traditional and spirit-person narratives should also be first-class research objects</w:t>
      </w:r>
      <w:r>
        <w:t xml:space="preserve">, but only with stronger ethics controls. AIATSIS recognises Indigenous peoples’ right to be fully engaged in processes that affect them and their right to control and maintain their culture and heritage; ATSILIRN requires consultation, appropriate description, attention to cultural and intellectual property, and distinct handling for secret/sacred materials. Public community-controlled pages such as Dambimangari’s Wandjina material reinforce that cultural materials may be public while still requiring warnings, protocols, and respectful framing.</w:t>
      </w:r>
      <w:r>
        <w:t xml:space="preserve"> </w:t>
      </w:r>
      <w:hyperlink r:id="rId21">
        <w:r>
          <w:rPr>
            <w:rStyle w:val="Hyperlink"/>
          </w:rPr>
          <w:t xml:space="preserve">[4]</w:t>
        </w:r>
      </w:hyperlink>
    </w:p>
    <w:p>
      <w:pPr>
        <w:pStyle w:val="BodyText"/>
      </w:pPr>
      <w:r>
        <w:rPr>
          <w:b/>
          <w:bCs/>
        </w:rPr>
        <w:t xml:space="preserve">Retellings and adaptations belong in scope</w:t>
      </w:r>
      <w:r>
        <w:t xml:space="preserve"> </w:t>
      </w:r>
      <w:r>
        <w:t xml:space="preserve">when they materially alter plot, moral logic, naming, place, genre, or ontological framing. Fisher’s Ghost moving from local legend to poem, film, festival, and later public-memory discourse is precisely the kind of derivative chain this archive should be able to model, not flatten.</w:t>
      </w:r>
      <w:r>
        <w:t xml:space="preserve"> </w:t>
      </w:r>
      <w:hyperlink r:id="rId40">
        <w:r>
          <w:rPr>
            <w:rStyle w:val="Hyperlink"/>
          </w:rPr>
          <w:t xml:space="preserve">[9]</w:t>
        </w:r>
      </w:hyperlink>
    </w:p>
    <w:bookmarkEnd w:id="41"/>
    <w:bookmarkEnd w:id="42"/>
    <w:bookmarkStart w:id="50" w:name="figure-audit-and-corpus-implications"/>
    <w:p>
      <w:pPr>
        <w:pStyle w:val="Heading2"/>
      </w:pPr>
      <w:r>
        <w:t xml:space="preserve">Figure audit and corpus implications</w:t>
      </w:r>
    </w:p>
    <w:bookmarkStart w:id="43" w:name="X5aaee1254c2fc0a6b84f83db6287fc8aa6dd8c7"/>
    <w:p>
      <w:pPr>
        <w:pStyle w:val="Heading3"/>
      </w:pPr>
      <w:r>
        <w:t xml:space="preserve">Direct answers on stories, rumours, ghosts, and mythology</w:t>
      </w:r>
    </w:p>
    <w:p>
      <w:pPr>
        <w:pStyle w:val="FirstParagraph"/>
      </w:pPr>
      <w:r>
        <w:t xml:space="preserve">The brief asked for direct answers. Here they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Should local supernatural rumours be first-class objects?</w:t>
            </w:r>
          </w:p>
        </w:tc>
        <w:tc>
          <w:tcPr/>
          <w:p>
            <w:pPr>
              <w:pStyle w:val="Compact"/>
            </w:pPr>
            <w:r>
              <w:rPr>
                <w:b/>
                <w:bCs/>
              </w:rPr>
              <w:t xml:space="preserve">Yes</w:t>
            </w:r>
          </w:p>
        </w:tc>
      </w:tr>
      <w:tr>
        <w:tc>
          <w:tcPr/>
          <w:p>
            <w:pPr>
              <w:pStyle w:val="Compact"/>
            </w:pPr>
            <w:r>
              <w:t xml:space="preserve">Should place legends be first-class objects?</w:t>
            </w:r>
          </w:p>
        </w:tc>
        <w:tc>
          <w:tcPr/>
          <w:p>
            <w:pPr>
              <w:pStyle w:val="Compact"/>
            </w:pPr>
            <w:r>
              <w:rPr>
                <w:b/>
                <w:bCs/>
              </w:rPr>
              <w:t xml:space="preserve">Yes</w:t>
            </w:r>
          </w:p>
        </w:tc>
      </w:tr>
      <w:tr>
        <w:tc>
          <w:tcPr/>
          <w:p>
            <w:pPr>
              <w:pStyle w:val="Compact"/>
            </w:pPr>
            <w:r>
              <w:t xml:space="preserve">Should publicly published ghost narratives be first-class objects?</w:t>
            </w:r>
          </w:p>
        </w:tc>
        <w:tc>
          <w:tcPr/>
          <w:p>
            <w:pPr>
              <w:pStyle w:val="Compact"/>
            </w:pPr>
            <w:r>
              <w:rPr>
                <w:b/>
                <w:bCs/>
              </w:rPr>
              <w:t xml:space="preserve">Yes, if humanoid-manifested and traceable</w:t>
            </w:r>
          </w:p>
        </w:tc>
      </w:tr>
      <w:tr>
        <w:tc>
          <w:tcPr/>
          <w:p>
            <w:pPr>
              <w:pStyle w:val="Compact"/>
            </w:pPr>
            <w:r>
              <w:t xml:space="preserve">Should traditional and mythic narratives be first-class objects?</w:t>
            </w:r>
          </w:p>
        </w:tc>
        <w:tc>
          <w:tcPr/>
          <w:p>
            <w:pPr>
              <w:pStyle w:val="Compact"/>
            </w:pPr>
            <w:r>
              <w:rPr>
                <w:b/>
                <w:bCs/>
              </w:rPr>
              <w:t xml:space="preserve">Yes, with stronger ethics controls</w:t>
            </w:r>
          </w:p>
        </w:tc>
      </w:tr>
      <w:tr>
        <w:tc>
          <w:tcPr/>
          <w:p>
            <w:pPr>
              <w:pStyle w:val="Compact"/>
            </w:pPr>
            <w:r>
              <w:t xml:space="preserve">What should remain secondary?</w:t>
            </w:r>
          </w:p>
        </w:tc>
        <w:tc>
          <w:tcPr/>
          <w:p>
            <w:pPr>
              <w:pStyle w:val="Compact"/>
            </w:pPr>
            <w:r>
              <w:t xml:space="preserve">heritage/tourism/media/scholarly discourse, catalogue metadata, source pointers</w:t>
            </w:r>
          </w:p>
        </w:tc>
      </w:tr>
      <w:tr>
        <w:tc>
          <w:tcPr/>
          <w:p>
            <w:pPr>
              <w:pStyle w:val="Compact"/>
            </w:pPr>
            <w:r>
              <w:t xml:space="preserve">What should be excluded?</w:t>
            </w:r>
          </w:p>
        </w:tc>
        <w:tc>
          <w:tcPr/>
          <w:p>
            <w:pPr>
              <w:pStyle w:val="Compact"/>
            </w:pPr>
            <w:r>
              <w:t xml:space="preserve">non-humanoid phenomena, fiction presented only as fiction, generic hauntings without humanoid figure, restricted material, joke entries except as controls</w:t>
            </w:r>
          </w:p>
        </w:tc>
      </w:tr>
      <w:tr>
        <w:tc>
          <w:tcPr/>
          <w:p>
            <w:pPr>
              <w:pStyle w:val="Compact"/>
            </w:pPr>
            <w:r>
              <w:t xml:space="preserve">Can they coexist in one V1?</w:t>
            </w:r>
          </w:p>
        </w:tc>
        <w:tc>
          <w:tcPr/>
          <w:p>
            <w:pPr>
              <w:pStyle w:val="Compact"/>
            </w:pPr>
            <w:r>
              <w:rPr>
                <w:b/>
                <w:bCs/>
              </w:rPr>
              <w:t xml:space="preserve">Yes, if clearly typed</w:t>
            </w:r>
          </w:p>
        </w:tc>
      </w:tr>
      <w:tr>
        <w:tc>
          <w:tcPr/>
          <w:p>
            <w:pPr>
              <w:pStyle w:val="Compact"/>
            </w:pPr>
            <w:r>
              <w:t xml:space="preserve">What comparisons are invalid?</w:t>
            </w:r>
          </w:p>
        </w:tc>
        <w:tc>
          <w:tcPr/>
          <w:p>
            <w:pPr>
              <w:pStyle w:val="Compact"/>
            </w:pPr>
            <w:r>
              <w:t xml:space="preserve">Comparing encounter precision against traditional narratives as if they were the same data type; treating label frequency as entity population</w:t>
            </w:r>
          </w:p>
        </w:tc>
      </w:tr>
    </w:tbl>
    <w:p>
      <w:pPr>
        <w:pStyle w:val="BodyText"/>
      </w:pPr>
      <w:r>
        <w:t xml:space="preserve">These answers follow directly from the project brief and from the need to respect differentiated record logic and cultural sensitivity. fileciteturn0file0</w:t>
      </w:r>
      <w:r>
        <w:t xml:space="preserve"> </w:t>
      </w:r>
      <w:hyperlink r:id="rId21">
        <w:r>
          <w:rPr>
            <w:rStyle w:val="Hyperlink"/>
          </w:rPr>
          <w:t xml:space="preserve">[2]</w:t>
        </w:r>
      </w:hyperlink>
    </w:p>
    <w:bookmarkEnd w:id="43"/>
    <w:bookmarkStart w:id="44" w:name="figure-and-label-audit"/>
    <w:p>
      <w:pPr>
        <w:pStyle w:val="Heading3"/>
      </w:pPr>
      <w:r>
        <w:t xml:space="preserve">Figure and label audit</w:t>
      </w:r>
    </w:p>
    <w:p>
      <w:pPr>
        <w:pStyle w:val="FirstParagraph"/>
      </w:pPr>
      <w:r>
        <w:t xml:space="preserve">The table below is intentionally conservative. Where public authority is weak or culturally specific provenance is uncertain, I recommend</w:t>
      </w:r>
      <w:r>
        <w:t xml:space="preserve"> </w:t>
      </w:r>
      <w:r>
        <w:rPr>
          <w:rStyle w:val="VerbatimChar"/>
          <w:b/>
          <w:bCs/>
        </w:rPr>
        <w:t xml:space="preserve">validate_before_use</w:t>
      </w:r>
      <w:r>
        <w:t xml:space="preserve"> </w:t>
      </w:r>
      <w:r>
        <w:t xml:space="preserve">or</w:t>
      </w:r>
      <w:r>
        <w:t xml:space="preserve"> </w:t>
      </w:r>
      <w:r>
        <w:rPr>
          <w:rStyle w:val="VerbatimChar"/>
          <w:b/>
          <w:bCs/>
        </w:rPr>
        <w:t xml:space="preserve">source_label_only</w:t>
      </w:r>
      <w:r>
        <w:t xml:space="preserve"> </w:t>
      </w:r>
      <w:r>
        <w:t xml:space="preserve">rather than forced normalization.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 or label set</w:t>
            </w:r>
          </w:p>
        </w:tc>
        <w:tc>
          <w:tcPr/>
          <w:p>
            <w:pPr>
              <w:pStyle w:val="Compact"/>
            </w:pPr>
            <w:r>
              <w:t xml:space="preserve">Recommended status</w:t>
            </w:r>
          </w:p>
        </w:tc>
        <w:tc>
          <w:tcPr/>
          <w:p>
            <w:pPr>
              <w:pStyle w:val="Compact"/>
            </w:pPr>
            <w:r>
              <w:t xml:space="preserve">Recommended treatment</w:t>
            </w:r>
          </w:p>
        </w:tc>
      </w:tr>
      <w:tr>
        <w:tc>
          <w:tcPr/>
          <w:p>
            <w:pPr>
              <w:pStyle w:val="Compact"/>
            </w:pPr>
            <w:r>
              <w:rPr>
                <w:b/>
                <w:bCs/>
              </w:rPr>
              <w:t xml:space="preserve">Yowie / Yahoo / Hairy Man / Hairy Man of the Wood / Australian ape / Australian gorilla / wild man</w:t>
            </w:r>
          </w:p>
        </w:tc>
        <w:tc>
          <w:tcPr/>
          <w:p>
            <w:pPr>
              <w:pStyle w:val="Compact"/>
            </w:pPr>
            <w:r>
              <w:rPr>
                <w:rStyle w:val="VerbatimChar"/>
              </w:rPr>
              <w:t xml:space="preserve">encounter_cluster</w:t>
            </w:r>
          </w:p>
        </w:tc>
        <w:tc>
          <w:tcPr/>
          <w:p>
            <w:pPr>
              <w:pStyle w:val="Compact"/>
            </w:pPr>
            <w:r>
              <w:t xml:space="preserve">One operational</w:t>
            </w:r>
            <w:r>
              <w:t xml:space="preserve"> </w:t>
            </w:r>
            <w:r>
              <w:rPr>
                <w:b/>
                <w:bCs/>
              </w:rPr>
              <w:t xml:space="preserve">hairy-humanoid encounter cluster</w:t>
            </w:r>
            <w:r>
              <w:t xml:space="preserve"> </w:t>
            </w:r>
            <w:r>
              <w:t xml:space="preserve">for modern and historical public discourse; preserve all labels separately, do not imply one species</w:t>
            </w:r>
          </w:p>
        </w:tc>
      </w:tr>
      <w:tr>
        <w:tc>
          <w:tcPr/>
          <w:p>
            <w:pPr>
              <w:pStyle w:val="Compact"/>
            </w:pPr>
            <w:r>
              <w:rPr>
                <w:b/>
                <w:bCs/>
              </w:rPr>
              <w:t xml:space="preserve">Doolaga / Dooligah / Douligah / Thoolagal</w:t>
            </w:r>
          </w:p>
        </w:tc>
        <w:tc>
          <w:tcPr/>
          <w:p>
            <w:pPr>
              <w:pStyle w:val="Compact"/>
            </w:pPr>
            <w:r>
              <w:rPr>
                <w:rStyle w:val="VerbatimChar"/>
              </w:rPr>
              <w:t xml:space="preserve">source_label_only</w:t>
            </w:r>
            <w:r>
              <w:t xml:space="preserve"> </w:t>
            </w:r>
            <w:r>
              <w:t xml:space="preserve">+</w:t>
            </w:r>
            <w:r>
              <w:t xml:space="preserve"> </w:t>
            </w:r>
            <w:r>
              <w:rPr>
                <w:rStyle w:val="VerbatimChar"/>
              </w:rPr>
              <w:t xml:space="preserve">validate_before_use</w:t>
            </w:r>
          </w:p>
        </w:tc>
        <w:tc>
          <w:tcPr/>
          <w:p>
            <w:pPr>
              <w:pStyle w:val="Compact"/>
            </w:pPr>
            <w:r>
              <w:t xml:space="preserve">Keep as labels attested in source tradition or secondary literature; do not auto-merge into Yowie concept without provenance review</w:t>
            </w:r>
          </w:p>
        </w:tc>
      </w:tr>
      <w:tr>
        <w:tc>
          <w:tcPr/>
          <w:p>
            <w:pPr>
              <w:pStyle w:val="Compact"/>
            </w:pPr>
            <w:r>
              <w:rPr>
                <w:b/>
                <w:bCs/>
              </w:rPr>
              <w:t xml:space="preserve">Joogabinna / Ghindaring / Jurrawarra / Myngawin / Noocoonah / Wawee / Jimbra</w:t>
            </w:r>
          </w:p>
        </w:tc>
        <w:tc>
          <w:tcPr/>
          <w:p>
            <w:pPr>
              <w:pStyle w:val="Compact"/>
            </w:pPr>
            <w:r>
              <w:rPr>
                <w:rStyle w:val="VerbatimChar"/>
              </w:rPr>
              <w:t xml:space="preserve">source_label_only</w:t>
            </w:r>
            <w:r>
              <w:t xml:space="preserve"> </w:t>
            </w:r>
            <w:r>
              <w:t xml:space="preserve">+</w:t>
            </w:r>
            <w:r>
              <w:t xml:space="preserve"> </w:t>
            </w:r>
            <w:r>
              <w:rPr>
                <w:rStyle w:val="VerbatimChar"/>
              </w:rPr>
              <w:t xml:space="preserve">validate_before_use</w:t>
            </w:r>
          </w:p>
        </w:tc>
        <w:tc>
          <w:tcPr/>
          <w:p>
            <w:pPr>
              <w:pStyle w:val="Compact"/>
            </w:pPr>
            <w:r>
              <w:t xml:space="preserve">Same treatment; preserve labels, delay concept merge until language/community/source support is reviewed</w:t>
            </w:r>
          </w:p>
        </w:tc>
      </w:tr>
      <w:tr>
        <w:tc>
          <w:tcPr/>
          <w:p>
            <w:pPr>
              <w:pStyle w:val="Compact"/>
            </w:pPr>
            <w:r>
              <w:rPr>
                <w:b/>
                <w:bCs/>
              </w:rPr>
              <w:t xml:space="preserve">Pangkarlangu / Puttikan / Tjangara</w:t>
            </w:r>
          </w:p>
        </w:tc>
        <w:tc>
          <w:tcPr/>
          <w:p>
            <w:pPr>
              <w:pStyle w:val="Compact"/>
            </w:pPr>
            <w:r>
              <w:rPr>
                <w:rStyle w:val="VerbatimChar"/>
              </w:rPr>
              <w:t xml:space="preserve">source_label_only</w:t>
            </w:r>
            <w:r>
              <w:t xml:space="preserve"> </w:t>
            </w:r>
            <w:r>
              <w:t xml:space="preserve">+</w:t>
            </w:r>
            <w:r>
              <w:t xml:space="preserve"> </w:t>
            </w:r>
            <w:r>
              <w:rPr>
                <w:rStyle w:val="VerbatimChar"/>
              </w:rPr>
              <w:t xml:space="preserve">validate_before_use</w:t>
            </w:r>
          </w:p>
        </w:tc>
        <w:tc>
          <w:tcPr/>
          <w:p>
            <w:pPr>
              <w:pStyle w:val="Compact"/>
            </w:pPr>
            <w:r>
              <w:t xml:space="preserve">Do not treat as Yowie synonyms by default; may later become separate narrative concepts or remain labels only</w:t>
            </w:r>
          </w:p>
        </w:tc>
      </w:tr>
      <w:tr>
        <w:tc>
          <w:tcPr/>
          <w:p>
            <w:pPr>
              <w:pStyle w:val="Compact"/>
            </w:pPr>
            <w:r>
              <w:rPr>
                <w:b/>
                <w:bCs/>
              </w:rPr>
              <w:t xml:space="preserve">Yaroma</w:t>
            </w:r>
          </w:p>
        </w:tc>
        <w:tc>
          <w:tcPr/>
          <w:p>
            <w:pPr>
              <w:pStyle w:val="Compact"/>
            </w:pPr>
            <w:r>
              <w:rPr>
                <w:rStyle w:val="VerbatimChar"/>
              </w:rPr>
              <w:t xml:space="preserve">traditional_narrative_cluster</w:t>
            </w:r>
            <w:r>
              <w:t xml:space="preserve"> </w:t>
            </w:r>
            <w:r>
              <w:t xml:space="preserve">or</w:t>
            </w:r>
            <w:r>
              <w:t xml:space="preserve"> </w:t>
            </w:r>
            <w:r>
              <w:rPr>
                <w:rStyle w:val="VerbatimChar"/>
              </w:rPr>
              <w:t xml:space="preserve">validate_before_use</w:t>
            </w:r>
          </w:p>
        </w:tc>
        <w:tc>
          <w:tcPr/>
          <w:p>
            <w:pPr>
              <w:pStyle w:val="Compact"/>
            </w:pPr>
            <w:r>
              <w:t xml:space="preserve">Likely traditional/giant or monstrous figure in public retellings; not an encounter species</w:t>
            </w:r>
          </w:p>
        </w:tc>
      </w:tr>
      <w:tr>
        <w:tc>
          <w:tcPr/>
          <w:p>
            <w:pPr>
              <w:pStyle w:val="Compact"/>
            </w:pPr>
            <w:r>
              <w:rPr>
                <w:b/>
                <w:bCs/>
              </w:rPr>
              <w:t xml:space="preserve">Yara-ma-yha-who</w:t>
            </w:r>
          </w:p>
        </w:tc>
        <w:tc>
          <w:tcPr/>
          <w:p>
            <w:pPr>
              <w:pStyle w:val="Compact"/>
            </w:pPr>
            <w:r>
              <w:rPr>
                <w:rStyle w:val="VerbatimChar"/>
              </w:rPr>
              <w:t xml:space="preserve">traditional_narrative_cluster</w:t>
            </w:r>
          </w:p>
        </w:tc>
        <w:tc>
          <w:tcPr/>
          <w:p>
            <w:pPr>
              <w:pStyle w:val="Compact"/>
            </w:pPr>
            <w:r>
              <w:t xml:space="preserve">Traditional narrative figure; humanoid enough for archive scope but not for encounter clustering</w:t>
            </w:r>
          </w:p>
        </w:tc>
      </w:tr>
      <w:tr>
        <w:tc>
          <w:tcPr/>
          <w:p>
            <w:pPr>
              <w:pStyle w:val="Compact"/>
            </w:pPr>
            <w:r>
              <w:rPr>
                <w:b/>
                <w:bCs/>
              </w:rPr>
              <w:t xml:space="preserve">Mimih / Mimi</w:t>
            </w:r>
          </w:p>
        </w:tc>
        <w:tc>
          <w:tcPr/>
          <w:p>
            <w:pPr>
              <w:pStyle w:val="Compact"/>
            </w:pPr>
            <w:r>
              <w:rPr>
                <w:rStyle w:val="VerbatimChar"/>
              </w:rPr>
              <w:t xml:space="preserve">spirit_person_narrative_cluster</w:t>
            </w:r>
          </w:p>
        </w:tc>
        <w:tc>
          <w:tcPr/>
          <w:p>
            <w:pPr>
              <w:pStyle w:val="Compact"/>
            </w:pPr>
            <w:r>
              <w:t xml:space="preserve">Keep as public traditional/spirit-person narrative material, not cryptid</w:t>
            </w:r>
          </w:p>
        </w:tc>
      </w:tr>
      <w:tr>
        <w:tc>
          <w:tcPr/>
          <w:p>
            <w:pPr>
              <w:pStyle w:val="Compact"/>
            </w:pPr>
            <w:r>
              <w:rPr>
                <w:b/>
                <w:bCs/>
              </w:rPr>
              <w:t xml:space="preserve">Quinkan / Quinkin</w:t>
            </w:r>
          </w:p>
        </w:tc>
        <w:tc>
          <w:tcPr/>
          <w:p>
            <w:pPr>
              <w:pStyle w:val="Compact"/>
            </w:pPr>
            <w:r>
              <w:rPr>
                <w:rStyle w:val="VerbatimChar"/>
              </w:rPr>
              <w:t xml:space="preserve">spirit_person_narrative_cluster</w:t>
            </w:r>
          </w:p>
        </w:tc>
        <w:tc>
          <w:tcPr/>
          <w:p>
            <w:pPr>
              <w:pStyle w:val="Compact"/>
            </w:pPr>
            <w:r>
              <w:t xml:space="preserve">Public traditional/spirit-person cluster associated with Quinkan Country; not a Yowie subtype and not a generic monster</w:t>
            </w:r>
          </w:p>
        </w:tc>
      </w:tr>
      <w:tr>
        <w:tc>
          <w:tcPr/>
          <w:p>
            <w:pPr>
              <w:pStyle w:val="Compact"/>
            </w:pPr>
            <w:r>
              <w:rPr>
                <w:b/>
                <w:bCs/>
              </w:rPr>
              <w:t xml:space="preserve">Wandjina / Wanjina</w:t>
            </w:r>
          </w:p>
        </w:tc>
        <w:tc>
          <w:tcPr/>
          <w:p>
            <w:pPr>
              <w:pStyle w:val="Compact"/>
            </w:pPr>
            <w:r>
              <w:rPr>
                <w:rStyle w:val="VerbatimChar"/>
              </w:rPr>
              <w:t xml:space="preserve">high_sensitivity_public_record</w:t>
            </w:r>
            <w:r>
              <w:t xml:space="preserve"> </w:t>
            </w:r>
            <w:r>
              <w:t xml:space="preserve">+</w:t>
            </w:r>
            <w:r>
              <w:t xml:space="preserve"> </w:t>
            </w:r>
            <w:r>
              <w:rPr>
                <w:rStyle w:val="VerbatimChar"/>
              </w:rPr>
              <w:t xml:space="preserve">spirit_person_narrative_cluster</w:t>
            </w:r>
          </w:p>
        </w:tc>
        <w:tc>
          <w:tcPr/>
          <w:p>
            <w:pPr>
              <w:pStyle w:val="Compact"/>
            </w:pPr>
            <w:r>
              <w:t xml:space="preserve">Include only public, carefully described materials; never present as cryptid or species</w:t>
            </w:r>
          </w:p>
        </w:tc>
      </w:tr>
      <w:tr>
        <w:tc>
          <w:tcPr/>
          <w:p>
            <w:pPr>
              <w:pStyle w:val="Compact"/>
            </w:pPr>
            <w:r>
              <w:rPr>
                <w:b/>
                <w:bCs/>
              </w:rPr>
              <w:t xml:space="preserve">Nargun</w:t>
            </w:r>
          </w:p>
        </w:tc>
        <w:tc>
          <w:tcPr/>
          <w:p>
            <w:pPr>
              <w:pStyle w:val="Compact"/>
            </w:pPr>
            <w:r>
              <w:rPr>
                <w:rStyle w:val="VerbatimChar"/>
              </w:rPr>
              <w:t xml:space="preserve">traditional_narrative_cluster</w:t>
            </w:r>
            <w:r>
              <w:t xml:space="preserve"> </w:t>
            </w:r>
            <w:r>
              <w:t xml:space="preserve">+</w:t>
            </w:r>
            <w:r>
              <w:t xml:space="preserve"> </w:t>
            </w:r>
            <w:r>
              <w:rPr>
                <w:rStyle w:val="VerbatimChar"/>
              </w:rPr>
              <w:t xml:space="preserve">high_sensitivity_public_record</w:t>
            </w:r>
          </w:p>
        </w:tc>
        <w:tc>
          <w:tcPr/>
          <w:p>
            <w:pPr>
              <w:pStyle w:val="Compact"/>
            </w:pPr>
            <w:r>
              <w:t xml:space="preserve">Public tradition linked to Den of Nargun; not a modern encounter species</w:t>
            </w:r>
          </w:p>
        </w:tc>
      </w:tr>
      <w:tr>
        <w:tc>
          <w:tcPr/>
          <w:p>
            <w:pPr>
              <w:pStyle w:val="Compact"/>
            </w:pPr>
            <w:r>
              <w:rPr>
                <w:b/>
                <w:bCs/>
              </w:rPr>
              <w:t xml:space="preserve">Garkain</w:t>
            </w:r>
          </w:p>
        </w:tc>
        <w:tc>
          <w:tcPr/>
          <w:p>
            <w:pPr>
              <w:pStyle w:val="Compact"/>
            </w:pPr>
            <w:r>
              <w:rPr>
                <w:rStyle w:val="VerbatimChar"/>
              </w:rPr>
              <w:t xml:space="preserve">validate_before_use</w:t>
            </w:r>
          </w:p>
        </w:tc>
        <w:tc>
          <w:tcPr/>
          <w:p>
            <w:pPr>
              <w:pStyle w:val="Compact"/>
            </w:pPr>
            <w:r>
              <w:t xml:space="preserve">Likely traditional/spirit-person narrative; keep provisional until source basis is stabilized</w:t>
            </w:r>
          </w:p>
        </w:tc>
      </w:tr>
      <w:tr>
        <w:tc>
          <w:tcPr/>
          <w:p>
            <w:pPr>
              <w:pStyle w:val="Compact"/>
            </w:pPr>
            <w:r>
              <w:rPr>
                <w:b/>
                <w:bCs/>
              </w:rPr>
              <w:t xml:space="preserve">Mokoi</w:t>
            </w:r>
          </w:p>
        </w:tc>
        <w:tc>
          <w:tcPr/>
          <w:p>
            <w:pPr>
              <w:pStyle w:val="Compact"/>
            </w:pPr>
            <w:r>
              <w:rPr>
                <w:rStyle w:val="VerbatimChar"/>
              </w:rPr>
              <w:t xml:space="preserve">validate_before_use</w:t>
            </w:r>
          </w:p>
        </w:tc>
        <w:tc>
          <w:tcPr/>
          <w:p>
            <w:pPr>
              <w:pStyle w:val="Compact"/>
            </w:pPr>
            <w:r>
              <w:t xml:space="preserve">Preserve as culturally specific label; do not flatten into paranormal taxonomy</w:t>
            </w:r>
          </w:p>
        </w:tc>
      </w:tr>
      <w:tr>
        <w:tc>
          <w:tcPr/>
          <w:p>
            <w:pPr>
              <w:pStyle w:val="Compact"/>
            </w:pPr>
            <w:r>
              <w:rPr>
                <w:b/>
                <w:bCs/>
              </w:rPr>
              <w:t xml:space="preserve">Mamu</w:t>
            </w:r>
          </w:p>
        </w:tc>
        <w:tc>
          <w:tcPr/>
          <w:p>
            <w:pPr>
              <w:pStyle w:val="Compact"/>
            </w:pPr>
            <w:r>
              <w:rPr>
                <w:rStyle w:val="VerbatimChar"/>
              </w:rPr>
              <w:t xml:space="preserve">validate_before_use</w:t>
            </w:r>
            <w:r>
              <w:t xml:space="preserve"> </w:t>
            </w:r>
            <w:r>
              <w:t xml:space="preserve">or</w:t>
            </w:r>
            <w:r>
              <w:t xml:space="preserve"> </w:t>
            </w:r>
            <w:r>
              <w:rPr>
                <w:rStyle w:val="VerbatimChar"/>
              </w:rPr>
              <w:t xml:space="preserve">context_only</w:t>
            </w:r>
          </w:p>
        </w:tc>
        <w:tc>
          <w:tcPr/>
          <w:p>
            <w:pPr>
              <w:pStyle w:val="Compact"/>
            </w:pPr>
            <w:r>
              <w:t xml:space="preserve">Often too broad as a generic dangerous-spirit category; include only where a concrete public narrative unit exists</w:t>
            </w:r>
          </w:p>
        </w:tc>
      </w:tr>
      <w:tr>
        <w:tc>
          <w:tcPr/>
          <w:p>
            <w:pPr>
              <w:pStyle w:val="Compact"/>
            </w:pPr>
            <w:r>
              <w:rPr>
                <w:b/>
                <w:bCs/>
              </w:rPr>
              <w:t xml:space="preserve">Bunyip</w:t>
            </w:r>
          </w:p>
        </w:tc>
        <w:tc>
          <w:tcPr/>
          <w:p>
            <w:pPr>
              <w:pStyle w:val="Compact"/>
            </w:pPr>
            <w:r>
              <w:rPr>
                <w:rStyle w:val="VerbatimChar"/>
              </w:rPr>
              <w:t xml:space="preserve">control_only</w:t>
            </w:r>
            <w:r>
              <w:t xml:space="preserve"> </w:t>
            </w:r>
            <w:r>
              <w:t xml:space="preserve">or</w:t>
            </w:r>
            <w:r>
              <w:t xml:space="preserve"> </w:t>
            </w:r>
            <w:r>
              <w:rPr>
                <w:rStyle w:val="VerbatimChar"/>
              </w:rPr>
              <w:t xml:space="preserve">exclude</w:t>
            </w:r>
            <w:r>
              <w:t xml:space="preserve"> </w:t>
            </w:r>
            <w:r>
              <w:t xml:space="preserve">for this archive</w:t>
            </w:r>
          </w:p>
        </w:tc>
        <w:tc>
          <w:tcPr/>
          <w:p>
            <w:pPr>
              <w:pStyle w:val="Compact"/>
            </w:pPr>
            <w:r>
              <w:t xml:space="preserve">Important Australian supernatural figure, but usually not humanoid enough for the core archive</w:t>
            </w:r>
          </w:p>
        </w:tc>
      </w:tr>
      <w:tr>
        <w:tc>
          <w:tcPr/>
          <w:p>
            <w:pPr>
              <w:pStyle w:val="Compact"/>
            </w:pPr>
            <w:r>
              <w:rPr>
                <w:b/>
                <w:bCs/>
              </w:rPr>
              <w:t xml:space="preserve">Drop bear</w:t>
            </w:r>
          </w:p>
        </w:tc>
        <w:tc>
          <w:tcPr/>
          <w:p>
            <w:pPr>
              <w:pStyle w:val="Compact"/>
            </w:pPr>
            <w:r>
              <w:rPr>
                <w:rStyle w:val="VerbatimChar"/>
              </w:rPr>
              <w:t xml:space="preserve">control_only</w:t>
            </w:r>
            <w:r>
              <w:t xml:space="preserve"> </w:t>
            </w:r>
            <w:r>
              <w:t xml:space="preserve">/</w:t>
            </w:r>
            <w:r>
              <w:t xml:space="preserve"> </w:t>
            </w:r>
            <w:r>
              <w:rPr>
                <w:rStyle w:val="VerbatimChar"/>
              </w:rPr>
              <w:t xml:space="preserve">exclude</w:t>
            </w:r>
          </w:p>
        </w:tc>
        <w:tc>
          <w:tcPr/>
          <w:p>
            <w:pPr>
              <w:pStyle w:val="Compact"/>
            </w:pPr>
            <w:r>
              <w:t xml:space="preserve">Keep only as humor/control term; Australian Museum’s entry is a tongue-in-cheek legend, not a core narrative figure</w:t>
            </w:r>
          </w:p>
        </w:tc>
      </w:tr>
      <w:tr>
        <w:tc>
          <w:tcPr/>
          <w:p>
            <w:pPr>
              <w:pStyle w:val="Compact"/>
            </w:pPr>
            <w:r>
              <w:rPr>
                <w:b/>
                <w:bCs/>
              </w:rPr>
              <w:t xml:space="preserve">Rainbow Serpent / Ngatyi / Bula</w:t>
            </w:r>
          </w:p>
        </w:tc>
        <w:tc>
          <w:tcPr/>
          <w:p>
            <w:pPr>
              <w:pStyle w:val="Compact"/>
            </w:pPr>
            <w:r>
              <w:rPr>
                <w:rStyle w:val="VerbatimChar"/>
              </w:rPr>
              <w:t xml:space="preserve">exclude</w:t>
            </w:r>
            <w:r>
              <w:t xml:space="preserve"> </w:t>
            </w:r>
            <w:r>
              <w:t xml:space="preserve">or</w:t>
            </w:r>
            <w:r>
              <w:t xml:space="preserve"> </w:t>
            </w:r>
            <w:r>
              <w:rPr>
                <w:rStyle w:val="VerbatimChar"/>
              </w:rPr>
              <w:t xml:space="preserve">control_only</w:t>
            </w:r>
          </w:p>
        </w:tc>
        <w:tc>
          <w:tcPr/>
          <w:p>
            <w:pPr>
              <w:pStyle w:val="Compact"/>
            </w:pPr>
            <w:r>
              <w:t xml:space="preserve">Major cultural figures but not within a humanoid-focused archive; use only as boundary controls</w:t>
            </w:r>
          </w:p>
        </w:tc>
      </w:tr>
      <w:tr>
        <w:tc>
          <w:tcPr/>
          <w:p>
            <w:pPr>
              <w:pStyle w:val="Compact"/>
            </w:pPr>
            <w:r>
              <w:rPr>
                <w:b/>
                <w:bCs/>
              </w:rPr>
              <w:t xml:space="preserve">Min Min lights</w:t>
            </w:r>
          </w:p>
        </w:tc>
        <w:tc>
          <w:tcPr/>
          <w:p>
            <w:pPr>
              <w:pStyle w:val="Compact"/>
            </w:pPr>
            <w:r>
              <w:rPr>
                <w:rStyle w:val="VerbatimChar"/>
              </w:rPr>
              <w:t xml:space="preserve">exclude</w:t>
            </w:r>
            <w:r>
              <w:t xml:space="preserve"> </w:t>
            </w:r>
            <w:r>
              <w:t xml:space="preserve">/</w:t>
            </w:r>
            <w:r>
              <w:t xml:space="preserve"> </w:t>
            </w:r>
            <w:r>
              <w:rPr>
                <w:rStyle w:val="VerbatimChar"/>
              </w:rPr>
              <w:t xml:space="preserve">control_only</w:t>
            </w:r>
          </w:p>
        </w:tc>
        <w:tc>
          <w:tcPr/>
          <w:p>
            <w:pPr>
              <w:pStyle w:val="Compact"/>
            </w:pPr>
            <w:r>
              <w:t xml:space="preserve">Useful scope control because Australian but non-humanoid</w:t>
            </w:r>
          </w:p>
        </w:tc>
      </w:tr>
    </w:tbl>
    <w:p>
      <w:pPr>
        <w:pStyle w:val="BodyText"/>
      </w:pPr>
      <w:r>
        <w:t xml:space="preserve">This audit is strongest where community-controlled or institutional public evidence exists. Dambimangari describes Wandjina culture as central to community heritage and displays a deceased-person warning on its site; ATSILIRN explicitly warns against classification systems that use unsuitable or value-laden terms; and public summaries of Quinkan, Mimih, Nargun, and Yara-ma-yha-who all point toward narrative/traditional handling rather than species treatment.</w:t>
      </w:r>
      <w:r>
        <w:t xml:space="preserve"> </w:t>
      </w:r>
      <w:hyperlink r:id="rId27">
        <w:r>
          <w:rPr>
            <w:rStyle w:val="Hyperlink"/>
          </w:rPr>
          <w:t xml:space="preserve">[10]</w:t>
        </w:r>
      </w:hyperlink>
    </w:p>
    <w:bookmarkEnd w:id="44"/>
    <w:bookmarkStart w:id="45" w:name="additional-ghost-and-legend-categories"/>
    <w:p>
      <w:pPr>
        <w:pStyle w:val="Heading3"/>
      </w:pPr>
      <w:r>
        <w:t xml:space="preserve">Additional ghost and legend categories</w:t>
      </w:r>
    </w:p>
    <w:p>
      <w:pPr>
        <w:pStyle w:val="FirstParagraph"/>
      </w:pPr>
      <w:r>
        <w:t xml:space="preserve">A serious Australian archive of supernatural humanoid public texts should add bounded categories for</w:t>
      </w:r>
      <w:r>
        <w:t xml:space="preserve"> </w:t>
      </w:r>
      <w:r>
        <w:rPr>
          <w:b/>
          <w:bCs/>
        </w:rPr>
        <w:t xml:space="preserve">road ghosts, phantom travellers, place-bound ghostly men/women, spectral workers, faceless or shadow-like human figures, giant-person or ogre narratives, and regionally documented humanoid legends</w:t>
      </w:r>
      <w:r>
        <w:t xml:space="preserve">. But it should add them as</w:t>
      </w:r>
      <w:r>
        <w:t xml:space="preserve"> </w:t>
      </w:r>
      <w:r>
        <w:rPr>
          <w:b/>
          <w:bCs/>
        </w:rPr>
        <w:t xml:space="preserve">typed narrative families</w:t>
      </w:r>
      <w:r>
        <w:t xml:space="preserve">, not as a generic haunted-place directory. Fisher’s Ghost shows how a local ghost legend can become a durable civic narrative with retellings and festivals; that kind of object clearly belongs.</w:t>
      </w:r>
      <w:r>
        <w:t xml:space="preserve"> </w:t>
      </w:r>
      <w:hyperlink r:id="rId40">
        <w:r>
          <w:rPr>
            <w:rStyle w:val="Hyperlink"/>
          </w:rPr>
          <w:t xml:space="preserve">[11]</w:t>
        </w:r>
      </w:hyperlink>
    </w:p>
    <w:bookmarkEnd w:id="45"/>
    <w:bookmarkStart w:id="47" w:name="current-record-sample-reclassification"/>
    <w:p>
      <w:pPr>
        <w:pStyle w:val="Heading3"/>
      </w:pPr>
      <w:r>
        <w:t xml:space="preserve">Current-record sample reclassification</w:t>
      </w:r>
    </w:p>
    <w:p>
      <w:pPr>
        <w:pStyle w:val="FirstParagraph"/>
      </w:pPr>
      <w:r>
        <w:t xml:space="preserve">I cannot honestly claim a live stratified row audit of the repository because the GitHub-hosted repo itself was not retrievable here. So the most defensible answer is an</w:t>
      </w:r>
      <w:r>
        <w:t xml:space="preserve"> </w:t>
      </w:r>
      <w:r>
        <w:rPr>
          <w:b/>
          <w:bCs/>
        </w:rPr>
        <w:t xml:space="preserve">inferential reclassification based on the reported source composition in the brief</w:t>
      </w:r>
      <w:r>
        <w:t xml:space="preserve">. Those reported counts suggest the database is currently heavily AYR-driven, overwhelmingly Yowie-labelled, and biased toward post-1970 material. fileciteturn0file0</w:t>
      </w:r>
    </w:p>
    <w:bookmarkStart w:id="46" w:name="X4fc10084f192d0397a44b5c18869d16e9eb5733"/>
    <w:p>
      <w:pPr>
        <w:pStyle w:val="Heading4"/>
      </w:pPr>
      <w:r>
        <w:t xml:space="preserve">Conservative source-family reclassification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Reported source family</w:t>
            </w:r>
          </w:p>
        </w:tc>
        <w:tc>
          <w:tcPr/>
          <w:p>
            <w:pPr>
              <w:pStyle w:val="Compact"/>
            </w:pPr>
            <w:r>
              <w:t xml:space="preserve">Most likely revised role</w:t>
            </w:r>
          </w:p>
        </w:tc>
      </w:tr>
      <w:tr>
        <w:tc>
          <w:tcPr/>
          <w:p>
            <w:pPr>
              <w:pStyle w:val="Compact"/>
            </w:pPr>
            <w:r>
              <w:t xml:space="preserve">AYR modern witness pages</w:t>
            </w:r>
          </w:p>
        </w:tc>
        <w:tc>
          <w:tcPr/>
          <w:p>
            <w:pPr>
              <w:pStyle w:val="Compact"/>
            </w:pPr>
            <w:r>
              <w:rPr>
                <w:rStyle w:val="VerbatimChar"/>
              </w:rPr>
              <w:t xml:space="preserve">encounter_account</w:t>
            </w:r>
            <w:r>
              <w:t xml:space="preserve"> </w:t>
            </w:r>
            <w:r>
              <w:t xml:space="preserve">+</w:t>
            </w:r>
            <w:r>
              <w:t xml:space="preserve"> </w:t>
            </w:r>
            <w:r>
              <w:rPr>
                <w:rStyle w:val="VerbatimChar"/>
              </w:rPr>
              <w:t xml:space="preserve">source_item</w:t>
            </w:r>
            <w:r>
              <w:t xml:space="preserve">, sometimes</w:t>
            </w:r>
            <w:r>
              <w:t xml:space="preserve"> </w:t>
            </w:r>
            <w:r>
              <w:rPr>
                <w:rStyle w:val="VerbatimChar"/>
              </w:rPr>
              <w:t xml:space="preserve">lead</w:t>
            </w:r>
            <w:r>
              <w:t xml:space="preserve"> </w:t>
            </w:r>
            <w:r>
              <w:t xml:space="preserve">if traceability is weak</w:t>
            </w:r>
          </w:p>
        </w:tc>
      </w:tr>
      <w:tr>
        <w:tc>
          <w:tcPr/>
          <w:p>
            <w:pPr>
              <w:pStyle w:val="Compact"/>
            </w:pPr>
            <w:r>
              <w:t xml:space="preserve">AYR historical article reproductions</w:t>
            </w:r>
          </w:p>
        </w:tc>
        <w:tc>
          <w:tcPr/>
          <w:p>
            <w:pPr>
              <w:pStyle w:val="Compact"/>
            </w:pPr>
            <w:r>
              <w:rPr>
                <w:rStyle w:val="VerbatimChar"/>
              </w:rPr>
              <w:t xml:space="preserve">source_item</w:t>
            </w:r>
            <w:r>
              <w:t xml:space="preserve"> </w:t>
            </w:r>
            <w:r>
              <w:t xml:space="preserve">plus</w:t>
            </w:r>
            <w:r>
              <w:t xml:space="preserve"> </w:t>
            </w:r>
            <w:r>
              <w:rPr>
                <w:rStyle w:val="VerbatimChar"/>
              </w:rPr>
              <w:t xml:space="preserve">narrative_source_link</w:t>
            </w:r>
            <w:r>
              <w:t xml:space="preserve"> </w:t>
            </w:r>
            <w:r>
              <w:t xml:space="preserve">such as</w:t>
            </w:r>
            <w:r>
              <w:t xml:space="preserve"> </w:t>
            </w:r>
            <w:r>
              <w:rPr>
                <w:rStyle w:val="VerbatimChar"/>
              </w:rPr>
              <w:t xml:space="preserve">syndicated_reprint</w:t>
            </w:r>
            <w:r>
              <w:t xml:space="preserve">,</w:t>
            </w:r>
            <w:r>
              <w:t xml:space="preserve"> </w:t>
            </w:r>
            <w:r>
              <w:rPr>
                <w:rStyle w:val="VerbatimChar"/>
              </w:rPr>
              <w:t xml:space="preserve">archive_reproduction</w:t>
            </w:r>
            <w:r>
              <w:t xml:space="preserve">, or</w:t>
            </w:r>
            <w:r>
              <w:t xml:space="preserve"> </w:t>
            </w:r>
            <w:r>
              <w:rPr>
                <w:rStyle w:val="VerbatimChar"/>
              </w:rPr>
              <w:t xml:space="preserve">later_retelling</w:t>
            </w:r>
          </w:p>
        </w:tc>
      </w:tr>
      <w:tr>
        <w:tc>
          <w:tcPr/>
          <w:p>
            <w:pPr>
              <w:pStyle w:val="Compact"/>
            </w:pPr>
            <w:r>
              <w:t xml:space="preserve">OpenAlex / Crossref</w:t>
            </w:r>
          </w:p>
        </w:tc>
        <w:tc>
          <w:tcPr/>
          <w:p>
            <w:pPr>
              <w:pStyle w:val="Compact"/>
            </w:pPr>
            <w:r>
              <w:t xml:space="preserve">usually</w:t>
            </w:r>
            <w:r>
              <w:t xml:space="preserve"> </w:t>
            </w:r>
            <w:r>
              <w:rPr>
                <w:rStyle w:val="VerbatimChar"/>
              </w:rPr>
              <w:t xml:space="preserve">scholarly_commentary</w:t>
            </w:r>
            <w:r>
              <w:t xml:space="preserve"> </w:t>
            </w:r>
            <w:r>
              <w:t xml:space="preserve">or</w:t>
            </w:r>
            <w:r>
              <w:t xml:space="preserve"> </w:t>
            </w:r>
            <w:r>
              <w:rPr>
                <w:rStyle w:val="VerbatimChar"/>
              </w:rPr>
              <w:t xml:space="preserve">source_pointer</w:t>
            </w:r>
            <w:r>
              <w:t xml:space="preserve">; occasionally</w:t>
            </w:r>
            <w:r>
              <w:t xml:space="preserve"> </w:t>
            </w:r>
            <w:r>
              <w:rPr>
                <w:rStyle w:val="VerbatimChar"/>
              </w:rPr>
              <w:t xml:space="preserve">source_item</w:t>
            </w:r>
            <w:r>
              <w:t xml:space="preserve"> </w:t>
            </w:r>
            <w:r>
              <w:t xml:space="preserve">if full text is public and relevant</w:t>
            </w:r>
          </w:p>
        </w:tc>
      </w:tr>
      <w:tr>
        <w:tc>
          <w:tcPr/>
          <w:p>
            <w:pPr>
              <w:pStyle w:val="Compact"/>
            </w:pPr>
            <w:r>
              <w:t xml:space="preserve">Internet Archive items</w:t>
            </w:r>
          </w:p>
        </w:tc>
        <w:tc>
          <w:tcPr/>
          <w:p>
            <w:pPr>
              <w:pStyle w:val="Compact"/>
            </w:pPr>
            <w:r>
              <w:t xml:space="preserve">mixed:</w:t>
            </w:r>
            <w:r>
              <w:t xml:space="preserve"> </w:t>
            </w:r>
            <w:r>
              <w:rPr>
                <w:rStyle w:val="VerbatimChar"/>
              </w:rPr>
              <w:t xml:space="preserve">source_item</w:t>
            </w:r>
            <w:r>
              <w:t xml:space="preserve">,</w:t>
            </w:r>
            <w:r>
              <w:t xml:space="preserve"> </w:t>
            </w:r>
            <w:r>
              <w:rPr>
                <w:rStyle w:val="VerbatimChar"/>
              </w:rPr>
              <w:t xml:space="preserve">catalogue_metadata</w:t>
            </w:r>
            <w:r>
              <w:t xml:space="preserve">, or</w:t>
            </w:r>
            <w:r>
              <w:t xml:space="preserve"> </w:t>
            </w:r>
            <w:r>
              <w:rPr>
                <w:rStyle w:val="VerbatimChar"/>
              </w:rPr>
              <w:t xml:space="preserve">source_pointer</w:t>
            </w:r>
            <w:r>
              <w:t xml:space="preserve"> </w:t>
            </w:r>
            <w:r>
              <w:t xml:space="preserve">depending narrative content</w:t>
            </w:r>
          </w:p>
        </w:tc>
      </w:tr>
      <w:tr>
        <w:tc>
          <w:tcPr/>
          <w:p>
            <w:pPr>
              <w:pStyle w:val="Compact"/>
            </w:pPr>
            <w:r>
              <w:t xml:space="preserve">Wikipedia pages</w:t>
            </w:r>
          </w:p>
        </w:tc>
        <w:tc>
          <w:tcPr/>
          <w:p>
            <w:pPr>
              <w:pStyle w:val="Compact"/>
            </w:pPr>
            <w:r>
              <w:rPr>
                <w:rStyle w:val="VerbatimChar"/>
              </w:rPr>
              <w:t xml:space="preserve">source_pointer</w:t>
            </w:r>
            <w:r>
              <w:t xml:space="preserve">,</w:t>
            </w:r>
            <w:r>
              <w:t xml:space="preserve"> </w:t>
            </w:r>
            <w:r>
              <w:rPr>
                <w:rStyle w:val="VerbatimChar"/>
              </w:rPr>
              <w:t xml:space="preserve">discourse_context</w:t>
            </w:r>
            <w:r>
              <w:t xml:space="preserve">, or provisional lead only; not authority</w:t>
            </w:r>
          </w:p>
        </w:tc>
      </w:tr>
      <w:tr>
        <w:tc>
          <w:tcPr/>
          <w:p>
            <w:pPr>
              <w:pStyle w:val="Compact"/>
            </w:pPr>
            <w:r>
              <w:t xml:space="preserve">ABC / media pages</w:t>
            </w:r>
          </w:p>
        </w:tc>
        <w:tc>
          <w:tcPr/>
          <w:p>
            <w:pPr>
              <w:pStyle w:val="Compact"/>
            </w:pPr>
            <w:r>
              <w:rPr>
                <w:rStyle w:val="VerbatimChar"/>
              </w:rPr>
              <w:t xml:space="preserve">media_commentary</w:t>
            </w:r>
            <w:r>
              <w:t xml:space="preserve">,</w:t>
            </w:r>
            <w:r>
              <w:t xml:space="preserve"> </w:t>
            </w:r>
            <w:r>
              <w:rPr>
                <w:rStyle w:val="VerbatimChar"/>
              </w:rPr>
              <w:t xml:space="preserve">retelling_or_adaptation</w:t>
            </w:r>
            <w:r>
              <w:t xml:space="preserve">, or sometimes a valid public narrative source</w:t>
            </w:r>
          </w:p>
        </w:tc>
      </w:tr>
    </w:tbl>
    <w:p>
      <w:pPr>
        <w:pStyle w:val="BodyText"/>
      </w:pPr>
      <w:r>
        <w:t xml:space="preserve">My best estimate is that</w:t>
      </w:r>
      <w:r>
        <w:t xml:space="preserve"> </w:t>
      </w:r>
      <w:r>
        <w:rPr>
          <w:b/>
          <w:bCs/>
        </w:rPr>
        <w:t xml:space="preserve">a substantial majority of current rows could remain useful under the revised typed archive</w:t>
      </w:r>
      <w:r>
        <w:t xml:space="preserve">, but not as one undifferentiated encounter table. The likely outcome is</w:t>
      </w:r>
      <w:r>
        <w:t xml:space="preserve"> </w:t>
      </w:r>
      <w:r>
        <w:rPr>
          <w:b/>
          <w:bCs/>
        </w:rPr>
        <w:t xml:space="preserve">high retention as source items, reproductions, retellings, pointers, and discourse</w:t>
      </w:r>
      <w:r>
        <w:t xml:space="preserve">, with a much smaller but still substantial core of actual first-class encounter narratives. The useful-retention rate is therefore likely much higher than an encounter-only audit would suggest. That is an inference from the brief’s reported source mix, not a repo-verified row count. fileciteturn0file0</w:t>
      </w:r>
    </w:p>
    <w:bookmarkEnd w:id="46"/>
    <w:bookmarkEnd w:id="47"/>
    <w:bookmarkStart w:id="48" w:name="recommended-v1-corpus-composition"/>
    <w:p>
      <w:pPr>
        <w:pStyle w:val="Heading3"/>
      </w:pPr>
      <w:r>
        <w:t xml:space="preserve">Recommended V1 corpus composition</w:t>
      </w:r>
    </w:p>
    <w:p>
      <w:pPr>
        <w:pStyle w:val="FirstParagraph"/>
      </w:pPr>
      <w:r>
        <w:t xml:space="preserve">A sensible V1 should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Include in V1 core</w:t>
            </w:r>
          </w:p>
        </w:tc>
        <w:tc>
          <w:tcPr/>
          <w:p>
            <w:pPr>
              <w:pStyle w:val="Compact"/>
            </w:pPr>
            <w:r>
              <w:t xml:space="preserve">Keep in V1 secondary layer</w:t>
            </w:r>
          </w:p>
        </w:tc>
        <w:tc>
          <w:tcPr/>
          <w:p>
            <w:pPr>
              <w:pStyle w:val="Compact"/>
            </w:pPr>
            <w:r>
              <w:t xml:space="preserve">Exclude from V1</w:t>
            </w:r>
          </w:p>
        </w:tc>
      </w:tr>
      <w:tr>
        <w:tc>
          <w:tcPr/>
          <w:p>
            <w:pPr>
              <w:pStyle w:val="Compact"/>
            </w:pPr>
            <w:r>
              <w:t xml:space="preserve">encounter accounts; apparition accounts; ghost legends; rumours/local legends; traditional narratives; spirit-person narratives; giant/ogre narratives; descriptive belief records; materially distinct retellings</w:t>
            </w:r>
          </w:p>
        </w:tc>
        <w:tc>
          <w:tcPr/>
          <w:p>
            <w:pPr>
              <w:pStyle w:val="Compact"/>
            </w:pPr>
            <w:r>
              <w:t xml:space="preserve">heritage/tourism/media/scholarly commentary; catalogue metadata; source pointers; unresolved leads; controls</w:t>
            </w:r>
          </w:p>
        </w:tc>
        <w:tc>
          <w:tcPr/>
          <w:p>
            <w:pPr>
              <w:pStyle w:val="Compact"/>
            </w:pPr>
            <w:r>
              <w:t xml:space="preserve">non-humanoid figures; generic hauntings with no manifested humanoid; fiction presented only as fiction; imported non-Australian stories; restricted/secret/sacred material not cleared for public display</w:t>
            </w:r>
          </w:p>
        </w:tc>
      </w:tr>
    </w:tbl>
    <w:p>
      <w:pPr>
        <w:pStyle w:val="BodyText"/>
      </w:pPr>
      <w:r>
        <w:t xml:space="preserve">That composition is the broadest corpus that remains auditable and ethically defensible. fileciteturn0file0</w:t>
      </w:r>
      <w:r>
        <w:t xml:space="preserve"> </w:t>
      </w:r>
      <w:hyperlink r:id="rId21">
        <w:r>
          <w:rPr>
            <w:rStyle w:val="Hyperlink"/>
          </w:rPr>
          <w:t xml:space="preserve">[2]</w:t>
        </w:r>
      </w:hyperlink>
    </w:p>
    <w:bookmarkEnd w:id="48"/>
    <w:bookmarkStart w:id="49" w:name="recommended-research-questions-for-v1"/>
    <w:p>
      <w:pPr>
        <w:pStyle w:val="Heading3"/>
      </w:pPr>
      <w:r>
        <w:t xml:space="preserve">Recommended research questions for V1</w:t>
      </w:r>
    </w:p>
    <w:p>
      <w:pPr>
        <w:pStyle w:val="FirstParagraph"/>
      </w:pPr>
      <w:r>
        <w:rPr>
          <w:b/>
          <w:bCs/>
        </w:rPr>
        <w:t xml:space="preserve">Governing question:</w:t>
      </w:r>
      <w:r>
        <w:t xml:space="preserve"> </w:t>
      </w:r>
      <w:r>
        <w:t xml:space="preserve">How have supernatural or anomalous humanoid figures been encountered, narrated, localised, named, transmitted, and reinterpreted in Australian public texts? fileciteturn0file0</w:t>
      </w:r>
    </w:p>
    <w:p>
      <w:pPr>
        <w:pStyle w:val="BodyText"/>
      </w:pPr>
      <w:r>
        <w:rPr>
          <w:b/>
          <w:bCs/>
        </w:rPr>
        <w:t xml:space="preserve">Good V1 sub-questions:</w:t>
      </w:r>
    </w:p>
    <w:p>
      <w:pPr>
        <w:pStyle w:val="Compact"/>
        <w:numPr>
          <w:ilvl w:val="0"/>
          <w:numId w:val="1001"/>
        </w:numPr>
      </w:pPr>
      <w:r>
        <w:t xml:space="preserve">How do encounter accounts differ from rumours, legends, ghost narratives, and traditional narratives in their traceability and publication pathways?</w:t>
      </w:r>
    </w:p>
    <w:p>
      <w:pPr>
        <w:pStyle w:val="Compact"/>
        <w:numPr>
          <w:ilvl w:val="0"/>
          <w:numId w:val="1001"/>
        </w:numPr>
      </w:pPr>
      <w:r>
        <w:t xml:space="preserve">How do labels change across reprints, retellings, and later paranormal/cryptozoological reframings?</w:t>
      </w:r>
    </w:p>
    <w:p>
      <w:pPr>
        <w:pStyle w:val="Compact"/>
        <w:numPr>
          <w:ilvl w:val="0"/>
          <w:numId w:val="1001"/>
        </w:numPr>
      </w:pPr>
      <w:r>
        <w:t xml:space="preserve">How do source type, place association, and publication period affect representation?</w:t>
      </w:r>
    </w:p>
    <w:p>
      <w:pPr>
        <w:pStyle w:val="Compact"/>
        <w:numPr>
          <w:ilvl w:val="0"/>
          <w:numId w:val="1001"/>
        </w:numPr>
      </w:pPr>
      <w:r>
        <w:t xml:space="preserve">How do later retellings recast local traditions into broader paranormal discourse?</w:t>
      </w:r>
    </w:p>
    <w:p>
      <w:pPr>
        <w:pStyle w:val="Compact"/>
        <w:numPr>
          <w:ilvl w:val="0"/>
          <w:numId w:val="1001"/>
        </w:numPr>
      </w:pPr>
      <w:r>
        <w:t xml:space="preserve">How can culturally sensitive public materials be described without flattening them into monster taxonomies? fileciteturn0file0</w:t>
      </w:r>
      <w:r>
        <w:t xml:space="preserve"> </w:t>
      </w:r>
      <w:hyperlink r:id="rId27">
        <w:r>
          <w:rPr>
            <w:rStyle w:val="Hyperlink"/>
          </w:rPr>
          <w:t xml:space="preserve">[5]</w:t>
        </w:r>
      </w:hyperlink>
    </w:p>
    <w:bookmarkEnd w:id="49"/>
    <w:bookmarkEnd w:id="50"/>
    <w:bookmarkStart w:id="58" w:name="health-ethics-and-source-policy"/>
    <w:p>
      <w:pPr>
        <w:pStyle w:val="Heading2"/>
      </w:pPr>
      <w:r>
        <w:t xml:space="preserve">Health, ethics, and source policy</w:t>
      </w:r>
    </w:p>
    <w:bookmarkStart w:id="53" w:name="type-specific-health-rubrics"/>
    <w:p>
      <w:pPr>
        <w:pStyle w:val="Heading3"/>
      </w:pPr>
      <w:r>
        <w:t xml:space="preserve">Type-specific health rubrics</w:t>
      </w:r>
    </w:p>
    <w:p>
      <w:pPr>
        <w:pStyle w:val="FirstParagraph"/>
      </w:pPr>
      <w:r>
        <w:t xml:space="preserve">A single encounter-style “quality score” would bias the archive against the very narrative forms it now wants to preserve. The archive should instead use</w:t>
      </w:r>
      <w:r>
        <w:t xml:space="preserve"> </w:t>
      </w:r>
      <w:r>
        <w:rPr>
          <w:b/>
          <w:bCs/>
        </w:rPr>
        <w:t xml:space="preserve">shared dimensions plus type-specific dimensions</w:t>
      </w:r>
      <w:r>
        <w:t xml:space="preserve">, with</w:t>
      </w:r>
      <w:r>
        <w:t xml:space="preserve"> </w:t>
      </w:r>
      <w:r>
        <w:rPr>
          <w:b/>
          <w:bCs/>
        </w:rPr>
        <w:t xml:space="preserve">analysis-ready thresholds that differ by type</w:t>
      </w:r>
      <w:r>
        <w:t xml:space="preserve">. That is consistent with the project brief and with AIATSIS/ATSILIRN’s insistence on context-appropriate handling rather than one-size-fits-all treatment. fileciteturn0file0</w:t>
      </w:r>
      <w:r>
        <w:t xml:space="preserve"> </w:t>
      </w:r>
      <w:hyperlink r:id="rId21">
        <w:r>
          <w:rPr>
            <w:rStyle w:val="Hyperlink"/>
          </w:rPr>
          <w:t xml:space="preserve">[2]</w:t>
        </w:r>
      </w:hyperlink>
    </w:p>
    <w:bookmarkStart w:id="51" w:name="shared-dimensions"/>
    <w:p>
      <w:pPr>
        <w:pStyle w:val="Heading4"/>
      </w:pPr>
      <w:r>
        <w:t xml:space="preserve">Shared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Shared dimension</w:t>
            </w:r>
          </w:p>
        </w:tc>
        <w:tc>
          <w:tcPr/>
          <w:p>
            <w:pPr>
              <w:pStyle w:val="Compact"/>
            </w:pPr>
            <w:r>
              <w:t xml:space="preserve">What it measures</w:t>
            </w:r>
          </w:p>
        </w:tc>
      </w:tr>
      <w:tr>
        <w:tc>
          <w:tcPr/>
          <w:p>
            <w:pPr>
              <w:pStyle w:val="Compact"/>
            </w:pPr>
            <w:r>
              <w:rPr>
                <w:rStyle w:val="VerbatimChar"/>
              </w:rPr>
              <w:t xml:space="preserve">source_traceability</w:t>
            </w:r>
          </w:p>
        </w:tc>
        <w:tc>
          <w:tcPr/>
          <w:p>
            <w:pPr>
              <w:pStyle w:val="Compact"/>
            </w:pPr>
            <w:r>
              <w:t xml:space="preserve">Can the source be found again?</w:t>
            </w:r>
          </w:p>
        </w:tc>
      </w:tr>
      <w:tr>
        <w:tc>
          <w:tcPr/>
          <w:p>
            <w:pPr>
              <w:pStyle w:val="Compact"/>
            </w:pPr>
            <w:r>
              <w:rPr>
                <w:rStyle w:val="VerbatimChar"/>
              </w:rPr>
              <w:t xml:space="preserve">stable_identifier</w:t>
            </w:r>
          </w:p>
        </w:tc>
        <w:tc>
          <w:tcPr/>
          <w:p>
            <w:pPr>
              <w:pStyle w:val="Compact"/>
            </w:pPr>
            <w:r>
              <w:t xml:space="preserve">Persistent ID / URL / citation anchor</w:t>
            </w:r>
          </w:p>
        </w:tc>
      </w:tr>
      <w:tr>
        <w:tc>
          <w:tcPr/>
          <w:p>
            <w:pPr>
              <w:pStyle w:val="Compact"/>
            </w:pPr>
            <w:r>
              <w:rPr>
                <w:rStyle w:val="VerbatimChar"/>
              </w:rPr>
              <w:t xml:space="preserve">publicness</w:t>
            </w:r>
          </w:p>
        </w:tc>
        <w:tc>
          <w:tcPr/>
          <w:p>
            <w:pPr>
              <w:pStyle w:val="Compact"/>
            </w:pPr>
            <w:r>
              <w:t xml:space="preserve">Publicly accessible vs restricted</w:t>
            </w:r>
          </w:p>
        </w:tc>
      </w:tr>
      <w:tr>
        <w:tc>
          <w:tcPr/>
          <w:p>
            <w:pPr>
              <w:pStyle w:val="Compact"/>
            </w:pPr>
            <w:r>
              <w:rPr>
                <w:rStyle w:val="VerbatimChar"/>
              </w:rPr>
              <w:t xml:space="preserve">rights_access_status</w:t>
            </w:r>
          </w:p>
        </w:tc>
        <w:tc>
          <w:tcPr/>
          <w:p>
            <w:pPr>
              <w:pStyle w:val="Compact"/>
            </w:pPr>
            <w:r>
              <w:t xml:space="preserve">Display, quote, summarize, or metadata only</w:t>
            </w:r>
          </w:p>
        </w:tc>
      </w:tr>
      <w:tr>
        <w:tc>
          <w:tcPr/>
          <w:p>
            <w:pPr>
              <w:pStyle w:val="Compact"/>
            </w:pPr>
            <w:r>
              <w:rPr>
                <w:rStyle w:val="VerbatimChar"/>
              </w:rPr>
              <w:t xml:space="preserve">classification_confidence</w:t>
            </w:r>
          </w:p>
        </w:tc>
        <w:tc>
          <w:tcPr/>
          <w:p>
            <w:pPr>
              <w:pStyle w:val="Compact"/>
            </w:pPr>
            <w:r>
              <w:t xml:space="preserve">How secure the assigned type is</w:t>
            </w:r>
          </w:p>
        </w:tc>
      </w:tr>
      <w:tr>
        <w:tc>
          <w:tcPr/>
          <w:p>
            <w:pPr>
              <w:pStyle w:val="Compact"/>
            </w:pPr>
            <w:r>
              <w:rPr>
                <w:rStyle w:val="VerbatimChar"/>
              </w:rPr>
              <w:t xml:space="preserve">source_mediation</w:t>
            </w:r>
          </w:p>
        </w:tc>
        <w:tc>
          <w:tcPr/>
          <w:p>
            <w:pPr>
              <w:pStyle w:val="Compact"/>
            </w:pPr>
            <w:r>
              <w:t xml:space="preserve">eyewitness, collector, journalist, institutional summary, etc.</w:t>
            </w:r>
          </w:p>
        </w:tc>
      </w:tr>
      <w:tr>
        <w:tc>
          <w:tcPr/>
          <w:p>
            <w:pPr>
              <w:pStyle w:val="Compact"/>
            </w:pPr>
            <w:r>
              <w:rPr>
                <w:rStyle w:val="VerbatimChar"/>
              </w:rPr>
              <w:t xml:space="preserve">transcription_quality</w:t>
            </w:r>
          </w:p>
        </w:tc>
        <w:tc>
          <w:tcPr/>
          <w:p>
            <w:pPr>
              <w:pStyle w:val="Compact"/>
            </w:pPr>
            <w:r>
              <w:t xml:space="preserve">OCR/manual transcription reliability</w:t>
            </w:r>
          </w:p>
        </w:tc>
      </w:tr>
      <w:tr>
        <w:tc>
          <w:tcPr/>
          <w:p>
            <w:pPr>
              <w:pStyle w:val="Compact"/>
            </w:pPr>
            <w:r>
              <w:rPr>
                <w:rStyle w:val="VerbatimChar"/>
              </w:rPr>
              <w:t xml:space="preserve">human_review</w:t>
            </w:r>
          </w:p>
        </w:tc>
        <w:tc>
          <w:tcPr/>
          <w:p>
            <w:pPr>
              <w:pStyle w:val="Compact"/>
            </w:pPr>
            <w:r>
              <w:t xml:space="preserve">reviewer has checked record</w:t>
            </w:r>
          </w:p>
        </w:tc>
      </w:tr>
      <w:tr>
        <w:tc>
          <w:tcPr/>
          <w:p>
            <w:pPr>
              <w:pStyle w:val="Compact"/>
            </w:pPr>
            <w:r>
              <w:rPr>
                <w:rStyle w:val="VerbatimChar"/>
              </w:rPr>
              <w:t xml:space="preserve">ethics_review</w:t>
            </w:r>
          </w:p>
        </w:tc>
        <w:tc>
          <w:tcPr/>
          <w:p>
            <w:pPr>
              <w:pStyle w:val="Compact"/>
            </w:pPr>
            <w:r>
              <w:t xml:space="preserve">sensitivity and protocol review complete</w:t>
            </w:r>
          </w:p>
        </w:tc>
      </w:tr>
      <w:tr>
        <w:tc>
          <w:tcPr/>
          <w:p>
            <w:pPr>
              <w:pStyle w:val="Compact"/>
            </w:pPr>
            <w:r>
              <w:rPr>
                <w:rStyle w:val="VerbatimChar"/>
              </w:rPr>
              <w:t xml:space="preserve">duplicate_variant_resolution</w:t>
            </w:r>
          </w:p>
        </w:tc>
        <w:tc>
          <w:tcPr/>
          <w:p>
            <w:pPr>
              <w:pStyle w:val="Compact"/>
            </w:pPr>
            <w:r>
              <w:t xml:space="preserve">deduplication or cluster status</w:t>
            </w:r>
          </w:p>
        </w:tc>
      </w:tr>
    </w:tbl>
    <w:bookmarkEnd w:id="51"/>
    <w:bookmarkStart w:id="52" w:name="type-specific-dimensions"/>
    <w:p>
      <w:pPr>
        <w:pStyle w:val="Heading4"/>
      </w:pPr>
      <w:r>
        <w:t xml:space="preserve">Type-specific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 type</w:t>
            </w:r>
          </w:p>
        </w:tc>
        <w:tc>
          <w:tcPr/>
          <w:p>
            <w:pPr>
              <w:pStyle w:val="Compact"/>
            </w:pPr>
            <w:r>
              <w:t xml:space="preserve">Additional dimensions</w:t>
            </w:r>
          </w:p>
        </w:tc>
      </w:tr>
      <w:tr>
        <w:tc>
          <w:tcPr/>
          <w:p>
            <w:pPr>
              <w:pStyle w:val="Compact"/>
            </w:pPr>
            <w:r>
              <w:t xml:space="preserve">Encounter</w:t>
            </w:r>
          </w:p>
        </w:tc>
        <w:tc>
          <w:tcPr/>
          <w:p>
            <w:pPr>
              <w:pStyle w:val="Compact"/>
            </w:pPr>
            <w:r>
              <w:t xml:space="preserve">event specificity; event date; event location; morphology evidence; witness/report context; source proximity</w:t>
            </w:r>
          </w:p>
        </w:tc>
      </w:tr>
      <w:tr>
        <w:tc>
          <w:tcPr/>
          <w:p>
            <w:pPr>
              <w:pStyle w:val="Compact"/>
            </w:pPr>
            <w:r>
              <w:t xml:space="preserve">Apparition / ghost</w:t>
            </w:r>
          </w:p>
        </w:tc>
        <w:tc>
          <w:tcPr/>
          <w:p>
            <w:pPr>
              <w:pStyle w:val="Compact"/>
            </w:pPr>
            <w:r>
              <w:t xml:space="preserve">embodied/humanoid manifestation evidence; encounter-vs-legend status; place association; chronology; narrator/source chain</w:t>
            </w:r>
          </w:p>
        </w:tc>
      </w:tr>
      <w:tr>
        <w:tc>
          <w:tcPr/>
          <w:p>
            <w:pPr>
              <w:pStyle w:val="Compact"/>
            </w:pPr>
            <w:r>
              <w:t xml:space="preserve">Rumour / legend</w:t>
            </w:r>
          </w:p>
        </w:tc>
        <w:tc>
          <w:tcPr/>
          <w:p>
            <w:pPr>
              <w:pStyle w:val="Compact"/>
            </w:pPr>
            <w:r>
              <w:t xml:space="preserve">earliest attestation; place/community association; transmission evidence; variation stability; attributed source; event-basis known/unknown</w:t>
            </w:r>
          </w:p>
        </w:tc>
      </w:tr>
      <w:tr>
        <w:tc>
          <w:tcPr/>
          <w:p>
            <w:pPr>
              <w:pStyle w:val="Compact"/>
            </w:pPr>
            <w:r>
              <w:t xml:space="preserve">Traditional / spirit-person</w:t>
            </w:r>
          </w:p>
        </w:tc>
        <w:tc>
          <w:tcPr/>
          <w:p>
            <w:pPr>
              <w:pStyle w:val="Compact"/>
            </w:pPr>
            <w:r>
              <w:t xml:space="preserve">public attribution; narrator/collector/translator/editor context; language/community context where appropriate; community/institutional authority; sensitivity/publicness; reuse permission</w:t>
            </w:r>
          </w:p>
        </w:tc>
      </w:tr>
      <w:tr>
        <w:tc>
          <w:tcPr/>
          <w:p>
            <w:pPr>
              <w:pStyle w:val="Compact"/>
            </w:pPr>
            <w:r>
              <w:t xml:space="preserve">Retelling / adaptation</w:t>
            </w:r>
          </w:p>
        </w:tc>
        <w:tc>
          <w:tcPr/>
          <w:p>
            <w:pPr>
              <w:pStyle w:val="Compact"/>
            </w:pPr>
            <w:r>
              <w:t xml:space="preserve">identifiable prior version; recorded changes; derivative framing; source context; potential cultural overwriting</w:t>
            </w:r>
          </w:p>
        </w:tc>
      </w:tr>
    </w:tbl>
    <w:p>
      <w:pPr>
        <w:pStyle w:val="BodyText"/>
      </w:pPr>
      <w:r>
        <w:rPr>
          <w:b/>
          <w:bCs/>
        </w:rPr>
        <w:t xml:space="preserve">Do not score truth.</w:t>
      </w:r>
      <w:r>
        <w:t xml:space="preserve"> </w:t>
      </w:r>
      <w:r>
        <w:t xml:space="preserve">Score only archive usability, provenance, sensitivity, and descriptive confidence. fileciteturn0file0</w:t>
      </w:r>
    </w:p>
    <w:bookmarkEnd w:id="52"/>
    <w:bookmarkEnd w:id="53"/>
    <w:bookmarkStart w:id="55" w:name="source-hierarchy"/>
    <w:p>
      <w:pPr>
        <w:pStyle w:val="Heading3"/>
      </w:pPr>
      <w:r>
        <w:t xml:space="preserve">Source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Source class</w:t>
            </w:r>
          </w:p>
        </w:tc>
        <w:tc>
          <w:tcPr/>
          <w:p>
            <w:pPr>
              <w:pStyle w:val="Compact"/>
            </w:pPr>
            <w:r>
              <w:t xml:space="preserve">Role in archive</w:t>
            </w:r>
          </w:p>
        </w:tc>
      </w:tr>
      <w:tr>
        <w:tc>
          <w:tcPr/>
          <w:p>
            <w:pPr>
              <w:pStyle w:val="Compact"/>
            </w:pPr>
            <w:r>
              <w:t xml:space="preserve">Highest</w:t>
            </w:r>
          </w:p>
        </w:tc>
        <w:tc>
          <w:tcPr/>
          <w:p>
            <w:pPr>
              <w:pStyle w:val="Compact"/>
            </w:pPr>
            <w:r>
              <w:t xml:space="preserve">community-controlled public resources; AIATSIS; public cultural institutions; original public primary texts; Trove/NLA discoverable primary sources</w:t>
            </w:r>
          </w:p>
        </w:tc>
        <w:tc>
          <w:tcPr/>
          <w:p>
            <w:pPr>
              <w:pStyle w:val="Compact"/>
            </w:pPr>
            <w:r>
              <w:t xml:space="preserve">authoritative description, ethics, provenance, first attestation</w:t>
            </w:r>
          </w:p>
        </w:tc>
      </w:tr>
      <w:tr>
        <w:tc>
          <w:tcPr/>
          <w:p>
            <w:pPr>
              <w:pStyle w:val="Compact"/>
            </w:pPr>
            <w:r>
              <w:t xml:space="preserve">High</w:t>
            </w:r>
          </w:p>
        </w:tc>
        <w:tc>
          <w:tcPr/>
          <w:p>
            <w:pPr>
              <w:pStyle w:val="Compact"/>
            </w:pPr>
            <w:r>
              <w:t xml:space="preserve">state libraries, archives, museums, academic primary scholarship, public heritage authorities</w:t>
            </w:r>
          </w:p>
        </w:tc>
        <w:tc>
          <w:tcPr/>
          <w:p>
            <w:pPr>
              <w:pStyle w:val="Compact"/>
            </w:pPr>
            <w:r>
              <w:t xml:space="preserve">confirmation, context, metadata enrichment</w:t>
            </w:r>
          </w:p>
        </w:tc>
      </w:tr>
      <w:tr>
        <w:tc>
          <w:tcPr/>
          <w:p>
            <w:pPr>
              <w:pStyle w:val="Compact"/>
            </w:pPr>
            <w:r>
              <w:t xml:space="preserve">Medium</w:t>
            </w:r>
          </w:p>
        </w:tc>
        <w:tc>
          <w:tcPr/>
          <w:p>
            <w:pPr>
              <w:pStyle w:val="Compact"/>
            </w:pPr>
            <w:r>
              <w:t xml:space="preserve">reputable journalism, documentary, public local-history pages</w:t>
            </w:r>
          </w:p>
        </w:tc>
        <w:tc>
          <w:tcPr/>
          <w:p>
            <w:pPr>
              <w:pStyle w:val="Compact"/>
            </w:pPr>
            <w:r>
              <w:t xml:space="preserve">circulation history, retellings, media framing</w:t>
            </w:r>
          </w:p>
        </w:tc>
      </w:tr>
      <w:tr>
        <w:tc>
          <w:tcPr/>
          <w:p>
            <w:pPr>
              <w:pStyle w:val="Compact"/>
            </w:pPr>
            <w:r>
              <w:t xml:space="preserve">Low / discovery</w:t>
            </w:r>
          </w:p>
        </w:tc>
        <w:tc>
          <w:tcPr/>
          <w:p>
            <w:pPr>
              <w:pStyle w:val="Compact"/>
            </w:pPr>
            <w:r>
              <w:t xml:space="preserve">AYR, Wikipedia, general paranormal sites, tourism simplifications</w:t>
            </w:r>
          </w:p>
        </w:tc>
        <w:tc>
          <w:tcPr/>
          <w:p>
            <w:pPr>
              <w:pStyle w:val="Compact"/>
            </w:pPr>
            <w:r>
              <w:t xml:space="preserve">discovery only; never ontology authority</w:t>
            </w:r>
          </w:p>
        </w:tc>
      </w:tr>
      <w:tr>
        <w:tc>
          <w:tcPr/>
          <w:p>
            <w:pPr>
              <w:pStyle w:val="Compact"/>
            </w:pPr>
            <w:r>
              <w:t xml:space="preserve">Out of scope</w:t>
            </w:r>
          </w:p>
        </w:tc>
        <w:tc>
          <w:tcPr/>
          <w:p>
            <w:pPr>
              <w:pStyle w:val="Compact"/>
            </w:pPr>
            <w:r>
              <w:t xml:space="preserve">anonymous aggregators, sensational listicles with no traceability</w:t>
            </w:r>
          </w:p>
        </w:tc>
        <w:tc>
          <w:tcPr/>
          <w:p>
            <w:pPr>
              <w:pStyle w:val="Compact"/>
            </w:pPr>
            <w:r>
              <w:t xml:space="preserve">exclude or lead only</w:t>
            </w:r>
          </w:p>
        </w:tc>
      </w:tr>
    </w:tbl>
    <w:p>
      <w:pPr>
        <w:pStyle w:val="BodyText"/>
      </w:pPr>
      <w:r>
        <w:t xml:space="preserve">Trove matters here because it is a National Library of Australia discovery service aggregating newspapers, archives, images, manuscripts, official documents, and more; that makes it ideal for first attestation and public-circulation tracing. AYR should be treated as the brief recommends: a mixed source that can sometimes function as public witness text or discovery aid, but not as neutral ontological authority.</w:t>
      </w:r>
      <w:r>
        <w:t xml:space="preserve"> </w:t>
      </w:r>
      <w:hyperlink r:id="rId54">
        <w:r>
          <w:rPr>
            <w:rStyle w:val="Hyperlink"/>
          </w:rPr>
          <w:t xml:space="preserve">[12]</w:t>
        </w:r>
      </w:hyperlink>
      <w:r>
        <w:t xml:space="preserve"> </w:t>
      </w:r>
      <w:r>
        <w:t xml:space="preserve">fileciteturn0file0</w:t>
      </w:r>
    </w:p>
    <w:bookmarkEnd w:id="55"/>
    <w:bookmarkStart w:id="57" w:name="Xf040607d44e8407713f6b1d6b9f6188f1703f0d"/>
    <w:p>
      <w:pPr>
        <w:pStyle w:val="Heading3"/>
      </w:pPr>
      <w:r>
        <w:t xml:space="preserve">Ethics and culturally sensitive material policy</w:t>
      </w:r>
    </w:p>
    <w:p>
      <w:pPr>
        <w:pStyle w:val="FirstParagraph"/>
      </w:pPr>
      <w:r>
        <w:t xml:space="preserve">This project needs a stronger ethics layer than a normal folklore database. AIATSIS says Aboriginal and Torres Strait Islander peoples have the right to be fully engaged in processes that may impact them, and the right to control and maintain their culture and heritage. ATSILIRN adds that institutions should recognise cultural and intellectual property, consult over description and access, and distinguish offensive material from secret/sacred or otherwise sensitive material.</w:t>
      </w:r>
      <w:r>
        <w:t xml:space="preserve"> </w:t>
      </w:r>
      <w:hyperlink r:id="rId21">
        <w:r>
          <w:rPr>
            <w:rStyle w:val="Hyperlink"/>
          </w:rPr>
          <w:t xml:space="preserve">[3]</w:t>
        </w:r>
      </w:hyperlink>
    </w:p>
    <w:bookmarkStart w:id="56" w:name="required-policy-settings"/>
    <w:p>
      <w:pPr>
        <w:pStyle w:val="Heading4"/>
      </w:pPr>
      <w:r>
        <w:t xml:space="preserve">Required policy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Policy area</w:t>
            </w:r>
          </w:p>
        </w:tc>
        <w:tc>
          <w:tcPr/>
          <w:p>
            <w:pPr>
              <w:pStyle w:val="Compact"/>
            </w:pPr>
            <w:r>
              <w:t xml:space="preserve">Recommendation</w:t>
            </w:r>
          </w:p>
        </w:tc>
      </w:tr>
      <w:tr>
        <w:tc>
          <w:tcPr/>
          <w:p>
            <w:pPr>
              <w:pStyle w:val="Compact"/>
            </w:pPr>
            <w:r>
              <w:t xml:space="preserve">Sensitive materials</w:t>
            </w:r>
          </w:p>
        </w:tc>
        <w:tc>
          <w:tcPr/>
          <w:p>
            <w:pPr>
              <w:pStyle w:val="Compact"/>
            </w:pPr>
            <w:r>
              <w:t xml:space="preserve">add</w:t>
            </w:r>
            <w:r>
              <w:t xml:space="preserve"> </w:t>
            </w:r>
            <w:r>
              <w:rPr>
                <w:rStyle w:val="VerbatimChar"/>
              </w:rPr>
              <w:t xml:space="preserve">sensitivity_level</w:t>
            </w:r>
            <w:r>
              <w:t xml:space="preserve"> </w:t>
            </w:r>
            <w:r>
              <w:t xml:space="preserve">and</w:t>
            </w:r>
            <w:r>
              <w:t xml:space="preserve"> </w:t>
            </w:r>
            <w:r>
              <w:rPr>
                <w:rStyle w:val="VerbatimChar"/>
              </w:rPr>
              <w:t xml:space="preserve">ethics_status</w:t>
            </w:r>
            <w:r>
              <w:t xml:space="preserve">; allow summary-only display or suppression</w:t>
            </w:r>
          </w:p>
        </w:tc>
      </w:tr>
      <w:tr>
        <w:tc>
          <w:tcPr/>
          <w:p>
            <w:pPr>
              <w:pStyle w:val="Compact"/>
            </w:pPr>
            <w:r>
              <w:t xml:space="preserve">Deceased persons</w:t>
            </w:r>
          </w:p>
        </w:tc>
        <w:tc>
          <w:tcPr/>
          <w:p>
            <w:pPr>
              <w:pStyle w:val="Compact"/>
            </w:pPr>
            <w:r>
              <w:t xml:space="preserve">support warnings and collection-level banners where relevant</w:t>
            </w:r>
          </w:p>
        </w:tc>
      </w:tr>
      <w:tr>
        <w:tc>
          <w:tcPr/>
          <w:p>
            <w:pPr>
              <w:pStyle w:val="Compact"/>
            </w:pPr>
            <w:r>
              <w:t xml:space="preserve">Indigenous materials</w:t>
            </w:r>
          </w:p>
        </w:tc>
        <w:tc>
          <w:tcPr/>
          <w:p>
            <w:pPr>
              <w:pStyle w:val="Compact"/>
            </w:pPr>
            <w:r>
              <w:t xml:space="preserve">preserve source/community terms; record classifier; require review before public normalization</w:t>
            </w:r>
          </w:p>
        </w:tc>
      </w:tr>
      <w:tr>
        <w:tc>
          <w:tcPr/>
          <w:p>
            <w:pPr>
              <w:pStyle w:val="Compact"/>
            </w:pPr>
            <w:r>
              <w:t xml:space="preserve">Secret/sacred risk</w:t>
            </w:r>
          </w:p>
        </w:tc>
        <w:tc>
          <w:tcPr/>
          <w:p>
            <w:pPr>
              <w:pStyle w:val="Compact"/>
            </w:pPr>
            <w:r>
              <w:t xml:space="preserve">do not ingest or display substantive restricted content; metadata-only if necessary</w:t>
            </w:r>
          </w:p>
        </w:tc>
      </w:tr>
      <w:tr>
        <w:tc>
          <w:tcPr/>
          <w:p>
            <w:pPr>
              <w:pStyle w:val="Compact"/>
            </w:pPr>
            <w:r>
              <w:t xml:space="preserve">Reproduction rights</w:t>
            </w:r>
          </w:p>
        </w:tc>
        <w:tc>
          <w:tcPr/>
          <w:p>
            <w:pPr>
              <w:pStyle w:val="Compact"/>
            </w:pPr>
            <w:r>
              <w:t xml:space="preserve">distinguish permission to describe from permission to reproduce images/text</w:t>
            </w:r>
          </w:p>
        </w:tc>
      </w:tr>
      <w:tr>
        <w:tc>
          <w:tcPr/>
          <w:p>
            <w:pPr>
              <w:pStyle w:val="Compact"/>
            </w:pPr>
            <w:r>
              <w:t xml:space="preserve">Takedown / amendment</w:t>
            </w:r>
          </w:p>
        </w:tc>
        <w:tc>
          <w:tcPr/>
          <w:p>
            <w:pPr>
              <w:pStyle w:val="Compact"/>
            </w:pPr>
            <w:r>
              <w:t xml:space="preserve">provide public correction and takedown workflow</w:t>
            </w:r>
          </w:p>
        </w:tc>
      </w:tr>
    </w:tbl>
    <w:p>
      <w:pPr>
        <w:pStyle w:val="BodyText"/>
      </w:pPr>
      <w:r>
        <w:t xml:space="preserve">Community-controlled public sites themselves often model this practice. Dambimangari’s site carries a warning that it includes images of deceased people, while also framing Wandjina culture as central to community heritage. That is exactly the kind of provenance-plus-protocol model this archive should emulate.</w:t>
      </w:r>
      <w:r>
        <w:t xml:space="preserve"> </w:t>
      </w:r>
      <w:hyperlink r:id="rId38">
        <w:r>
          <w:rPr>
            <w:rStyle w:val="Hyperlink"/>
          </w:rPr>
          <w:t xml:space="preserve">[13]</w:t>
        </w:r>
      </w:hyperlink>
    </w:p>
    <w:bookmarkEnd w:id="56"/>
    <w:bookmarkEnd w:id="57"/>
    <w:bookmarkEnd w:id="58"/>
    <w:bookmarkStart w:id="68" w:name="X5b9ebaf120136101c3141b96f20262b8619242a"/>
    <w:p>
      <w:pPr>
        <w:pStyle w:val="Heading2"/>
      </w:pPr>
      <w:r>
        <w:t xml:space="preserve">Data architecture, frontend, and implementation brief</w:t>
      </w:r>
    </w:p>
    <w:bookmarkStart w:id="61" w:name="transitional-migration"/>
    <w:p>
      <w:pPr>
        <w:pStyle w:val="Heading3"/>
      </w:pPr>
      <w:r>
        <w:t xml:space="preserve">Transitional migration</w:t>
      </w:r>
    </w:p>
    <w:p>
      <w:pPr>
        <w:pStyle w:val="FirstParagraph"/>
      </w:pPr>
      <w:r>
        <w:t xml:space="preserve">I recommend a</w:t>
      </w:r>
      <w:r>
        <w:t xml:space="preserve"> </w:t>
      </w:r>
      <w:r>
        <w:rPr>
          <w:b/>
          <w:bCs/>
        </w:rPr>
        <w:t xml:space="preserve">two-stage migration</w:t>
      </w:r>
      <w:r>
        <w:t xml:space="preserve">.</w:t>
      </w:r>
    </w:p>
    <w:bookmarkStart w:id="59" w:name="immediate-transition"/>
    <w:p>
      <w:pPr>
        <w:pStyle w:val="Heading4"/>
      </w:pPr>
      <w:r>
        <w:t xml:space="preserve">Immediate transition</w:t>
      </w:r>
    </w:p>
    <w:p>
      <w:pPr>
        <w:pStyle w:val="FirstParagraph"/>
      </w:pPr>
      <w:r>
        <w:t xml:space="preserve">Retain the current table, freeze current IDs, and add:</w:t>
      </w:r>
    </w:p>
    <w:p>
      <w:pPr>
        <w:pStyle w:val="Compact"/>
        <w:numPr>
          <w:ilvl w:val="0"/>
          <w:numId w:val="1002"/>
        </w:numPr>
      </w:pPr>
      <w:r>
        <w:rPr>
          <w:rStyle w:val="VerbatimChar"/>
        </w:rPr>
        <w:t xml:space="preserve">record_role</w:t>
      </w:r>
    </w:p>
    <w:p>
      <w:pPr>
        <w:pStyle w:val="Compact"/>
        <w:numPr>
          <w:ilvl w:val="0"/>
          <w:numId w:val="1002"/>
        </w:numPr>
      </w:pPr>
      <w:r>
        <w:rPr>
          <w:rStyle w:val="VerbatimChar"/>
        </w:rPr>
        <w:t xml:space="preserve">narrative_type</w:t>
      </w:r>
    </w:p>
    <w:p>
      <w:pPr>
        <w:pStyle w:val="Compact"/>
        <w:numPr>
          <w:ilvl w:val="0"/>
          <w:numId w:val="1002"/>
        </w:numPr>
      </w:pPr>
      <w:r>
        <w:rPr>
          <w:rStyle w:val="VerbatimChar"/>
        </w:rPr>
        <w:t xml:space="preserve">analysis_status</w:t>
      </w:r>
    </w:p>
    <w:p>
      <w:pPr>
        <w:pStyle w:val="Compact"/>
        <w:numPr>
          <w:ilvl w:val="0"/>
          <w:numId w:val="1002"/>
        </w:numPr>
      </w:pPr>
      <w:r>
        <w:rPr>
          <w:rStyle w:val="VerbatimChar"/>
        </w:rPr>
        <w:t xml:space="preserve">encounter_candidate_status</w:t>
      </w:r>
    </w:p>
    <w:p>
      <w:pPr>
        <w:pStyle w:val="Compact"/>
        <w:numPr>
          <w:ilvl w:val="0"/>
          <w:numId w:val="1002"/>
        </w:numPr>
      </w:pPr>
      <w:r>
        <w:rPr>
          <w:rStyle w:val="VerbatimChar"/>
        </w:rPr>
        <w:t xml:space="preserve">source_traceability_status</w:t>
      </w:r>
    </w:p>
    <w:p>
      <w:pPr>
        <w:pStyle w:val="Compact"/>
        <w:numPr>
          <w:ilvl w:val="0"/>
          <w:numId w:val="1002"/>
        </w:numPr>
      </w:pPr>
      <w:r>
        <w:rPr>
          <w:rStyle w:val="VerbatimChar"/>
        </w:rPr>
        <w:t xml:space="preserve">humanoid_basis</w:t>
      </w:r>
    </w:p>
    <w:p>
      <w:pPr>
        <w:pStyle w:val="Compact"/>
        <w:numPr>
          <w:ilvl w:val="0"/>
          <w:numId w:val="1002"/>
        </w:numPr>
      </w:pPr>
      <w:r>
        <w:rPr>
          <w:rStyle w:val="VerbatimChar"/>
        </w:rPr>
        <w:t xml:space="preserve">australia_relation</w:t>
      </w:r>
    </w:p>
    <w:p>
      <w:pPr>
        <w:pStyle w:val="Compact"/>
        <w:numPr>
          <w:ilvl w:val="0"/>
          <w:numId w:val="1002"/>
        </w:numPr>
      </w:pPr>
      <w:r>
        <w:rPr>
          <w:rStyle w:val="VerbatimChar"/>
        </w:rPr>
        <w:t xml:space="preserve">cultural_sensitivity</w:t>
      </w:r>
    </w:p>
    <w:p>
      <w:pPr>
        <w:pStyle w:val="Compact"/>
        <w:numPr>
          <w:ilvl w:val="0"/>
          <w:numId w:val="1002"/>
        </w:numPr>
      </w:pPr>
      <w:r>
        <w:rPr>
          <w:rStyle w:val="VerbatimChar"/>
        </w:rPr>
        <w:t xml:space="preserve">ethics_review_status</w:t>
      </w:r>
    </w:p>
    <w:p>
      <w:pPr>
        <w:pStyle w:val="Compact"/>
        <w:numPr>
          <w:ilvl w:val="0"/>
          <w:numId w:val="1002"/>
        </w:numPr>
      </w:pPr>
      <w:r>
        <w:rPr>
          <w:rStyle w:val="VerbatimChar"/>
        </w:rPr>
        <w:t xml:space="preserve">narrative_cluster_id</w:t>
      </w:r>
    </w:p>
    <w:p>
      <w:pPr>
        <w:pStyle w:val="Compact"/>
        <w:numPr>
          <w:ilvl w:val="0"/>
          <w:numId w:val="1002"/>
        </w:numPr>
      </w:pPr>
      <w:r>
        <w:rPr>
          <w:rStyle w:val="VerbatimChar"/>
        </w:rPr>
        <w:t xml:space="preserve">source_label</w:t>
      </w:r>
    </w:p>
    <w:p>
      <w:pPr>
        <w:pStyle w:val="Compact"/>
        <w:numPr>
          <w:ilvl w:val="0"/>
          <w:numId w:val="1002"/>
        </w:numPr>
      </w:pPr>
      <w:r>
        <w:rPr>
          <w:rStyle w:val="VerbatimChar"/>
        </w:rPr>
        <w:t xml:space="preserve">normalized_entity_concept</w:t>
      </w:r>
    </w:p>
    <w:p>
      <w:pPr>
        <w:pStyle w:val="Compact"/>
        <w:numPr>
          <w:ilvl w:val="0"/>
          <w:numId w:val="1002"/>
        </w:numPr>
      </w:pPr>
      <w:r>
        <w:rPr>
          <w:rStyle w:val="VerbatimChar"/>
        </w:rPr>
        <w:t xml:space="preserve">location_role</w:t>
      </w:r>
    </w:p>
    <w:p>
      <w:pPr>
        <w:pStyle w:val="Compact"/>
        <w:numPr>
          <w:ilvl w:val="0"/>
          <w:numId w:val="1002"/>
        </w:numPr>
      </w:pPr>
      <w:r>
        <w:rPr>
          <w:rStyle w:val="VerbatimChar"/>
        </w:rPr>
        <w:t xml:space="preserve">location_precision</w:t>
      </w:r>
    </w:p>
    <w:p>
      <w:pPr>
        <w:pStyle w:val="Compact"/>
        <w:numPr>
          <w:ilvl w:val="0"/>
          <w:numId w:val="1002"/>
        </w:numPr>
      </w:pPr>
      <w:r>
        <w:rPr>
          <w:rStyle w:val="VerbatimChar"/>
        </w:rPr>
        <w:t xml:space="preserve">location_verification_status</w:t>
      </w:r>
    </w:p>
    <w:p>
      <w:pPr>
        <w:pStyle w:val="Compact"/>
        <w:numPr>
          <w:ilvl w:val="0"/>
          <w:numId w:val="1002"/>
        </w:numPr>
      </w:pPr>
      <w:r>
        <w:rPr>
          <w:rStyle w:val="VerbatimChar"/>
        </w:rPr>
        <w:t xml:space="preserve">earliest_attestation</w:t>
      </w:r>
    </w:p>
    <w:p>
      <w:pPr>
        <w:pStyle w:val="Compact"/>
        <w:numPr>
          <w:ilvl w:val="0"/>
          <w:numId w:val="1002"/>
        </w:numPr>
      </w:pPr>
      <w:r>
        <w:rPr>
          <w:rStyle w:val="VerbatimChar"/>
        </w:rPr>
        <w:t xml:space="preserve">event_date_if_applicable</w:t>
      </w:r>
    </w:p>
    <w:p>
      <w:pPr>
        <w:pStyle w:val="Compact"/>
        <w:numPr>
          <w:ilvl w:val="0"/>
          <w:numId w:val="1002"/>
        </w:numPr>
      </w:pPr>
      <w:r>
        <w:rPr>
          <w:rStyle w:val="VerbatimChar"/>
        </w:rPr>
        <w:t xml:space="preserve">circulation_period_if_applicable</w:t>
      </w:r>
    </w:p>
    <w:p>
      <w:pPr>
        <w:pStyle w:val="FirstParagraph"/>
      </w:pPr>
      <w:r>
        <w:t xml:space="preserve">This lets the frontend keep working while stopping further ontological damage. fileciteturn0file0</w:t>
      </w:r>
    </w:p>
    <w:bookmarkEnd w:id="59"/>
    <w:bookmarkStart w:id="60" w:name="target-architecture"/>
    <w:p>
      <w:pPr>
        <w:pStyle w:val="Heading4"/>
      </w:pPr>
      <w:r>
        <w:t xml:space="preserve">Target architecture</w:t>
      </w:r>
    </w:p>
    <w:p>
      <w:pPr>
        <w:pStyle w:val="FirstParagraph"/>
      </w:pPr>
      <w:r>
        <w:t xml:space="preserve">Move to the normalized model described earlier. The key non-negotiables are:</w:t>
      </w:r>
    </w:p>
    <w:p>
      <w:pPr>
        <w:pStyle w:val="Compact"/>
        <w:numPr>
          <w:ilvl w:val="0"/>
          <w:numId w:val="1003"/>
        </w:numPr>
      </w:pPr>
      <w:r>
        <w:t xml:space="preserve">separate</w:t>
      </w:r>
      <w:r>
        <w:t xml:space="preserve"> </w:t>
      </w:r>
      <w:r>
        <w:rPr>
          <w:rStyle w:val="VerbatimChar"/>
        </w:rPr>
        <w:t xml:space="preserve">source_items</w:t>
      </w:r>
      <w:r>
        <w:t xml:space="preserve"> </w:t>
      </w:r>
      <w:r>
        <w:t xml:space="preserve">from</w:t>
      </w:r>
      <w:r>
        <w:t xml:space="preserve"> </w:t>
      </w:r>
      <w:r>
        <w:rPr>
          <w:rStyle w:val="VerbatimChar"/>
        </w:rPr>
        <w:t xml:space="preserve">narrative_units</w:t>
      </w:r>
    </w:p>
    <w:p>
      <w:pPr>
        <w:pStyle w:val="Compact"/>
        <w:numPr>
          <w:ilvl w:val="0"/>
          <w:numId w:val="1003"/>
        </w:numPr>
      </w:pPr>
      <w:r>
        <w:t xml:space="preserve">keep</w:t>
      </w:r>
      <w:r>
        <w:t xml:space="preserve"> </w:t>
      </w:r>
      <w:r>
        <w:rPr>
          <w:rStyle w:val="VerbatimChar"/>
        </w:rPr>
        <w:t xml:space="preserve">encounter_events</w:t>
      </w:r>
      <w:r>
        <w:t xml:space="preserve"> </w:t>
      </w:r>
      <w:r>
        <w:t xml:space="preserve">optional</w:t>
      </w:r>
    </w:p>
    <w:p>
      <w:pPr>
        <w:pStyle w:val="Compact"/>
        <w:numPr>
          <w:ilvl w:val="0"/>
          <w:numId w:val="1003"/>
        </w:numPr>
      </w:pPr>
      <w:r>
        <w:t xml:space="preserve">split</w:t>
      </w:r>
      <w:r>
        <w:t xml:space="preserve"> </w:t>
      </w:r>
      <w:r>
        <w:rPr>
          <w:rStyle w:val="VerbatimChar"/>
        </w:rPr>
        <w:t xml:space="preserve">entity_labels</w:t>
      </w:r>
      <w:r>
        <w:t xml:space="preserve"> </w:t>
      </w:r>
      <w:r>
        <w:t xml:space="preserve">from</w:t>
      </w:r>
      <w:r>
        <w:t xml:space="preserve"> </w:t>
      </w:r>
      <w:r>
        <w:rPr>
          <w:rStyle w:val="VerbatimChar"/>
        </w:rPr>
        <w:t xml:space="preserve">entity_concepts</w:t>
      </w:r>
    </w:p>
    <w:p>
      <w:pPr>
        <w:pStyle w:val="Compact"/>
        <w:numPr>
          <w:ilvl w:val="0"/>
          <w:numId w:val="1003"/>
        </w:numPr>
      </w:pPr>
      <w:r>
        <w:t xml:space="preserve">require role-specific locations</w:t>
      </w:r>
    </w:p>
    <w:p>
      <w:pPr>
        <w:pStyle w:val="Compact"/>
        <w:numPr>
          <w:ilvl w:val="0"/>
          <w:numId w:val="1003"/>
        </w:numPr>
      </w:pPr>
      <w:r>
        <w:t xml:space="preserve">preserve a</w:t>
      </w:r>
      <w:r>
        <w:t xml:space="preserve"> </w:t>
      </w:r>
      <w:r>
        <w:rPr>
          <w:rStyle w:val="VerbatimChar"/>
        </w:rPr>
        <w:t xml:space="preserve">reviews</w:t>
      </w:r>
      <w:r>
        <w:t xml:space="preserve"> </w:t>
      </w:r>
      <w:r>
        <w:t xml:space="preserve">layer for ethics/classification/human QA</w:t>
      </w:r>
    </w:p>
    <w:p>
      <w:pPr>
        <w:pStyle w:val="Compact"/>
        <w:numPr>
          <w:ilvl w:val="0"/>
          <w:numId w:val="1003"/>
        </w:numPr>
      </w:pPr>
      <w:r>
        <w:t xml:space="preserve">maintain old record IDs as legacy references</w:t>
      </w:r>
    </w:p>
    <w:bookmarkEnd w:id="60"/>
    <w:bookmarkEnd w:id="61"/>
    <w:bookmarkStart w:id="62" w:name="minimal-versus-normalized-model"/>
    <w:p>
      <w:pPr>
        <w:pStyle w:val="Heading3"/>
      </w:pPr>
      <w:r>
        <w:t xml:space="preserve">Minimal versus normalized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What it is good for</w:t>
            </w:r>
          </w:p>
        </w:tc>
        <w:tc>
          <w:tcPr/>
          <w:p>
            <w:pPr>
              <w:pStyle w:val="Compact"/>
            </w:pPr>
            <w:r>
              <w:t xml:space="preserve">What it cannot solve</w:t>
            </w:r>
          </w:p>
        </w:tc>
        <w:tc>
          <w:tcPr/>
          <w:p>
            <w:pPr>
              <w:pStyle w:val="Compact"/>
            </w:pPr>
            <w:r>
              <w:t xml:space="preserve">Recommendation</w:t>
            </w:r>
          </w:p>
        </w:tc>
      </w:tr>
      <w:tr>
        <w:tc>
          <w:tcPr/>
          <w:p>
            <w:pPr>
              <w:pStyle w:val="Compact"/>
            </w:pPr>
            <w:r>
              <w:t xml:space="preserve">Minimal transition</w:t>
            </w:r>
          </w:p>
        </w:tc>
        <w:tc>
          <w:tcPr/>
          <w:p>
            <w:pPr>
              <w:pStyle w:val="Compact"/>
            </w:pPr>
            <w:r>
              <w:t xml:space="preserve">fast safety upgrade; preserves exports; easy frontend continuity</w:t>
            </w:r>
          </w:p>
        </w:tc>
        <w:tc>
          <w:tcPr/>
          <w:p>
            <w:pPr>
              <w:pStyle w:val="Compact"/>
            </w:pPr>
            <w:r>
              <w:t xml:space="preserve">still mixes sources and narratives; still weak on variants and provenance</w:t>
            </w:r>
          </w:p>
        </w:tc>
        <w:tc>
          <w:tcPr/>
          <w:p>
            <w:pPr>
              <w:pStyle w:val="Compact"/>
            </w:pPr>
            <w:r>
              <w:rPr>
                <w:b/>
                <w:bCs/>
              </w:rPr>
              <w:t xml:space="preserve">Implement now</w:t>
            </w:r>
          </w:p>
        </w:tc>
      </w:tr>
      <w:tr>
        <w:tc>
          <w:tcPr/>
          <w:p>
            <w:pPr>
              <w:pStyle w:val="Compact"/>
            </w:pPr>
            <w:r>
              <w:t xml:space="preserve">Fully normalized target</w:t>
            </w:r>
          </w:p>
        </w:tc>
        <w:tc>
          <w:tcPr/>
          <w:p>
            <w:pPr>
              <w:pStyle w:val="Compact"/>
            </w:pPr>
            <w:r>
              <w:t xml:space="preserve">clean multi-corpus archive; strong provenance; variant links; future expansion</w:t>
            </w:r>
          </w:p>
        </w:tc>
        <w:tc>
          <w:tcPr/>
          <w:p>
            <w:pPr>
              <w:pStyle w:val="Compact"/>
            </w:pPr>
            <w:r>
              <w:t xml:space="preserve">more engineering effort</w:t>
            </w:r>
          </w:p>
        </w:tc>
        <w:tc>
          <w:tcPr/>
          <w:p>
            <w:pPr>
              <w:pStyle w:val="Compact"/>
            </w:pPr>
            <w:r>
              <w:rPr>
                <w:b/>
                <w:bCs/>
              </w:rPr>
              <w:t xml:space="preserve">Build next</w:t>
            </w:r>
          </w:p>
        </w:tc>
      </w:tr>
    </w:tbl>
    <w:bookmarkEnd w:id="62"/>
    <w:bookmarkStart w:id="66" w:name="frontend-counts-map-layers-and-timelines"/>
    <w:p>
      <w:pPr>
        <w:pStyle w:val="Heading3"/>
      </w:pPr>
      <w:r>
        <w:t xml:space="preserve">Frontend counts, map layers, and timelines</w:t>
      </w:r>
    </w:p>
    <w:p>
      <w:pPr>
        <w:pStyle w:val="FirstParagraph"/>
      </w:pPr>
      <w:r>
        <w:t xml:space="preserve">The frontend should stop showing one undifferentiated record total.</w:t>
      </w:r>
    </w:p>
    <w:bookmarkStart w:id="63" w:name="recommended-counts"/>
    <w:p>
      <w:pPr>
        <w:pStyle w:val="Heading4"/>
      </w:pPr>
      <w:r>
        <w:t xml:space="preserve">Recommended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Show publicly?</w:t>
            </w:r>
          </w:p>
        </w:tc>
      </w:tr>
      <w:tr>
        <w:tc>
          <w:tcPr/>
          <w:p>
            <w:pPr>
              <w:pStyle w:val="Compact"/>
            </w:pPr>
            <w:r>
              <w:t xml:space="preserve">encounter accounts</w:t>
            </w:r>
          </w:p>
        </w:tc>
        <w:tc>
          <w:tcPr/>
          <w:p>
            <w:pPr>
              <w:pStyle w:val="Compact"/>
            </w:pPr>
            <w:r>
              <w:t xml:space="preserve">Yes</w:t>
            </w:r>
          </w:p>
        </w:tc>
      </w:tr>
      <w:tr>
        <w:tc>
          <w:tcPr/>
          <w:p>
            <w:pPr>
              <w:pStyle w:val="Compact"/>
            </w:pPr>
            <w:r>
              <w:t xml:space="preserve">apparition / ghost accounts</w:t>
            </w:r>
          </w:p>
        </w:tc>
        <w:tc>
          <w:tcPr/>
          <w:p>
            <w:pPr>
              <w:pStyle w:val="Compact"/>
            </w:pPr>
            <w:r>
              <w:t xml:space="preserve">Yes</w:t>
            </w:r>
          </w:p>
        </w:tc>
      </w:tr>
      <w:tr>
        <w:tc>
          <w:tcPr/>
          <w:p>
            <w:pPr>
              <w:pStyle w:val="Compact"/>
            </w:pPr>
            <w:r>
              <w:t xml:space="preserve">rumours / local legends</w:t>
            </w:r>
          </w:p>
        </w:tc>
        <w:tc>
          <w:tcPr/>
          <w:p>
            <w:pPr>
              <w:pStyle w:val="Compact"/>
            </w:pPr>
            <w:r>
              <w:t xml:space="preserve">Yes</w:t>
            </w:r>
          </w:p>
        </w:tc>
      </w:tr>
      <w:tr>
        <w:tc>
          <w:tcPr/>
          <w:p>
            <w:pPr>
              <w:pStyle w:val="Compact"/>
            </w:pPr>
            <w:r>
              <w:t xml:space="preserve">traditional / spirit-person narratives</w:t>
            </w:r>
          </w:p>
        </w:tc>
        <w:tc>
          <w:tcPr/>
          <w:p>
            <w:pPr>
              <w:pStyle w:val="Compact"/>
            </w:pPr>
            <w:r>
              <w:t xml:space="preserve">Yes</w:t>
            </w:r>
          </w:p>
        </w:tc>
      </w:tr>
      <w:tr>
        <w:tc>
          <w:tcPr/>
          <w:p>
            <w:pPr>
              <w:pStyle w:val="Compact"/>
            </w:pPr>
            <w:r>
              <w:t xml:space="preserve">retellings / adaptations</w:t>
            </w:r>
          </w:p>
        </w:tc>
        <w:tc>
          <w:tcPr/>
          <w:p>
            <w:pPr>
              <w:pStyle w:val="Compact"/>
            </w:pPr>
            <w:r>
              <w:t xml:space="preserve">Yes</w:t>
            </w:r>
          </w:p>
        </w:tc>
      </w:tr>
      <w:tr>
        <w:tc>
          <w:tcPr/>
          <w:p>
            <w:pPr>
              <w:pStyle w:val="Compact"/>
            </w:pPr>
            <w:r>
              <w:t xml:space="preserve">discourse / context records</w:t>
            </w:r>
          </w:p>
        </w:tc>
        <w:tc>
          <w:tcPr/>
          <w:p>
            <w:pPr>
              <w:pStyle w:val="Compact"/>
            </w:pPr>
            <w:r>
              <w:t xml:space="preserve">Yes</w:t>
            </w:r>
          </w:p>
        </w:tc>
      </w:tr>
      <w:tr>
        <w:tc>
          <w:tcPr/>
          <w:p>
            <w:pPr>
              <w:pStyle w:val="Compact"/>
            </w:pPr>
            <w:r>
              <w:t xml:space="preserve">public source items</w:t>
            </w:r>
          </w:p>
        </w:tc>
        <w:tc>
          <w:tcPr/>
          <w:p>
            <w:pPr>
              <w:pStyle w:val="Compact"/>
            </w:pPr>
            <w:r>
              <w:t xml:space="preserve">Yes</w:t>
            </w:r>
          </w:p>
        </w:tc>
      </w:tr>
      <w:tr>
        <w:tc>
          <w:tcPr/>
          <w:p>
            <w:pPr>
              <w:pStyle w:val="Compact"/>
            </w:pPr>
            <w:r>
              <w:t xml:space="preserve">narrative clusters</w:t>
            </w:r>
          </w:p>
        </w:tc>
        <w:tc>
          <w:tcPr/>
          <w:p>
            <w:pPr>
              <w:pStyle w:val="Compact"/>
            </w:pPr>
            <w:r>
              <w:t xml:space="preserve">Yes</w:t>
            </w:r>
          </w:p>
        </w:tc>
      </w:tr>
      <w:tr>
        <w:tc>
          <w:tcPr/>
          <w:p>
            <w:pPr>
              <w:pStyle w:val="Compact"/>
            </w:pPr>
            <w:r>
              <w:t xml:space="preserve">entity concepts</w:t>
            </w:r>
          </w:p>
        </w:tc>
        <w:tc>
          <w:tcPr/>
          <w:p>
            <w:pPr>
              <w:pStyle w:val="Compact"/>
            </w:pPr>
            <w:r>
              <w:t xml:space="preserve">Yes</w:t>
            </w:r>
          </w:p>
        </w:tc>
      </w:tr>
      <w:tr>
        <w:tc>
          <w:tcPr/>
          <w:p>
            <w:pPr>
              <w:pStyle w:val="Compact"/>
            </w:pPr>
            <w:r>
              <w:t xml:space="preserve">source labels</w:t>
            </w:r>
          </w:p>
        </w:tc>
        <w:tc>
          <w:tcPr/>
          <w:p>
            <w:pPr>
              <w:pStyle w:val="Compact"/>
            </w:pPr>
            <w:r>
              <w:t xml:space="preserve">Yes</w:t>
            </w:r>
          </w:p>
        </w:tc>
      </w:tr>
      <w:tr>
        <w:tc>
          <w:tcPr/>
          <w:p>
            <w:pPr>
              <w:pStyle w:val="Compact"/>
            </w:pPr>
            <w:r>
              <w:t xml:space="preserve">unresolved leads</w:t>
            </w:r>
          </w:p>
        </w:tc>
        <w:tc>
          <w:tcPr/>
          <w:p>
            <w:pPr>
              <w:pStyle w:val="Compact"/>
            </w:pPr>
            <w:r>
              <w:t xml:space="preserve">Optional</w:t>
            </w:r>
          </w:p>
        </w:tc>
      </w:tr>
      <w:tr>
        <w:tc>
          <w:tcPr/>
          <w:p>
            <w:pPr>
              <w:pStyle w:val="Compact"/>
            </w:pPr>
            <w:r>
              <w:t xml:space="preserve">high-sensitivity records</w:t>
            </w:r>
          </w:p>
        </w:tc>
        <w:tc>
          <w:tcPr/>
          <w:p>
            <w:pPr>
              <w:pStyle w:val="Compact"/>
            </w:pPr>
            <w:r>
              <w:t xml:space="preserve">Yes, but possibly without clickable detail</w:t>
            </w:r>
          </w:p>
        </w:tc>
      </w:tr>
      <w:tr>
        <w:tc>
          <w:tcPr/>
          <w:p>
            <w:pPr>
              <w:pStyle w:val="Compact"/>
            </w:pPr>
            <w:r>
              <w:t xml:space="preserve">analysis-ready records</w:t>
            </w:r>
          </w:p>
        </w:tc>
        <w:tc>
          <w:tcPr/>
          <w:p>
            <w:pPr>
              <w:pStyle w:val="Compact"/>
            </w:pPr>
            <w:r>
              <w:t xml:space="preserve">Yes</w:t>
            </w:r>
          </w:p>
        </w:tc>
      </w:tr>
    </w:tbl>
    <w:bookmarkEnd w:id="63"/>
    <w:bookmarkStart w:id="64" w:name="recommended-map-layers"/>
    <w:p>
      <w:pPr>
        <w:pStyle w:val="Heading4"/>
      </w:pPr>
      <w:r>
        <w:t xml:space="preserve">Recommended map layers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Default</w:t>
            </w:r>
          </w:p>
        </w:tc>
      </w:tr>
      <w:tr>
        <w:tc>
          <w:tcPr/>
          <w:p>
            <w:pPr>
              <w:pStyle w:val="Compact"/>
            </w:pPr>
            <w:r>
              <w:t xml:space="preserve">alleged encounter location</w:t>
            </w:r>
          </w:p>
        </w:tc>
        <w:tc>
          <w:tcPr/>
          <w:p>
            <w:pPr>
              <w:pStyle w:val="Compact"/>
            </w:pPr>
            <w:r>
              <w:t xml:space="preserve">Off</w:t>
            </w:r>
          </w:p>
        </w:tc>
      </w:tr>
      <w:tr>
        <w:tc>
          <w:tcPr/>
          <w:p>
            <w:pPr>
              <w:pStyle w:val="Compact"/>
            </w:pPr>
            <w:r>
              <w:t xml:space="preserve">legend-associated place</w:t>
            </w:r>
          </w:p>
        </w:tc>
        <w:tc>
          <w:tcPr/>
          <w:p>
            <w:pPr>
              <w:pStyle w:val="Compact"/>
            </w:pPr>
            <w:r>
              <w:t xml:space="preserve">Off</w:t>
            </w:r>
          </w:p>
        </w:tc>
      </w:tr>
      <w:tr>
        <w:tc>
          <w:tcPr/>
          <w:p>
            <w:pPr>
              <w:pStyle w:val="Compact"/>
            </w:pPr>
            <w:r>
              <w:t xml:space="preserve">narrative setting</w:t>
            </w:r>
          </w:p>
        </w:tc>
        <w:tc>
          <w:tcPr/>
          <w:p>
            <w:pPr>
              <w:pStyle w:val="Compact"/>
            </w:pPr>
            <w:r>
              <w:t xml:space="preserve">Off</w:t>
            </w:r>
          </w:p>
        </w:tc>
      </w:tr>
      <w:tr>
        <w:tc>
          <w:tcPr/>
          <w:p>
            <w:pPr>
              <w:pStyle w:val="Compact"/>
            </w:pPr>
            <w:r>
              <w:t xml:space="preserve">cultural association region</w:t>
            </w:r>
          </w:p>
        </w:tc>
        <w:tc>
          <w:tcPr/>
          <w:p>
            <w:pPr>
              <w:pStyle w:val="Compact"/>
            </w:pPr>
            <w:r>
              <w:t xml:space="preserve">Off</w:t>
            </w:r>
          </w:p>
        </w:tc>
      </w:tr>
      <w:tr>
        <w:tc>
          <w:tcPr/>
          <w:p>
            <w:pPr>
              <w:pStyle w:val="Compact"/>
            </w:pPr>
            <w:r>
              <w:t xml:space="preserve">publication location</w:t>
            </w:r>
          </w:p>
        </w:tc>
        <w:tc>
          <w:tcPr/>
          <w:p>
            <w:pPr>
              <w:pStyle w:val="Compact"/>
            </w:pPr>
            <w:r>
              <w:t xml:space="preserve">Off</w:t>
            </w:r>
          </w:p>
        </w:tc>
      </w:tr>
      <w:tr>
        <w:tc>
          <w:tcPr/>
          <w:p>
            <w:pPr>
              <w:pStyle w:val="Compact"/>
            </w:pPr>
            <w:r>
              <w:t xml:space="preserve">uncertain/broad location</w:t>
            </w:r>
          </w:p>
        </w:tc>
        <w:tc>
          <w:tcPr/>
          <w:p>
            <w:pPr>
              <w:pStyle w:val="Compact"/>
            </w:pPr>
            <w:r>
              <w:t xml:space="preserve">Off</w:t>
            </w:r>
          </w:p>
        </w:tc>
      </w:tr>
    </w:tbl>
    <w:p>
      <w:pPr>
        <w:pStyle w:val="BodyText"/>
      </w:pPr>
      <w:r>
        <w:t xml:space="preserve">All map layers should be opt-in, clearly labelled, and described as</w:t>
      </w:r>
      <w:r>
        <w:t xml:space="preserve"> </w:t>
      </w:r>
      <w:r>
        <w:rPr>
          <w:b/>
          <w:bCs/>
        </w:rPr>
        <w:t xml:space="preserve">narrative or publication geography</w:t>
      </w:r>
      <w:r>
        <w:t xml:space="preserve">, not distribution. fileciteturn0file0</w:t>
      </w:r>
    </w:p>
    <w:bookmarkEnd w:id="64"/>
    <w:bookmarkStart w:id="65" w:name="recommended-timeline-facets"/>
    <w:p>
      <w:pPr>
        <w:pStyle w:val="Heading4"/>
      </w:pPr>
      <w:r>
        <w:t xml:space="preserve">Recommended timeline facets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Timeline type</w:t>
            </w:r>
          </w:p>
        </w:tc>
        <w:tc>
          <w:tcPr/>
          <w:p>
            <w:pPr>
              <w:pStyle w:val="Compact"/>
            </w:pPr>
            <w:r>
              <w:t xml:space="preserve">Meaning</w:t>
            </w:r>
          </w:p>
        </w:tc>
      </w:tr>
      <w:tr>
        <w:tc>
          <w:tcPr/>
          <w:p>
            <w:pPr>
              <w:pStyle w:val="Compact"/>
            </w:pPr>
            <w:r>
              <w:t xml:space="preserve">alleged event date</w:t>
            </w:r>
          </w:p>
        </w:tc>
        <w:tc>
          <w:tcPr/>
          <w:p>
            <w:pPr>
              <w:pStyle w:val="Compact"/>
            </w:pPr>
            <w:r>
              <w:t xml:space="preserve">date of alleged occurrence</w:t>
            </w:r>
          </w:p>
        </w:tc>
      </w:tr>
      <w:tr>
        <w:tc>
          <w:tcPr/>
          <w:p>
            <w:pPr>
              <w:pStyle w:val="Compact"/>
            </w:pPr>
            <w:r>
              <w:t xml:space="preserve">earliest public attestation</w:t>
            </w:r>
          </w:p>
        </w:tc>
        <w:tc>
          <w:tcPr/>
          <w:p>
            <w:pPr>
              <w:pStyle w:val="Compact"/>
            </w:pPr>
            <w:r>
              <w:t xml:space="preserve">earliest currently known public source</w:t>
            </w:r>
          </w:p>
        </w:tc>
      </w:tr>
      <w:tr>
        <w:tc>
          <w:tcPr/>
          <w:p>
            <w:pPr>
              <w:pStyle w:val="Compact"/>
            </w:pPr>
            <w:r>
              <w:t xml:space="preserve">publication date</w:t>
            </w:r>
          </w:p>
        </w:tc>
        <w:tc>
          <w:tcPr/>
          <w:p>
            <w:pPr>
              <w:pStyle w:val="Compact"/>
            </w:pPr>
            <w:r>
              <w:t xml:space="preserve">source publication date</w:t>
            </w:r>
          </w:p>
        </w:tc>
      </w:tr>
      <w:tr>
        <w:tc>
          <w:tcPr/>
          <w:p>
            <w:pPr>
              <w:pStyle w:val="Compact"/>
            </w:pPr>
            <w:r>
              <w:t xml:space="preserve">retelling date</w:t>
            </w:r>
          </w:p>
        </w:tc>
        <w:tc>
          <w:tcPr/>
          <w:p>
            <w:pPr>
              <w:pStyle w:val="Compact"/>
            </w:pPr>
            <w:r>
              <w:t xml:space="preserve">date of derivative retelling/adaptation</w:t>
            </w:r>
          </w:p>
        </w:tc>
      </w:tr>
      <w:tr>
        <w:tc>
          <w:tcPr/>
          <w:p>
            <w:pPr>
              <w:pStyle w:val="Compact"/>
            </w:pPr>
            <w:r>
              <w:t xml:space="preserve">circulation period</w:t>
            </w:r>
          </w:p>
        </w:tc>
        <w:tc>
          <w:tcPr/>
          <w:p>
            <w:pPr>
              <w:pStyle w:val="Compact"/>
            </w:pPr>
            <w:r>
              <w:t xml:space="preserve">estimated period of public circulation</w:t>
            </w:r>
          </w:p>
        </w:tc>
      </w:tr>
    </w:tbl>
    <w:bookmarkEnd w:id="65"/>
    <w:bookmarkEnd w:id="66"/>
    <w:bookmarkStart w:id="67" w:name="exact-codex-implementation-brief"/>
    <w:p>
      <w:pPr>
        <w:pStyle w:val="Heading3"/>
      </w:pPr>
      <w:r>
        <w:t xml:space="preserve">Exact Codex implementation brief</w:t>
      </w:r>
    </w:p>
    <w:p>
      <w:pPr>
        <w:pStyle w:val="FirstParagraph"/>
      </w:pPr>
      <w:r>
        <w:rPr>
          <w:b/>
          <w:bCs/>
        </w:rPr>
        <w:t xml:space="preserve">Implement next, in this order:</w:t>
      </w:r>
    </w:p>
    <w:p>
      <w:pPr>
        <w:pStyle w:val="Compact"/>
        <w:numPr>
          <w:ilvl w:val="0"/>
          <w:numId w:val="1004"/>
        </w:numPr>
      </w:pPr>
      <w:r>
        <w:rPr>
          <w:b/>
          <w:bCs/>
        </w:rPr>
        <w:t xml:space="preserve">Freeze current IDs and exports.</w:t>
      </w:r>
      <w:r>
        <w:t xml:space="preserve"> </w:t>
      </w:r>
      <w:r>
        <w:t xml:space="preserve">No destructive migration.</w:t>
      </w:r>
    </w:p>
    <w:p>
      <w:pPr>
        <w:pStyle w:val="Compact"/>
        <w:numPr>
          <w:ilvl w:val="0"/>
          <w:numId w:val="1004"/>
        </w:numPr>
      </w:pPr>
      <w:r>
        <w:rPr>
          <w:b/>
          <w:bCs/>
        </w:rPr>
        <w:t xml:space="preserve">Add transitional typing fields</w:t>
      </w:r>
      <w:r>
        <w:t xml:space="preserve"> </w:t>
      </w:r>
      <w:r>
        <w:t xml:space="preserve">to the current table immediately.</w:t>
      </w:r>
    </w:p>
    <w:p>
      <w:pPr>
        <w:pStyle w:val="Compact"/>
        <w:numPr>
          <w:ilvl w:val="0"/>
          <w:numId w:val="1004"/>
        </w:numPr>
      </w:pPr>
      <w:r>
        <w:rPr>
          <w:b/>
          <w:bCs/>
        </w:rPr>
        <w:t xml:space="preserve">Create</w:t>
      </w:r>
      <w:r>
        <w:rPr>
          <w:b/>
          <w:bCs/>
        </w:rPr>
        <w:t xml:space="preserve"> </w:t>
      </w:r>
      <w:r>
        <w:rPr>
          <w:rStyle w:val="VerbatimChar"/>
          <w:b/>
          <w:bCs/>
        </w:rPr>
        <w:t xml:space="preserve">narrative_units</w:t>
      </w:r>
      <w:r>
        <w:t xml:space="preserve"> </w:t>
      </w:r>
      <w:r>
        <w:t xml:space="preserve">and stop treating rows as automatically equivalent to events.</w:t>
      </w:r>
    </w:p>
    <w:p>
      <w:pPr>
        <w:pStyle w:val="Compact"/>
        <w:numPr>
          <w:ilvl w:val="0"/>
          <w:numId w:val="1004"/>
        </w:numPr>
      </w:pPr>
      <w:r>
        <w:rPr>
          <w:b/>
          <w:bCs/>
        </w:rPr>
        <w:t xml:space="preserve">Create</w:t>
      </w:r>
      <w:r>
        <w:rPr>
          <w:b/>
          <w:bCs/>
        </w:rPr>
        <w:t xml:space="preserve"> </w:t>
      </w:r>
      <w:r>
        <w:rPr>
          <w:rStyle w:val="VerbatimChar"/>
          <w:b/>
          <w:bCs/>
        </w:rPr>
        <w:t xml:space="preserve">entity_labels</w:t>
      </w:r>
      <w:r>
        <w:t xml:space="preserve"> </w:t>
      </w:r>
      <w:r>
        <w:t xml:space="preserve">and stop writing source names directly into normalized concept fields.</w:t>
      </w:r>
    </w:p>
    <w:p>
      <w:pPr>
        <w:pStyle w:val="Compact"/>
        <w:numPr>
          <w:ilvl w:val="0"/>
          <w:numId w:val="1004"/>
        </w:numPr>
      </w:pPr>
      <w:r>
        <w:rPr>
          <w:b/>
          <w:bCs/>
        </w:rPr>
        <w:t xml:space="preserve">Add role-specific locations</w:t>
      </w:r>
      <w:r>
        <w:t xml:space="preserve"> </w:t>
      </w:r>
      <w:r>
        <w:t xml:space="preserve">so publication place cannot be mistaken for event/place-of-tradition.</w:t>
      </w:r>
    </w:p>
    <w:p>
      <w:pPr>
        <w:pStyle w:val="Compact"/>
        <w:numPr>
          <w:ilvl w:val="0"/>
          <w:numId w:val="1004"/>
        </w:numPr>
      </w:pPr>
      <w:r>
        <w:rPr>
          <w:b/>
          <w:bCs/>
        </w:rPr>
        <w:t xml:space="preserve">Add ethics and sensitivity fields</w:t>
      </w:r>
      <w:r>
        <w:t xml:space="preserve">, including high-sensitivity suppression and deceased-person warnings where needed.</w:t>
      </w:r>
    </w:p>
    <w:p>
      <w:pPr>
        <w:pStyle w:val="Compact"/>
        <w:numPr>
          <w:ilvl w:val="0"/>
          <w:numId w:val="1004"/>
        </w:numPr>
      </w:pPr>
      <w:r>
        <w:rPr>
          <w:b/>
          <w:bCs/>
        </w:rPr>
        <w:t xml:space="preserve">Reclassify AYR ingest rules</w:t>
      </w:r>
      <w:r>
        <w:t xml:space="preserve"> </w:t>
      </w:r>
      <w:r>
        <w:t xml:space="preserve">so historical reproductions become source-side records with derivative links rather than raw encounter rows.</w:t>
      </w:r>
    </w:p>
    <w:p>
      <w:pPr>
        <w:pStyle w:val="Compact"/>
        <w:numPr>
          <w:ilvl w:val="0"/>
          <w:numId w:val="1004"/>
        </w:numPr>
      </w:pPr>
      <w:r>
        <w:rPr>
          <w:b/>
          <w:bCs/>
        </w:rPr>
        <w:t xml:space="preserve">Create control/exclusion registers</w:t>
      </w:r>
      <w:r>
        <w:t xml:space="preserve"> </w:t>
      </w:r>
      <w:r>
        <w:t xml:space="preserve">for Bunyip, Rainbow Serpent, Min Min lights, Drop bear, and other boundary-testing terms.</w:t>
      </w:r>
    </w:p>
    <w:p>
      <w:pPr>
        <w:pStyle w:val="Compact"/>
        <w:numPr>
          <w:ilvl w:val="0"/>
          <w:numId w:val="1004"/>
        </w:numPr>
      </w:pPr>
      <w:r>
        <w:rPr>
          <w:b/>
          <w:bCs/>
        </w:rPr>
        <w:t xml:space="preserve">Backfill one pilot set manually</w:t>
      </w:r>
      <w:r>
        <w:t xml:space="preserve">: Fisher’s Ghost, a Yowie historical article chain, one Wandjina public institutional/community record, one Quinkan record, one Nargun record, and one Poinciana Woman-style local legend.</w:t>
      </w:r>
    </w:p>
    <w:p>
      <w:pPr>
        <w:pStyle w:val="Compact"/>
        <w:numPr>
          <w:ilvl w:val="0"/>
          <w:numId w:val="1004"/>
        </w:numPr>
      </w:pPr>
      <w:r>
        <w:rPr>
          <w:b/>
          <w:bCs/>
        </w:rPr>
        <w:t xml:space="preserve">Release frontend facets by type</w:t>
      </w:r>
      <w:r>
        <w:t xml:space="preserve">, not by undifferentiated “record count.”</w:t>
      </w:r>
    </w:p>
    <w:p>
      <w:pPr>
        <w:pStyle w:val="FirstParagraph"/>
      </w:pPr>
      <w:r>
        <w:t xml:space="preserve">The sensitivity and terminology steps are especially important because AIATSIS and ATSILIRN make clear that description, control, and public presentation of Indigenous materials are ethical and classificatory issues, not just UI polish.</w:t>
      </w:r>
      <w:r>
        <w:t xml:space="preserve"> </w:t>
      </w:r>
      <w:hyperlink r:id="rId21">
        <w:r>
          <w:rPr>
            <w:rStyle w:val="Hyperlink"/>
          </w:rPr>
          <w:t xml:space="preserve">[4]</w:t>
        </w:r>
      </w:hyperlink>
    </w:p>
    <w:bookmarkEnd w:id="67"/>
    <w:bookmarkEnd w:id="68"/>
    <w:bookmarkStart w:id="72" w:name="bibliography-and-source-notes"/>
    <w:p>
      <w:pPr>
        <w:pStyle w:val="Heading2"/>
      </w:pPr>
      <w:r>
        <w:t xml:space="preserve">Bibliography and source notes</w:t>
      </w:r>
    </w:p>
    <w:bookmarkStart w:id="69" w:name="core-sources-used-for-this-reassessment"/>
    <w:p>
      <w:pPr>
        <w:pStyle w:val="Heading3"/>
      </w:pPr>
      <w:r>
        <w:t xml:space="preserve">Core sources used for this reassessment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Why it matters</w:t>
            </w:r>
          </w:p>
        </w:tc>
      </w:tr>
      <w:tr>
        <w:tc>
          <w:tcPr/>
          <w:p>
            <w:pPr>
              <w:pStyle w:val="Compact"/>
            </w:pPr>
            <w:r>
              <w:t xml:space="preserve">User-supplied reassessment brief</w:t>
            </w:r>
          </w:p>
        </w:tc>
        <w:tc>
          <w:tcPr/>
          <w:p>
            <w:pPr>
              <w:pStyle w:val="Compact"/>
            </w:pPr>
            <w:r>
              <w:t xml:space="preserve">Defines intended project scope and reports current corpus composition fileciteturn0file0</w:t>
            </w:r>
          </w:p>
        </w:tc>
      </w:tr>
      <w:tr>
        <w:tc>
          <w:tcPr/>
          <w:p>
            <w:pPr>
              <w:pStyle w:val="Compact"/>
            </w:pPr>
            <w:r>
              <w:t xml:space="preserve">AIATSIS Code of Ethics for Aboriginal and Torres Strait Islander Research</w:t>
            </w:r>
          </w:p>
        </w:tc>
        <w:tc>
          <w:tcPr/>
          <w:p>
            <w:pPr>
              <w:pStyle w:val="Compact"/>
            </w:pPr>
            <w:r>
              <w:t xml:space="preserve">Establishes Indigenous self-determination, leadership, impact/value, sustainability/accountability, and broad ethical scope for research about Indigenous peoples and collections</w:t>
            </w:r>
            <w:r>
              <w:t xml:space="preserve"> </w:t>
            </w:r>
            <w:hyperlink r:id="rId21">
              <w:r>
                <w:rPr>
                  <w:rStyle w:val="Hyperlink"/>
                </w:rPr>
                <w:t xml:space="preserve">[14]</w:t>
              </w:r>
            </w:hyperlink>
          </w:p>
        </w:tc>
      </w:tr>
      <w:tr>
        <w:tc>
          <w:tcPr/>
          <w:p>
            <w:pPr>
              <w:pStyle w:val="Compact"/>
            </w:pPr>
            <w:r>
              <w:t xml:space="preserve">ATSILIRN Protocols for Libraries, Archives and Information Services</w:t>
            </w:r>
          </w:p>
        </w:tc>
        <w:tc>
          <w:tcPr/>
          <w:p>
            <w:pPr>
              <w:pStyle w:val="Compact"/>
            </w:pPr>
            <w:r>
              <w:t xml:space="preserve">Provides guidance on description/classification, consultation, cultural and intellectual property, offensive vs secret/sacred material, and access practice</w:t>
            </w:r>
            <w:r>
              <w:t xml:space="preserve"> </w:t>
            </w:r>
            <w:hyperlink r:id="rId27">
              <w:r>
                <w:rPr>
                  <w:rStyle w:val="Hyperlink"/>
                </w:rPr>
                <w:t xml:space="preserve">[6]</w:t>
              </w:r>
            </w:hyperlink>
          </w:p>
        </w:tc>
      </w:tr>
      <w:tr>
        <w:tc>
          <w:tcPr/>
          <w:p>
            <w:pPr>
              <w:pStyle w:val="Compact"/>
            </w:pPr>
            <w:r>
              <w:t xml:space="preserve">Dambimangari Aboriginal Corporation public page on Wandjina-related cultural material</w:t>
            </w:r>
          </w:p>
        </w:tc>
        <w:tc>
          <w:tcPr/>
          <w:p>
            <w:pPr>
              <w:pStyle w:val="Compact"/>
            </w:pPr>
            <w:r>
              <w:t xml:space="preserve">Community-controlled example of public cultural framing, deceased-person warning, and respectful public presentation</w:t>
            </w:r>
            <w:r>
              <w:t xml:space="preserve"> </w:t>
            </w:r>
            <w:hyperlink r:id="rId38">
              <w:r>
                <w:rPr>
                  <w:rStyle w:val="Hyperlink"/>
                </w:rPr>
                <w:t xml:space="preserve">[15]</w:t>
              </w:r>
            </w:hyperlink>
          </w:p>
        </w:tc>
      </w:tr>
      <w:tr>
        <w:tc>
          <w:tcPr/>
          <w:p>
            <w:pPr>
              <w:pStyle w:val="Compact"/>
            </w:pPr>
            <w:r>
              <w:t xml:space="preserve">Trove / National Library of Australia public descriptions</w:t>
            </w:r>
          </w:p>
        </w:tc>
        <w:tc>
          <w:tcPr/>
          <w:p>
            <w:pPr>
              <w:pStyle w:val="Compact"/>
            </w:pPr>
            <w:r>
              <w:t xml:space="preserve">Supports use of Trove/NLA as primary discovery infrastructure for public attestation and circulation history</w:t>
            </w:r>
            <w:r>
              <w:t xml:space="preserve"> </w:t>
            </w:r>
            <w:hyperlink r:id="rId54">
              <w:r>
                <w:rPr>
                  <w:rStyle w:val="Hyperlink"/>
                </w:rPr>
                <w:t xml:space="preserve">[16]</w:t>
              </w:r>
            </w:hyperlink>
          </w:p>
        </w:tc>
      </w:tr>
      <w:tr>
        <w:tc>
          <w:tcPr/>
          <w:p>
            <w:pPr>
              <w:pStyle w:val="Compact"/>
            </w:pPr>
            <w:r>
              <w:t xml:space="preserve">Public examples such as Fisher’s Ghost, Quinkan Country, Nargun, Mimih, Yara-ma-yha-who, and Drop bear materials</w:t>
            </w:r>
          </w:p>
        </w:tc>
        <w:tc>
          <w:tcPr/>
          <w:p>
            <w:pPr>
              <w:pStyle w:val="Compact"/>
            </w:pPr>
            <w:r>
              <w:t xml:space="preserve">Used mainly as scope/boundary examples, not as final authorities for Indigenous ontology</w:t>
            </w:r>
            <w:r>
              <w:t xml:space="preserve"> </w:t>
            </w:r>
            <w:hyperlink r:id="rId40">
              <w:r>
                <w:rPr>
                  <w:rStyle w:val="Hyperlink"/>
                </w:rPr>
                <w:t xml:space="preserve">[17]</w:t>
              </w:r>
            </w:hyperlink>
          </w:p>
        </w:tc>
      </w:tr>
    </w:tbl>
    <w:bookmarkEnd w:id="69"/>
    <w:bookmarkStart w:id="70" w:name="source-notes"/>
    <w:p>
      <w:pPr>
        <w:pStyle w:val="Heading3"/>
      </w:pPr>
      <w:r>
        <w:t xml:space="preserve">Source notes</w:t>
      </w:r>
    </w:p>
    <w:p>
      <w:pPr>
        <w:pStyle w:val="FirstParagraph"/>
      </w:pPr>
      <w:r>
        <w:t xml:space="preserve">AYR should remain a</w:t>
      </w:r>
      <w:r>
        <w:t xml:space="preserve"> </w:t>
      </w:r>
      <w:r>
        <w:rPr>
          <w:b/>
          <w:bCs/>
        </w:rPr>
        <w:t xml:space="preserve">discovery and mixed public-source layer</w:t>
      </w:r>
      <w:r>
        <w:t xml:space="preserve">, not an ontological authority. Wikipedia was useful here only as a route to public references and as a low-confidence summary source for some figure boundaries; it should not drive final classification for culturally specific entities. For Wandjina-related materials, community-controlled or Indigenous-led sources should outrank general folklore or paranormal sites. For Quinkan, Nargun, Mimih, and other traditional/spirit-person figures, where authoritative public institutional or community-controlled pages were not consistently retrievable in this session, classifications in this report should be treated as</w:t>
      </w:r>
      <w:r>
        <w:t xml:space="preserve"> </w:t>
      </w:r>
      <w:r>
        <w:rPr>
          <w:b/>
          <w:bCs/>
        </w:rPr>
        <w:t xml:space="preserve">provisional and conservative</w:t>
      </w:r>
      <w:r>
        <w:t xml:space="preserve">, with a preference for</w:t>
      </w:r>
      <w:r>
        <w:t xml:space="preserve"> </w:t>
      </w:r>
      <w:r>
        <w:rPr>
          <w:rStyle w:val="VerbatimChar"/>
        </w:rPr>
        <w:t xml:space="preserve">validate_before_use</w:t>
      </w:r>
      <w:r>
        <w:t xml:space="preserve"> </w:t>
      </w:r>
      <w:r>
        <w:t xml:space="preserve">over false certainty. fileciteturn0file0</w:t>
      </w:r>
      <w:r>
        <w:t xml:space="preserve"> </w:t>
      </w:r>
      <w:hyperlink r:id="rId27">
        <w:r>
          <w:rPr>
            <w:rStyle w:val="Hyperlink"/>
          </w:rPr>
          <w:t xml:space="preserve">[5]</w:t>
        </w:r>
      </w:hyperlink>
    </w:p>
    <w:bookmarkEnd w:id="70"/>
    <w:bookmarkStart w:id="71" w:name="open-questions-and-limitations"/>
    <w:p>
      <w:pPr>
        <w:pStyle w:val="Heading3"/>
      </w:pPr>
      <w:r>
        <w:t xml:space="preserve">Open questions and limitations</w:t>
      </w:r>
    </w:p>
    <w:p>
      <w:pPr>
        <w:pStyle w:val="FirstParagraph"/>
      </w:pPr>
      <w:r>
        <w:t xml:space="preserve">The main limitation is straightforward: I could not directly inspect the live GitHub repository contents in this environment, so I could not perform a true row-level stratified audit or verify the reported record counts directly from repo files. The row-retention and source-family reclassification comments are therefore informed</w:t>
      </w:r>
      <w:r>
        <w:t xml:space="preserve"> </w:t>
      </w:r>
      <w:r>
        <w:rPr>
          <w:b/>
          <w:bCs/>
        </w:rPr>
        <w:t xml:space="preserve">estimates grounded in the brief’s reported composition</w:t>
      </w:r>
      <w:r>
        <w:t xml:space="preserve">, not direct repo verification. A follow-up pass against the live data should perform a real sample audit and backfill the proposed fields against actual rows. fileciteturn0file0</w:t>
      </w:r>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[14]</w:t>
        </w:r>
      </w:hyperlink>
      <w:r>
        <w:t xml:space="preserve"> </w:t>
      </w:r>
      <w:r>
        <w:t xml:space="preserve">aiatsis.gov.au</w:t>
      </w:r>
    </w:p>
    <w:p>
      <w:pPr>
        <w:pStyle w:val="BodyText"/>
      </w:pPr>
      <w:hyperlink r:id="rId21">
        <w:r>
          <w:rPr>
            <w:rStyle w:val="Hyperlink"/>
          </w:rPr>
          <w:t xml:space="preserve">https://aiatsis.gov.au/sites/default/files/2022-02/aiatsis-code-ethics-jan22.pdf</w:t>
        </w:r>
      </w:hyperlink>
    </w:p>
    <w:p>
      <w:pPr>
        <w:pStyle w:val="BodyText"/>
      </w:pPr>
      <w:hyperlink r:id="rId27">
        <w:r>
          <w:rPr>
            <w:rStyle w:val="Hyperlink"/>
          </w:rPr>
          <w:t xml:space="preserve">[5]</w:t>
        </w:r>
      </w:hyperlink>
      <w:r>
        <w:t xml:space="preserve"> </w:t>
      </w:r>
      <w:hyperlink r:id="rId27">
        <w:r>
          <w:rPr>
            <w:rStyle w:val="Hyperlink"/>
          </w:rPr>
          <w:t xml:space="preserve">[6]</w:t>
        </w:r>
      </w:hyperlink>
      <w:r>
        <w:t xml:space="preserve"> </w:t>
      </w:r>
      <w:hyperlink r:id="rId27">
        <w:r>
          <w:rPr>
            <w:rStyle w:val="Hyperlink"/>
          </w:rPr>
          <w:t xml:space="preserve">[10]</w:t>
        </w:r>
      </w:hyperlink>
      <w:r>
        <w:t xml:space="preserve"> </w:t>
      </w:r>
      <w:r>
        <w:t xml:space="preserve">ATSILIRN - Aboriginal and Torres Strait Islander Library and Information Resource Network</w:t>
      </w:r>
    </w:p>
    <w:p>
      <w:pPr>
        <w:pStyle w:val="BodyText"/>
      </w:pPr>
      <w:hyperlink r:id="rId27">
        <w:r>
          <w:rPr>
            <w:rStyle w:val="Hyperlink"/>
          </w:rPr>
          <w:t xml:space="preserve">https://atsilirn.aiatsis.gov.au/protocols.php</w:t>
        </w:r>
      </w:hyperlink>
    </w:p>
    <w:p>
      <w:pPr>
        <w:pStyle w:val="BodyText"/>
      </w:pPr>
      <w:hyperlink r:id="rId38">
        <w:r>
          <w:rPr>
            <w:rStyle w:val="Hyperlink"/>
          </w:rPr>
          <w:t xml:space="preserve">[7]</w:t>
        </w:r>
      </w:hyperlink>
      <w:r>
        <w:t xml:space="preserve"> </w:t>
      </w:r>
      <w:hyperlink r:id="rId38">
        <w:r>
          <w:rPr>
            <w:rStyle w:val="Hyperlink"/>
          </w:rPr>
          <w:t xml:space="preserve">[13]</w:t>
        </w:r>
      </w:hyperlink>
      <w:r>
        <w:t xml:space="preserve"> </w:t>
      </w:r>
      <w:hyperlink r:id="rId38">
        <w:r>
          <w:rPr>
            <w:rStyle w:val="Hyperlink"/>
          </w:rPr>
          <w:t xml:space="preserve">[15]</w:t>
        </w:r>
      </w:hyperlink>
      <w:r>
        <w:t xml:space="preserve"> </w:t>
      </w:r>
      <w:r>
        <w:t xml:space="preserve">Lighting up the Opera House - Dambimangari Aboriginal Corporation</w:t>
      </w:r>
    </w:p>
    <w:p>
      <w:pPr>
        <w:pStyle w:val="BodyText"/>
      </w:pPr>
      <w:hyperlink r:id="rId38">
        <w:r>
          <w:rPr>
            <w:rStyle w:val="Hyperlink"/>
          </w:rPr>
          <w:t xml:space="preserve">https://www.dambimangari.com.au/lighting-up-the-opera-house/</w:t>
        </w:r>
      </w:hyperlink>
    </w:p>
    <w:p>
      <w:pPr>
        <w:pStyle w:val="BodyText"/>
      </w:pPr>
      <w:hyperlink r:id="rId40">
        <w:r>
          <w:rPr>
            <w:rStyle w:val="Hyperlink"/>
          </w:rPr>
          <w:t xml:space="preserve">[8]</w:t>
        </w:r>
      </w:hyperlink>
      <w:r>
        <w:t xml:space="preserve"> </w:t>
      </w:r>
      <w:hyperlink r:id="rId40">
        <w:r>
          <w:rPr>
            <w:rStyle w:val="Hyperlink"/>
          </w:rPr>
          <w:t xml:space="preserve">[9]</w:t>
        </w:r>
      </w:hyperlink>
      <w:r>
        <w:t xml:space="preserve"> </w:t>
      </w:r>
      <w:hyperlink r:id="rId40">
        <w:r>
          <w:rPr>
            <w:rStyle w:val="Hyperlink"/>
          </w:rPr>
          <w:t xml:space="preserve">[11]</w:t>
        </w:r>
      </w:hyperlink>
      <w:r>
        <w:t xml:space="preserve"> </w:t>
      </w:r>
      <w:hyperlink r:id="rId40">
        <w:r>
          <w:rPr>
            <w:rStyle w:val="Hyperlink"/>
          </w:rPr>
          <w:t xml:space="preserve">[17]</w:t>
        </w:r>
      </w:hyperlink>
      <w:r>
        <w:t xml:space="preserve"> </w:t>
      </w:r>
      <w:r>
        <w:t xml:space="preserve">Fisher's ghost</w:t>
      </w:r>
    </w:p>
    <w:p>
      <w:pPr>
        <w:pStyle w:val="BodyText"/>
      </w:pPr>
      <w:hyperlink r:id="rId40">
        <w:r>
          <w:rPr>
            <w:rStyle w:val="Hyperlink"/>
          </w:rPr>
          <w:t xml:space="preserve">https://en.wikipedia.org/wiki/Fisher%27s_ghost?utm_source=chatgpt.com</w:t>
        </w:r>
      </w:hyperlink>
    </w:p>
    <w:p>
      <w:pPr>
        <w:pStyle w:val="BodyText"/>
      </w:pPr>
      <w:hyperlink r:id="rId54">
        <w:r>
          <w:rPr>
            <w:rStyle w:val="Hyperlink"/>
          </w:rPr>
          <w:t xml:space="preserve">[12]</w:t>
        </w:r>
      </w:hyperlink>
      <w:r>
        <w:t xml:space="preserve"> </w:t>
      </w:r>
      <w:hyperlink r:id="rId54">
        <w:r>
          <w:rPr>
            <w:rStyle w:val="Hyperlink"/>
          </w:rPr>
          <w:t xml:space="preserve">[16]</w:t>
        </w:r>
      </w:hyperlink>
      <w:r>
        <w:t xml:space="preserve"> </w:t>
      </w:r>
      <w:r>
        <w:t xml:space="preserve">Trove</w:t>
      </w:r>
    </w:p>
    <w:p>
      <w:pPr>
        <w:pStyle w:val="BodyText"/>
      </w:pPr>
      <w:hyperlink r:id="rId54">
        <w:r>
          <w:rPr>
            <w:rStyle w:val="Hyperlink"/>
          </w:rPr>
          <w:t xml:space="preserve">https://en.wikipedia.org/wiki/Trove?utm_source=chatgpt.com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iatsis.gov.au/sites/default/files/2022-02/aiatsis-code-ethics-jan22.pdf" TargetMode="External" /><Relationship Type="http://schemas.openxmlformats.org/officeDocument/2006/relationships/hyperlink" Id="rId27" Target="https://atsilirn.aiatsis.gov.au/protocols.php" TargetMode="External" /><Relationship Type="http://schemas.openxmlformats.org/officeDocument/2006/relationships/hyperlink" Id="rId40" Target="https://en.wikipedia.org/wiki/Fisher%27s_ghost?utm_source=chatgpt.com" TargetMode="External" /><Relationship Type="http://schemas.openxmlformats.org/officeDocument/2006/relationships/hyperlink" Id="rId54" Target="https://en.wikipedia.org/wiki/Trove?utm_source=chatgpt.com" TargetMode="External" /><Relationship Type="http://schemas.openxmlformats.org/officeDocument/2006/relationships/hyperlink" Id="rId38" Target="https://www.dambimangari.com.au/lighting-up-the-opera-house/" TargetMode="External" /></Relationships>
</file>

<file path=word/_rels/footnotes.xml.rels><?xml version="1.0" encoding="UTF-8"?><Relationships xmlns="http://schemas.openxmlformats.org/package/2006/relationships"><Relationship Type="http://schemas.openxmlformats.org/officeDocument/2006/relationships/hyperlink" Id="rId21" Target="https://aiatsis.gov.au/sites/default/files/2022-02/aiatsis-code-ethics-jan22.pdf" TargetMode="External" /><Relationship Type="http://schemas.openxmlformats.org/officeDocument/2006/relationships/hyperlink" Id="rId27" Target="https://atsilirn.aiatsis.gov.au/protocols.php" TargetMode="External" /><Relationship Type="http://schemas.openxmlformats.org/officeDocument/2006/relationships/hyperlink" Id="rId40" Target="https://en.wikipedia.org/wiki/Fisher%27s_ghost?utm_source=chatgpt.com" TargetMode="External" /><Relationship Type="http://schemas.openxmlformats.org/officeDocument/2006/relationships/hyperlink" Id="rId54" Target="https://en.wikipedia.org/wiki/Trove?utm_source=chatgpt.com" TargetMode="External" /><Relationship Type="http://schemas.openxmlformats.org/officeDocument/2006/relationships/hyperlink" Id="rId38" Target="https://www.dambimangari.com.au/lighting-up-the-opera-ho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2026-06-20T01:13:08Z</dcterms:created>
  <dcterms:modified xsi:type="dcterms:W3CDTF">2026-06-20T01:13:08Z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