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1bcd63fb5142fe3259d4b0dea959041b1054255"/>
    <w:p>
      <w:pPr>
        <w:pStyle w:val="Heading1"/>
      </w:pPr>
      <w:r>
        <w:t xml:space="preserve">Corpus Health and Figure-Scope Audit for Australian Humanoid Supernatural Public Texts</w:t>
      </w:r>
    </w:p>
    <w:bookmarkStart w:id="23" w:name="scope-and-audit-basis"/>
    <w:p>
      <w:pPr>
        <w:pStyle w:val="Heading2"/>
      </w:pPr>
      <w:r>
        <w:t xml:space="preserve">Scope and audit basis</w:t>
      </w:r>
    </w:p>
    <w:p>
      <w:pPr>
        <w:pStyle w:val="FirstParagraph"/>
      </w:pPr>
      <w:r>
        <w:t xml:space="preserve">The repository states a narrow and careful brief: it is an Australia-only project about</w:t>
      </w:r>
      <w:r>
        <w:t xml:space="preserve"> </w:t>
      </w:r>
      <w:r>
        <w:rPr>
          <w:b/>
          <w:bCs/>
        </w:rPr>
        <w:t xml:space="preserve">public textual representations</w:t>
      </w:r>
      <w:r>
        <w:t xml:space="preserve"> </w:t>
      </w:r>
      <w:r>
        <w:t xml:space="preserve">of humanoid or humanoid-adjacent supernatural beings; it is</w:t>
      </w:r>
      <w:r>
        <w:t xml:space="preserve"> </w:t>
      </w:r>
      <w:r>
        <w:rPr>
          <w:b/>
          <w:bCs/>
        </w:rPr>
        <w:t xml:space="preserve">not</w:t>
      </w:r>
      <w:r>
        <w:t xml:space="preserve"> </w:t>
      </w:r>
      <w:r>
        <w:t xml:space="preserve">a generic monster database; it should not collect secret, sacred, restricted, unpublished, community-controlled, or otherwise non-public material; and public catalogue metadata may identify sources for later review but is</w:t>
      </w:r>
      <w:r>
        <w:t xml:space="preserve"> </w:t>
      </w:r>
      <w:r>
        <w:rPr>
          <w:b/>
          <w:bCs/>
        </w:rPr>
        <w:t xml:space="preserve">not</w:t>
      </w:r>
      <w:r>
        <w:t xml:space="preserve"> </w:t>
      </w:r>
      <w:r>
        <w:t xml:space="preserve">permission to extract restricted cultural knowledge. The README also makes two constraints especially important for this audit: a row becomes a record only when it has enough information for a review card, and</w:t>
      </w:r>
      <w:r>
        <w:t xml:space="preserve"> </w:t>
      </w:r>
      <w:r>
        <w:rPr>
          <w:b/>
          <w:bCs/>
        </w:rPr>
        <w:t xml:space="preserve">every imported record still requires human review</w:t>
      </w:r>
      <w:r>
        <w:t xml:space="preserve">. Planned leads are explicitly not records.</w:t>
      </w:r>
      <w:r>
        <w:t xml:space="preserve"> </w:t>
      </w:r>
      <w:hyperlink r:id="rId21">
        <w:r>
          <w:rPr>
            <w:rStyle w:val="Hyperlink"/>
          </w:rPr>
          <w:t xml:space="preserve">[1]</w:t>
        </w:r>
      </w:hyperlink>
    </w:p>
    <w:p>
      <w:pPr>
        <w:pStyle w:val="BodyText"/>
      </w:pPr>
      <w:r>
        <w:t xml:space="preserve">The current public exports show a corpus with</w:t>
      </w:r>
      <w:r>
        <w:t xml:space="preserve"> </w:t>
      </w:r>
      <w:r>
        <w:rPr>
          <w:b/>
          <w:bCs/>
        </w:rPr>
        <w:t xml:space="preserve">707 record rows</w:t>
      </w:r>
      <w:r>
        <w:t xml:space="preserve">,</w:t>
      </w:r>
      <w:r>
        <w:t xml:space="preserve"> </w:t>
      </w:r>
      <w:r>
        <w:rPr>
          <w:b/>
          <w:bCs/>
        </w:rPr>
        <w:t xml:space="preserve">328 queries</w:t>
      </w:r>
      <w:r>
        <w:t xml:space="preserve">,</w:t>
      </w:r>
      <w:r>
        <w:t xml:space="preserve"> </w:t>
      </w:r>
      <w:r>
        <w:rPr>
          <w:b/>
          <w:bCs/>
        </w:rPr>
        <w:t xml:space="preserve">32 seeded figure labels</w:t>
      </w:r>
      <w:r>
        <w:t xml:space="preserve">, and</w:t>
      </w:r>
      <w:r>
        <w:t xml:space="preserve"> </w:t>
      </w:r>
      <w:r>
        <w:rPr>
          <w:b/>
          <w:bCs/>
        </w:rPr>
        <w:t xml:space="preserve">712 location rows</w:t>
      </w:r>
      <w:r>
        <w:t xml:space="preserve">. The frontend summary also shows that all current records are from the</w:t>
      </w:r>
      <w:r>
        <w:t xml:space="preserve"> </w:t>
      </w:r>
      <w:r>
        <w:rPr>
          <w:rStyle w:val="VerbatimChar"/>
        </w:rPr>
        <w:t xml:space="preserve">modern_web</w:t>
      </w:r>
      <w:r>
        <w:t xml:space="preserve"> </w:t>
      </w:r>
      <w:r>
        <w:t xml:space="preserve">source type, with</w:t>
      </w:r>
      <w:r>
        <w:t xml:space="preserve"> </w:t>
      </w:r>
      <w:r>
        <w:rPr>
          <w:b/>
          <w:bCs/>
        </w:rPr>
        <w:t xml:space="preserve">700 from Australian Yowie Research</w:t>
      </w:r>
      <w:r>
        <w:t xml:space="preserve">,</w:t>
      </w:r>
      <w:r>
        <w:t xml:space="preserve"> </w:t>
      </w:r>
      <w:r>
        <w:rPr>
          <w:b/>
          <w:bCs/>
        </w:rPr>
        <w:t xml:space="preserve">6 from English Wikipedia</w:t>
      </w:r>
      <w:r>
        <w:t xml:space="preserve">, and</w:t>
      </w:r>
      <w:r>
        <w:t xml:space="preserve"> </w:t>
      </w:r>
      <w:r>
        <w:rPr>
          <w:b/>
          <w:bCs/>
        </w:rPr>
        <w:t xml:space="preserve">1 from ABC News</w:t>
      </w:r>
      <w:r>
        <w:t xml:space="preserve">;</w:t>
      </w:r>
      <w:r>
        <w:t xml:space="preserve"> </w:t>
      </w:r>
      <w:r>
        <w:rPr>
          <w:b/>
          <w:bCs/>
        </w:rPr>
        <w:t xml:space="preserve">702 of 707</w:t>
      </w:r>
      <w:r>
        <w:t xml:space="preserve"> </w:t>
      </w:r>
      <w:r>
        <w:t xml:space="preserve">records are currently assigned to</w:t>
      </w:r>
      <w:r>
        <w:t xml:space="preserve"> </w:t>
      </w:r>
      <w:r>
        <w:rPr>
          <w:b/>
          <w:bCs/>
        </w:rPr>
        <w:t xml:space="preserve">Yowie</w:t>
      </w:r>
      <w:r>
        <w:t xml:space="preserve">, with only five other figure labels appearing at all. The same export makes clear that the broader source plan exists, but has not yet been converted into records: Trove newspapers, Trove magazines, AIATSIS catalogue, NLA catalogue, ANDC, Google Trends, and Wikimedia pageviews all show planned query activity but</w:t>
      </w:r>
      <w:r>
        <w:t xml:space="preserve"> </w:t>
      </w:r>
      <w:r>
        <w:rPr>
          <w:b/>
          <w:bCs/>
        </w:rPr>
        <w:t xml:space="preserve">zero collected records</w:t>
      </w:r>
      <w:r>
        <w:t xml:space="preserve"> </w:t>
      </w:r>
      <w:r>
        <w:t xml:space="preserve">in the current record set.</w:t>
      </w:r>
      <w:r>
        <w:t xml:space="preserve"> </w:t>
      </w:r>
      <w:hyperlink r:id="rId22">
        <w:r>
          <w:rPr>
            <w:rStyle w:val="Hyperlink"/>
          </w:rPr>
          <w:t xml:space="preserve">[2]</w:t>
        </w:r>
      </w:hyperlink>
    </w:p>
    <w:p>
      <w:pPr>
        <w:pStyle w:val="BodyText"/>
      </w:pPr>
      <w:r>
        <w:t xml:space="preserve">My audit therefore separates two things that the repo itself already separates:</w:t>
      </w:r>
      <w:r>
        <w:t xml:space="preserve"> </w:t>
      </w:r>
      <w:r>
        <w:rPr>
          <w:b/>
          <w:bCs/>
        </w:rPr>
        <w:t xml:space="preserve">source-supported repository facts</w:t>
      </w:r>
      <w:r>
        <w:t xml:space="preserve"> </w:t>
      </w:r>
      <w:r>
        <w:t xml:space="preserve">and</w:t>
      </w:r>
      <w:r>
        <w:t xml:space="preserve"> </w:t>
      </w:r>
      <w:r>
        <w:rPr>
          <w:b/>
          <w:bCs/>
        </w:rPr>
        <w:t xml:space="preserve">my judgment about corpus health</w:t>
      </w:r>
      <w:r>
        <w:t xml:space="preserve">. Repository facts below are cited to the repo and public institutional sources; the exact record-health classifications are my own conservative reading of the exports, fields, and notes now present in the repository.</w:t>
      </w:r>
      <w:r>
        <w:t xml:space="preserve"> </w:t>
      </w:r>
      <w:hyperlink r:id="rId21">
        <w:r>
          <w:rPr>
            <w:rStyle w:val="Hyperlink"/>
          </w:rPr>
          <w:t xml:space="preserve">[3]</w:t>
        </w:r>
      </w:hyperlink>
    </w:p>
    <w:bookmarkEnd w:id="23"/>
    <w:bookmarkStart w:id="28" w:name="record-health-audit"/>
    <w:p>
      <w:pPr>
        <w:pStyle w:val="Heading2"/>
      </w:pPr>
      <w:r>
        <w:t xml:space="preserve">Record health audit</w:t>
      </w:r>
    </w:p>
    <w:p>
      <w:pPr>
        <w:pStyle w:val="FirstParagraph"/>
      </w:pPr>
      <w:r>
        <w:t xml:space="preserve">The export script shows that</w:t>
      </w:r>
      <w:r>
        <w:t xml:space="preserve"> </w:t>
      </w:r>
      <w:r>
        <w:rPr>
          <w:rStyle w:val="VerbatimChar"/>
        </w:rPr>
        <w:t xml:space="preserve">records_review.csv</w:t>
      </w:r>
      <w:r>
        <w:t xml:space="preserve"> </w:t>
      </w:r>
      <w:r>
        <w:t xml:space="preserve">is intentionally a</w:t>
      </w:r>
      <w:r>
        <w:t xml:space="preserve"> </w:t>
      </w:r>
      <w:r>
        <w:rPr>
          <w:b/>
          <w:bCs/>
        </w:rPr>
        <w:t xml:space="preserve">human-review table</w:t>
      </w:r>
      <w:r>
        <w:t xml:space="preserve">, not a fully normalized research release. It exports</w:t>
      </w:r>
      <w:r>
        <w:t xml:space="preserve"> </w:t>
      </w:r>
      <w:r>
        <w:rPr>
          <w:rStyle w:val="VerbatimChar"/>
        </w:rPr>
        <w:t xml:space="preserve">record_id</w:t>
      </w:r>
      <w:r>
        <w:t xml:space="preserve">,</w:t>
      </w:r>
      <w:r>
        <w:t xml:space="preserve"> </w:t>
      </w:r>
      <w:r>
        <w:rPr>
          <w:rStyle w:val="VerbatimChar"/>
        </w:rPr>
        <w:t xml:space="preserve">year</w:t>
      </w:r>
      <w:r>
        <w:t xml:space="preserve">,</w:t>
      </w:r>
      <w:r>
        <w:t xml:space="preserve"> </w:t>
      </w:r>
      <w:r>
        <w:rPr>
          <w:rStyle w:val="VerbatimChar"/>
        </w:rPr>
        <w:t xml:space="preserve">date_published</w:t>
      </w:r>
      <w:r>
        <w:t xml:space="preserve">,</w:t>
      </w:r>
      <w:r>
        <w:t xml:space="preserve"> </w:t>
      </w:r>
      <w:r>
        <w:rPr>
          <w:rStyle w:val="VerbatimChar"/>
        </w:rPr>
        <w:t xml:space="preserve">title</w:t>
      </w:r>
      <w:r>
        <w:t xml:space="preserve">,</w:t>
      </w:r>
      <w:r>
        <w:t xml:space="preserve"> </w:t>
      </w:r>
      <w:r>
        <w:rPr>
          <w:rStyle w:val="VerbatimChar"/>
        </w:rPr>
        <w:t xml:space="preserve">publication</w:t>
      </w:r>
      <w:r>
        <w:t xml:space="preserve">,</w:t>
      </w:r>
      <w:r>
        <w:t xml:space="preserve"> </w:t>
      </w:r>
      <w:r>
        <w:rPr>
          <w:rStyle w:val="VerbatimChar"/>
        </w:rPr>
        <w:t xml:space="preserve">url</w:t>
      </w:r>
      <w:r>
        <w:t xml:space="preserve">,</w:t>
      </w:r>
      <w:r>
        <w:t xml:space="preserve"> </w:t>
      </w:r>
      <w:r>
        <w:rPr>
          <w:rStyle w:val="VerbatimChar"/>
        </w:rPr>
        <w:t xml:space="preserve">location_summary</w:t>
      </w:r>
      <w:r>
        <w:t xml:space="preserve">, figure-coding fields,</w:t>
      </w:r>
      <w:r>
        <w:t xml:space="preserve"> </w:t>
      </w:r>
      <w:r>
        <w:rPr>
          <w:rStyle w:val="VerbatimChar"/>
        </w:rPr>
        <w:t xml:space="preserve">source_voice</w:t>
      </w:r>
      <w:r>
        <w:t xml:space="preserve">,</w:t>
      </w:r>
      <w:r>
        <w:t xml:space="preserve"> </w:t>
      </w:r>
      <w:r>
        <w:rPr>
          <w:rStyle w:val="VerbatimChar"/>
        </w:rPr>
        <w:t xml:space="preserve">genre</w:t>
      </w:r>
      <w:r>
        <w:t xml:space="preserve">,</w:t>
      </w:r>
      <w:r>
        <w:t xml:space="preserve"> </w:t>
      </w:r>
      <w:r>
        <w:rPr>
          <w:rStyle w:val="VerbatimChar"/>
        </w:rPr>
        <w:t xml:space="preserve">publicness_code</w:t>
      </w:r>
      <w:r>
        <w:t xml:space="preserve">,</w:t>
      </w:r>
      <w:r>
        <w:t xml:space="preserve"> </w:t>
      </w:r>
      <w:r>
        <w:rPr>
          <w:rStyle w:val="VerbatimChar"/>
        </w:rPr>
        <w:t xml:space="preserve">ethics_flag</w:t>
      </w:r>
      <w:r>
        <w:t xml:space="preserve">, and</w:t>
      </w:r>
      <w:r>
        <w:t xml:space="preserve"> </w:t>
      </w:r>
      <w:r>
        <w:rPr>
          <w:rStyle w:val="VerbatimChar"/>
        </w:rPr>
        <w:t xml:space="preserve">notes</w:t>
      </w:r>
      <w:r>
        <w:t xml:space="preserve">; it does</w:t>
      </w:r>
      <w:r>
        <w:t xml:space="preserve"> </w:t>
      </w:r>
      <w:r>
        <w:rPr>
          <w:b/>
          <w:bCs/>
        </w:rPr>
        <w:t xml:space="preserve">not</w:t>
      </w:r>
      <w:r>
        <w:t xml:space="preserve"> </w:t>
      </w:r>
      <w:r>
        <w:t xml:space="preserve">include</w:t>
      </w:r>
      <w:r>
        <w:t xml:space="preserve"> </w:t>
      </w:r>
      <w:r>
        <w:rPr>
          <w:rStyle w:val="VerbatimChar"/>
        </w:rPr>
        <w:t xml:space="preserve">external_id</w:t>
      </w:r>
      <w:r>
        <w:t xml:space="preserve">,</w:t>
      </w:r>
      <w:r>
        <w:t xml:space="preserve"> </w:t>
      </w:r>
      <w:r>
        <w:rPr>
          <w:rStyle w:val="VerbatimChar"/>
        </w:rPr>
        <w:t xml:space="preserve">source_name</w:t>
      </w:r>
      <w:r>
        <w:t xml:space="preserve">, or</w:t>
      </w:r>
      <w:r>
        <w:t xml:space="preserve"> </w:t>
      </w:r>
      <w:r>
        <w:rPr>
          <w:rStyle w:val="VerbatimChar"/>
        </w:rPr>
        <w:t xml:space="preserve">source_type</w:t>
      </w:r>
      <w:r>
        <w:t xml:space="preserve"> </w:t>
      </w:r>
      <w:r>
        <w:t xml:space="preserve">in that CSV, even though those do appear in</w:t>
      </w:r>
      <w:r>
        <w:t xml:space="preserve"> </w:t>
      </w:r>
      <w:r>
        <w:rPr>
          <w:rStyle w:val="VerbatimChar"/>
        </w:rPr>
        <w:t xml:space="preserve">public/data/frontend-data.json</w:t>
      </w:r>
      <w:r>
        <w:t xml:space="preserve">. The frontend JSON also shows the coding notes now attached to AYR records and the smaller ABC/Wikipedia records.</w:t>
      </w:r>
      <w:r>
        <w:t xml:space="preserve"> </w:t>
      </w:r>
      <w:hyperlink r:id="rId24">
        <w:r>
          <w:rPr>
            <w:rStyle w:val="Hyperlink"/>
          </w:rPr>
          <w:t xml:space="preserve">[4]</w:t>
        </w:r>
      </w:hyperlink>
    </w:p>
    <w:p>
      <w:pPr>
        <w:pStyle w:val="BodyText"/>
      </w:pPr>
      <w:r>
        <w:t xml:space="preserve">That matters because the repository’s own notes downgrade the current records. AYR records are marked as “public report page collected for card display” and note that</w:t>
      </w:r>
      <w:r>
        <w:t xml:space="preserve"> </w:t>
      </w:r>
      <w:r>
        <w:rPr>
          <w:b/>
          <w:bCs/>
        </w:rPr>
        <w:t xml:space="preserve">source fields require human review before analysis</w:t>
      </w:r>
      <w:r>
        <w:t xml:space="preserve">; the ABC/Wikipedia items are marked as</w:t>
      </w:r>
      <w:r>
        <w:t xml:space="preserve"> </w:t>
      </w:r>
      <w:r>
        <w:rPr>
          <w:b/>
          <w:bCs/>
        </w:rPr>
        <w:t xml:space="preserve">initial rule-based coding</w:t>
      </w:r>
      <w:r>
        <w:t xml:space="preserve"> </w:t>
      </w:r>
      <w:r>
        <w:t xml:space="preserve">that also requires human review. The README independently says rule-based classification is triage only and that every imported record still requires human review. On that basis, I do</w:t>
      </w:r>
      <w:r>
        <w:t xml:space="preserve"> </w:t>
      </w:r>
      <w:r>
        <w:rPr>
          <w:b/>
          <w:bCs/>
        </w:rPr>
        <w:t xml:space="preserve">not</w:t>
      </w:r>
      <w:r>
        <w:t xml:space="preserve"> </w:t>
      </w:r>
      <w:r>
        <w:t xml:space="preserve">treat any current row as fully analysis-ready.</w:t>
      </w:r>
      <w:r>
        <w:t xml:space="preserve"> </w:t>
      </w:r>
      <w:hyperlink r:id="rId22">
        <w:r>
          <w:rPr>
            <w:rStyle w:val="Hyperlink"/>
          </w:rPr>
          <w:t xml:space="preserve">[5]</w:t>
        </w:r>
      </w:hyperlink>
    </w:p>
    <w:bookmarkStart w:id="25" w:name="record-health-thresholds"/>
    <w:p>
      <w:pPr>
        <w:pStyle w:val="Heading3"/>
      </w:pPr>
      <w:r>
        <w:t xml:space="preserve">Record-health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Classification</w:t>
            </w:r>
          </w:p>
        </w:tc>
        <w:tc>
          <w:tcPr/>
          <w:p>
            <w:pPr>
              <w:pStyle w:val="Compact"/>
            </w:pPr>
            <w:r>
              <w:t xml:space="preserve">Threshold I used</w:t>
            </w:r>
          </w:p>
        </w:tc>
        <w:tc>
          <w:tcPr/>
          <w:p>
            <w:pPr>
              <w:pStyle w:val="Compact"/>
            </w:pPr>
            <w:r>
              <w:t xml:space="preserve">Research meaning</w:t>
            </w:r>
          </w:p>
        </w:tc>
      </w:tr>
      <w:tr>
        <w:tc>
          <w:tcPr/>
          <w:p>
            <w:pPr>
              <w:pStyle w:val="Compact"/>
            </w:pPr>
            <w:r>
              <w:rPr>
                <w:b/>
                <w:bCs/>
              </w:rPr>
              <w:t xml:space="preserve">Analysis-ready</w:t>
            </w:r>
          </w:p>
        </w:tc>
        <w:tc>
          <w:tcPr/>
          <w:p>
            <w:pPr>
              <w:pStyle w:val="Compact"/>
            </w:pPr>
            <w:r>
              <w:t xml:space="preserve">Stable public identifier; source provenance adequately reviewed; non-control; no obvious duplicate issue; usable date and location evidence; snippet long enough for discourse coding; not explicitly marked as needing human source review</w:t>
            </w:r>
          </w:p>
        </w:tc>
        <w:tc>
          <w:tcPr/>
          <w:p>
            <w:pPr>
              <w:pStyle w:val="Compact"/>
            </w:pPr>
            <w:r>
              <w:t xml:space="preserve">Safe to count in interpretive analysis without returning to the source first</w:t>
            </w:r>
          </w:p>
        </w:tc>
      </w:tr>
      <w:tr>
        <w:tc>
          <w:tcPr/>
          <w:p>
            <w:pPr>
              <w:pStyle w:val="Compact"/>
            </w:pPr>
            <w:r>
              <w:rPr>
                <w:b/>
                <w:bCs/>
              </w:rPr>
              <w:t xml:space="preserve">Display-ready but needs human review</w:t>
            </w:r>
          </w:p>
        </w:tc>
        <w:tc>
          <w:tcPr/>
          <w:p>
            <w:pPr>
              <w:pStyle w:val="Compact"/>
            </w:pPr>
            <w:r>
              <w:t xml:space="preserve">Enough metadata to render and triage a review card, but provenance, mediation, or coding still needs checking</w:t>
            </w:r>
          </w:p>
        </w:tc>
        <w:tc>
          <w:tcPr/>
          <w:p>
            <w:pPr>
              <w:pStyle w:val="Compact"/>
            </w:pPr>
            <w:r>
              <w:t xml:space="preserve">Good for interface/demo/reviewer workflow, not for claims</w:t>
            </w:r>
          </w:p>
        </w:tc>
      </w:tr>
      <w:tr>
        <w:tc>
          <w:tcPr/>
          <w:p>
            <w:pPr>
              <w:pStyle w:val="Compact"/>
            </w:pPr>
            <w:r>
              <w:rPr>
                <w:b/>
                <w:bCs/>
              </w:rPr>
              <w:t xml:space="preserve">Lead-quality only</w:t>
            </w:r>
          </w:p>
        </w:tc>
        <w:tc>
          <w:tcPr/>
          <w:p>
            <w:pPr>
              <w:pStyle w:val="Compact"/>
            </w:pPr>
            <w:r>
              <w:t xml:space="preserve">Useful as a pointer to a better source, but too mediated, too historical-secondary, or too tertiary to support interpretation on its own</w:t>
            </w:r>
          </w:p>
        </w:tc>
        <w:tc>
          <w:tcPr/>
          <w:p>
            <w:pPr>
              <w:pStyle w:val="Compact"/>
            </w:pPr>
            <w:r>
              <w:t xml:space="preserve">Keep as a lead, do not treat as an analytic unit</w:t>
            </w:r>
          </w:p>
        </w:tc>
      </w:tr>
      <w:tr>
        <w:tc>
          <w:tcPr/>
          <w:p>
            <w:pPr>
              <w:pStyle w:val="Compact"/>
            </w:pPr>
            <w:r>
              <w:rPr>
                <w:b/>
                <w:bCs/>
              </w:rPr>
              <w:t xml:space="preserve">Duplicate or syndicated candidate</w:t>
            </w:r>
          </w:p>
        </w:tc>
        <w:tc>
          <w:tcPr/>
          <w:p>
            <w:pPr>
              <w:pStyle w:val="Compact"/>
            </w:pPr>
            <w:r>
              <w:t xml:space="preserve">Repeated title or close-repeat pattern suggesting the row may represent the same underlying event/text family</w:t>
            </w:r>
          </w:p>
        </w:tc>
        <w:tc>
          <w:tcPr/>
          <w:p>
            <w:pPr>
              <w:pStyle w:val="Compact"/>
            </w:pPr>
            <w:r>
              <w:t xml:space="preserve">Hold back until dedupe decision is explicit</w:t>
            </w:r>
          </w:p>
        </w:tc>
      </w:tr>
      <w:tr>
        <w:tc>
          <w:tcPr/>
          <w:p>
            <w:pPr>
              <w:pStyle w:val="Compact"/>
            </w:pPr>
            <w:r>
              <w:rPr>
                <w:b/>
                <w:bCs/>
              </w:rPr>
              <w:t xml:space="preserve">Control-only</w:t>
            </w:r>
          </w:p>
        </w:tc>
        <w:tc>
          <w:tcPr/>
          <w:p>
            <w:pPr>
              <w:pStyle w:val="Compact"/>
            </w:pPr>
            <w:r>
              <w:t xml:space="preserve">Intentionally non-core test/control term, or useful only as exclusion/control</w:t>
            </w:r>
          </w:p>
        </w:tc>
        <w:tc>
          <w:tcPr/>
          <w:p>
            <w:pPr>
              <w:pStyle w:val="Compact"/>
            </w:pPr>
            <w:r>
              <w:t xml:space="preserve">Keep outside core analytic counts</w:t>
            </w:r>
          </w:p>
        </w:tc>
      </w:tr>
      <w:tr>
        <w:tc>
          <w:tcPr/>
          <w:p>
            <w:pPr>
              <w:pStyle w:val="Compact"/>
            </w:pPr>
            <w:r>
              <w:rPr>
                <w:b/>
                <w:bCs/>
              </w:rPr>
              <w:t xml:space="preserve">Exclude or not a record</w:t>
            </w:r>
          </w:p>
        </w:tc>
        <w:tc>
          <w:tcPr/>
          <w:p>
            <w:pPr>
              <w:pStyle w:val="Compact"/>
            </w:pPr>
            <w:r>
              <w:t xml:space="preserve">Off-scope, non-public, or not actually a record</w:t>
            </w:r>
          </w:p>
        </w:tc>
        <w:tc>
          <w:tcPr/>
          <w:p>
            <w:pPr>
              <w:pStyle w:val="Compact"/>
            </w:pPr>
            <w:r>
              <w:t xml:space="preserve">Remove from corpus counts</w:t>
            </w:r>
          </w:p>
        </w:tc>
      </w:tr>
    </w:tbl>
    <w:p>
      <w:pPr>
        <w:pStyle w:val="BodyText"/>
      </w:pPr>
      <w:r>
        <w:t xml:space="preserve">This rubric is stricter than the repo’s insertion gate. The README insertion gate asks whether a page has enough information to become a review card; my rubric asks whether it is safe to support research interpretation. That gap is deliberate and visible in the repo’s own documentation.</w:t>
      </w:r>
      <w:r>
        <w:t xml:space="preserve"> </w:t>
      </w:r>
      <w:hyperlink r:id="rId21">
        <w:r>
          <w:rPr>
            <w:rStyle w:val="Hyperlink"/>
          </w:rPr>
          <w:t xml:space="preserve">[6]</w:t>
        </w:r>
      </w:hyperlink>
    </w:p>
    <w:bookmarkEnd w:id="25"/>
    <w:bookmarkStart w:id="27" w:name="audit-findings"/>
    <w:p>
      <w:pPr>
        <w:pStyle w:val="Heading3"/>
      </w:pPr>
      <w:r>
        <w:t xml:space="preserve">Audit findings</w:t>
      </w:r>
    </w:p>
    <w:p>
      <w:pPr>
        <w:pStyle w:val="FirstParagraph"/>
      </w:pPr>
      <w:r>
        <w:t xml:space="preserve">In my audit of the current exports, the corpus is</w:t>
      </w:r>
      <w:r>
        <w:t xml:space="preserve"> </w:t>
      </w:r>
      <w:r>
        <w:rPr>
          <w:b/>
          <w:bCs/>
        </w:rPr>
        <w:t xml:space="preserve">structurally reviewable</w:t>
      </w:r>
      <w:r>
        <w:t xml:space="preserve"> </w:t>
      </w:r>
      <w:r>
        <w:t xml:space="preserve">but</w:t>
      </w:r>
      <w:r>
        <w:t xml:space="preserve"> </w:t>
      </w:r>
      <w:r>
        <w:rPr>
          <w:b/>
          <w:bCs/>
        </w:rPr>
        <w:t xml:space="preserve">not yet analytically mature</w:t>
      </w:r>
      <w:r>
        <w:t xml:space="preserve">. The 707 rows are real exported records, not planned Round 002 leads, and the Round 002 audit explicitly says those 264 planned public leads are leads only and must not be counted as frontend record cards.</w:t>
      </w:r>
      <w:r>
        <w:t xml:space="preserve"> </w:t>
      </w:r>
      <w:hyperlink r:id="rId22">
        <w:r>
          <w:rPr>
            <w:rStyle w:val="Hyperlink"/>
          </w:rPr>
          <w:t xml:space="preserve">[7]</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Audit measure</w:t>
            </w:r>
          </w:p>
        </w:tc>
        <w:tc>
          <w:tcPr/>
          <w:p>
            <w:pPr>
              <w:pStyle w:val="Compact"/>
              <w:jc w:val="right"/>
            </w:pPr>
            <w:r>
              <w:t xml:space="preserve">Estimate</w:t>
            </w:r>
          </w:p>
        </w:tc>
        <w:tc>
          <w:tcPr/>
          <w:p>
            <w:pPr>
              <w:pStyle w:val="Compact"/>
            </w:pPr>
            <w:r>
              <w:t xml:space="preserve">Basis</w:t>
            </w:r>
          </w:p>
        </w:tc>
      </w:tr>
      <w:tr>
        <w:tc>
          <w:tcPr/>
          <w:p>
            <w:pPr>
              <w:pStyle w:val="Compact"/>
            </w:pPr>
            <w:r>
              <w:rPr>
                <w:b/>
                <w:bCs/>
              </w:rPr>
              <w:t xml:space="preserve">Total exported record rows</w:t>
            </w:r>
          </w:p>
        </w:tc>
        <w:tc>
          <w:tcPr/>
          <w:p>
            <w:pPr>
              <w:pStyle w:val="Compact"/>
              <w:jc w:val="right"/>
            </w:pPr>
            <w:r>
              <w:rPr>
                <w:b/>
                <w:bCs/>
              </w:rPr>
              <w:t xml:space="preserve">707</w:t>
            </w:r>
          </w:p>
        </w:tc>
        <w:tc>
          <w:tcPr/>
          <w:p>
            <w:pPr>
              <w:pStyle w:val="Compact"/>
            </w:pPr>
            <w:r>
              <w:t xml:space="preserve">Frontend summary and exported review table</w:t>
            </w:r>
            <w:r>
              <w:t xml:space="preserve"> </w:t>
            </w:r>
            <w:hyperlink r:id="rId22">
              <w:r>
                <w:rPr>
                  <w:rStyle w:val="Hyperlink"/>
                </w:rPr>
                <w:t xml:space="preserve">[8]</w:t>
              </w:r>
            </w:hyperlink>
          </w:p>
        </w:tc>
      </w:tr>
      <w:tr>
        <w:tc>
          <w:tcPr/>
          <w:p>
            <w:pPr>
              <w:pStyle w:val="Compact"/>
            </w:pPr>
            <w:r>
              <w:rPr>
                <w:b/>
                <w:bCs/>
              </w:rPr>
              <w:t xml:space="preserve">Estimated healthy record count</w:t>
            </w:r>
          </w:p>
        </w:tc>
        <w:tc>
          <w:tcPr/>
          <w:p>
            <w:pPr>
              <w:pStyle w:val="Compact"/>
              <w:jc w:val="right"/>
            </w:pPr>
            <w:r>
              <w:rPr>
                <w:b/>
                <w:bCs/>
              </w:rPr>
              <w:t xml:space="preserve">567</w:t>
            </w:r>
          </w:p>
        </w:tc>
        <w:tc>
          <w:tcPr/>
          <w:p>
            <w:pPr>
              <w:pStyle w:val="Compact"/>
            </w:pPr>
            <w:r>
              <w:t xml:space="preserve">My audit: rows that are on-scope, non-control, not obvious duplicate candidates, and better than lead-only</w:t>
            </w:r>
          </w:p>
        </w:tc>
      </w:tr>
      <w:tr>
        <w:tc>
          <w:tcPr/>
          <w:p>
            <w:pPr>
              <w:pStyle w:val="Compact"/>
            </w:pPr>
            <w:r>
              <w:rPr>
                <w:b/>
                <w:bCs/>
              </w:rPr>
              <w:t xml:space="preserve">Estimated analysis-ready count</w:t>
            </w:r>
          </w:p>
        </w:tc>
        <w:tc>
          <w:tcPr/>
          <w:p>
            <w:pPr>
              <w:pStyle w:val="Compact"/>
              <w:jc w:val="right"/>
            </w:pPr>
            <w:r>
              <w:rPr>
                <w:b/>
                <w:bCs/>
              </w:rPr>
              <w:t xml:space="preserve">0</w:t>
            </w:r>
          </w:p>
        </w:tc>
        <w:tc>
          <w:tcPr/>
          <w:p>
            <w:pPr>
              <w:pStyle w:val="Compact"/>
            </w:pPr>
            <w:r>
              <w:t xml:space="preserve">All imported records still require human review; AYR notes explicitly say not ready for analysis</w:t>
            </w:r>
            <w:r>
              <w:t xml:space="preserve"> </w:t>
            </w:r>
            <w:hyperlink r:id="rId21">
              <w:r>
                <w:rPr>
                  <w:rStyle w:val="Hyperlink"/>
                </w:rPr>
                <w:t xml:space="preserve">[6]</w:t>
              </w:r>
            </w:hyperlink>
          </w:p>
        </w:tc>
      </w:tr>
      <w:tr>
        <w:tc>
          <w:tcPr/>
          <w:p>
            <w:pPr>
              <w:pStyle w:val="Compact"/>
            </w:pPr>
            <w:r>
              <w:rPr>
                <w:b/>
                <w:bCs/>
              </w:rPr>
              <w:t xml:space="preserve">Estimated display-ready count</w:t>
            </w:r>
          </w:p>
        </w:tc>
        <w:tc>
          <w:tcPr/>
          <w:p>
            <w:pPr>
              <w:pStyle w:val="Compact"/>
              <w:jc w:val="right"/>
            </w:pPr>
            <w:r>
              <w:rPr>
                <w:b/>
                <w:bCs/>
              </w:rPr>
              <w:t xml:space="preserve">567</w:t>
            </w:r>
          </w:p>
        </w:tc>
        <w:tc>
          <w:tcPr/>
          <w:p>
            <w:pPr>
              <w:pStyle w:val="Compact"/>
            </w:pPr>
            <w:r>
              <w:t xml:space="preserve">My audit: structurally strong enough for review/display, but not analysis-safe</w:t>
            </w:r>
          </w:p>
        </w:tc>
      </w:tr>
      <w:tr>
        <w:tc>
          <w:tcPr/>
          <w:p>
            <w:pPr>
              <w:pStyle w:val="Compact"/>
            </w:pPr>
            <w:r>
              <w:rPr>
                <w:b/>
                <w:bCs/>
              </w:rPr>
              <w:t xml:space="preserve">Lead-quality only</w:t>
            </w:r>
          </w:p>
        </w:tc>
        <w:tc>
          <w:tcPr/>
          <w:p>
            <w:pPr>
              <w:pStyle w:val="Compact"/>
              <w:jc w:val="right"/>
            </w:pPr>
            <w:r>
              <w:rPr>
                <w:b/>
                <w:bCs/>
              </w:rPr>
              <w:t xml:space="preserve">105</w:t>
            </w:r>
          </w:p>
        </w:tc>
        <w:tc>
          <w:tcPr/>
          <w:p>
            <w:pPr>
              <w:pStyle w:val="Compact"/>
            </w:pPr>
            <w:r>
              <w:t xml:space="preserve">My audit: mainly pre-1970 AYR historical recensions plus non-control Wikipedia orientation rows</w:t>
            </w:r>
          </w:p>
        </w:tc>
      </w:tr>
      <w:tr>
        <w:tc>
          <w:tcPr/>
          <w:p>
            <w:pPr>
              <w:pStyle w:val="Compact"/>
            </w:pPr>
            <w:r>
              <w:rPr>
                <w:b/>
                <w:bCs/>
              </w:rPr>
              <w:t xml:space="preserve">Duplicate or syndicated candidates</w:t>
            </w:r>
          </w:p>
        </w:tc>
        <w:tc>
          <w:tcPr/>
          <w:p>
            <w:pPr>
              <w:pStyle w:val="Compact"/>
              <w:jc w:val="right"/>
            </w:pPr>
            <w:r>
              <w:rPr>
                <w:b/>
                <w:bCs/>
              </w:rPr>
              <w:t xml:space="preserve">33</w:t>
            </w:r>
          </w:p>
        </w:tc>
        <w:tc>
          <w:tcPr/>
          <w:p>
            <w:pPr>
              <w:pStyle w:val="Compact"/>
            </w:pPr>
            <w:r>
              <w:t xml:space="preserve">My audit of repeated-title families in</w:t>
            </w:r>
            <w:r>
              <w:t xml:space="preserve"> </w:t>
            </w:r>
            <w:r>
              <w:rPr>
                <w:rStyle w:val="VerbatimChar"/>
              </w:rPr>
              <w:t xml:space="preserve">records_review.csv</w:t>
            </w:r>
          </w:p>
        </w:tc>
      </w:tr>
      <w:tr>
        <w:tc>
          <w:tcPr/>
          <w:p>
            <w:pPr>
              <w:pStyle w:val="Compact"/>
            </w:pPr>
            <w:r>
              <w:rPr>
                <w:b/>
                <w:bCs/>
              </w:rPr>
              <w:t xml:space="preserve">Control-only</w:t>
            </w:r>
          </w:p>
        </w:tc>
        <w:tc>
          <w:tcPr/>
          <w:p>
            <w:pPr>
              <w:pStyle w:val="Compact"/>
              <w:jc w:val="right"/>
            </w:pPr>
            <w:r>
              <w:rPr>
                <w:b/>
                <w:bCs/>
              </w:rPr>
              <w:t xml:space="preserve">2</w:t>
            </w:r>
          </w:p>
        </w:tc>
        <w:tc>
          <w:tcPr/>
          <w:p>
            <w:pPr>
              <w:pStyle w:val="Compact"/>
            </w:pPr>
            <w:r>
              <w:t xml:space="preserve">Current Bunyip and Drop bear rows</w:t>
            </w:r>
          </w:p>
        </w:tc>
      </w:tr>
      <w:tr>
        <w:tc>
          <w:tcPr/>
          <w:p>
            <w:pPr>
              <w:pStyle w:val="Compact"/>
            </w:pPr>
            <w:r>
              <w:rPr>
                <w:b/>
                <w:bCs/>
              </w:rPr>
              <w:t xml:space="preserve">Exclude or not a record</w:t>
            </w:r>
          </w:p>
        </w:tc>
        <w:tc>
          <w:tcPr/>
          <w:p>
            <w:pPr>
              <w:pStyle w:val="Compact"/>
              <w:jc w:val="right"/>
            </w:pPr>
            <w:r>
              <w:rPr>
                <w:b/>
                <w:bCs/>
              </w:rPr>
              <w:t xml:space="preserve">0</w:t>
            </w:r>
          </w:p>
        </w:tc>
        <w:tc>
          <w:tcPr/>
          <w:p>
            <w:pPr>
              <w:pStyle w:val="Compact"/>
            </w:pPr>
            <w:r>
              <w:t xml:space="preserve">Current export already respects the repo’s record/lead distinction</w:t>
            </w:r>
          </w:p>
        </w:tc>
      </w:tr>
    </w:tbl>
    <w:p>
      <w:pPr>
        <w:pStyle w:val="BodyText"/>
      </w:pPr>
      <w:r>
        <w:t xml:space="preserve">The most important practical result is this:</w:t>
      </w:r>
      <w:r>
        <w:t xml:space="preserve"> </w:t>
      </w:r>
      <w:r>
        <w:rPr>
          <w:b/>
          <w:bCs/>
        </w:rPr>
        <w:t xml:space="preserve">the current corpus is not empty or broken</w:t>
      </w:r>
      <w:r>
        <w:t xml:space="preserve">, but it is better understood as a</w:t>
      </w:r>
      <w:r>
        <w:t xml:space="preserve"> </w:t>
      </w:r>
      <w:r>
        <w:rPr>
          <w:b/>
          <w:bCs/>
        </w:rPr>
        <w:t xml:space="preserve">review archive</w:t>
      </w:r>
      <w:r>
        <w:t xml:space="preserve"> </w:t>
      </w:r>
      <w:r>
        <w:t xml:space="preserve">than as an</w:t>
      </w:r>
      <w:r>
        <w:t xml:space="preserve"> </w:t>
      </w:r>
      <w:r>
        <w:rPr>
          <w:b/>
          <w:bCs/>
        </w:rPr>
        <w:t xml:space="preserve">analysis corpus</w:t>
      </w:r>
      <w:r>
        <w:t xml:space="preserve">. The records are healthy enough to power a triage interface and a careful review workflow; they are not yet healthy enough to support broad interpretive claims about Australian public discourse. That conclusion follows directly from the repo’s own warnings and the source distribution of the export.</w:t>
      </w:r>
      <w:r>
        <w:t xml:space="preserve"> </w:t>
      </w:r>
      <w:hyperlink r:id="rId21">
        <w:r>
          <w:rPr>
            <w:rStyle w:val="Hyperlink"/>
          </w:rPr>
          <w:t xml:space="preserve">[9]</w:t>
        </w:r>
      </w:hyperlink>
    </w:p>
    <w:p>
      <w:pPr>
        <w:pStyle w:val="BodyText"/>
      </w:pPr>
      <w:r>
        <w:t xml:space="preserve">Several stress signals are especially clear in the audit. First,</w:t>
      </w:r>
      <w:r>
        <w:t xml:space="preserve"> </w:t>
      </w:r>
      <w:r>
        <w:rPr>
          <w:b/>
          <w:bCs/>
        </w:rPr>
        <w:t xml:space="preserve">700 of 707 rows</w:t>
      </w:r>
      <w:r>
        <w:t xml:space="preserve"> </w:t>
      </w:r>
      <w:r>
        <w:t xml:space="preserve">are AYR rows, so the corpus is source-dominated by a single modern-web archive. Second,</w:t>
      </w:r>
      <w:r>
        <w:t xml:space="preserve"> </w:t>
      </w:r>
      <w:r>
        <w:rPr>
          <w:b/>
          <w:bCs/>
        </w:rPr>
        <w:t xml:space="preserve">702 of 707 rows</w:t>
      </w:r>
      <w:r>
        <w:t xml:space="preserve"> </w:t>
      </w:r>
      <w:r>
        <w:t xml:space="preserve">are assigned to Yowie, so the corpus is also figure-dominated. Third, the frontend summary shows only</w:t>
      </w:r>
      <w:r>
        <w:t xml:space="preserve"> </w:t>
      </w:r>
      <w:r>
        <w:rPr>
          <w:b/>
          <w:bCs/>
        </w:rPr>
        <w:t xml:space="preserve">1 precise point</w:t>
      </w:r>
      <w:r>
        <w:t xml:space="preserve"> </w:t>
      </w:r>
      <w:r>
        <w:t xml:space="preserve">and</w:t>
      </w:r>
      <w:r>
        <w:t xml:space="preserve"> </w:t>
      </w:r>
      <w:r>
        <w:rPr>
          <w:b/>
          <w:bCs/>
        </w:rPr>
        <w:t xml:space="preserve">44 broad-location</w:t>
      </w:r>
      <w:r>
        <w:t xml:space="preserve"> </w:t>
      </w:r>
      <w:r>
        <w:t xml:space="preserve">rows in its location summary layer, while the README separately says location matches are evidence for human review, not final geocoding truth. Fourth, the validation report passes only narrow checks such as no bare high-noise queries, restricted-publicness filtering, source-id retention, parseable years for dated records, and preventing validation-queue terms from being silently promoted; it does</w:t>
      </w:r>
      <w:r>
        <w:t xml:space="preserve"> </w:t>
      </w:r>
      <w:r>
        <w:rPr>
          <w:b/>
          <w:bCs/>
        </w:rPr>
        <w:t xml:space="preserve">not</w:t>
      </w:r>
      <w:r>
        <w:t xml:space="preserve"> </w:t>
      </w:r>
      <w:r>
        <w:t xml:space="preserve">certify analytic adequacy.</w:t>
      </w:r>
      <w:r>
        <w:t xml:space="preserve"> </w:t>
      </w:r>
      <w:hyperlink r:id="rId22">
        <w:r>
          <w:rPr>
            <w:rStyle w:val="Hyperlink"/>
          </w:rPr>
          <w:t xml:space="preserve">[10]</w:t>
        </w:r>
      </w:hyperlink>
    </w:p>
    <w:p>
      <w:pPr>
        <w:pStyle w:val="BodyText"/>
      </w:pPr>
      <w:r>
        <w:t xml:space="preserve">My record-level estimates from the review CSV add more detail. About</w:t>
      </w:r>
      <w:r>
        <w:t xml:space="preserve"> </w:t>
      </w:r>
      <w:r>
        <w:rPr>
          <w:b/>
          <w:bCs/>
        </w:rPr>
        <w:t xml:space="preserve">84 rows</w:t>
      </w:r>
      <w:r>
        <w:t xml:space="preserve"> </w:t>
      </w:r>
      <w:r>
        <w:t xml:space="preserve">have snippets that are too short for comfortable discourse coding under a conservative</w:t>
      </w:r>
      <w:r>
        <w:t xml:space="preserve"> </w:t>
      </w:r>
      <w:r>
        <w:rPr>
          <w:b/>
          <w:bCs/>
        </w:rPr>
        <w:t xml:space="preserve">35-word</w:t>
      </w:r>
      <w:r>
        <w:t xml:space="preserve"> </w:t>
      </w:r>
      <w:r>
        <w:t xml:space="preserve">floor; about</w:t>
      </w:r>
      <w:r>
        <w:t xml:space="preserve"> </w:t>
      </w:r>
      <w:r>
        <w:rPr>
          <w:b/>
          <w:bCs/>
        </w:rPr>
        <w:t xml:space="preserve">87 rows</w:t>
      </w:r>
      <w:r>
        <w:t xml:space="preserve"> </w:t>
      </w:r>
      <w:r>
        <w:t xml:space="preserve">have only medium-strength location signals rather than high-strength ones; and about</w:t>
      </w:r>
      <w:r>
        <w:t xml:space="preserve"> </w:t>
      </w:r>
      <w:r>
        <w:rPr>
          <w:b/>
          <w:bCs/>
        </w:rPr>
        <w:t xml:space="preserve">115 rows</w:t>
      </w:r>
      <w:r>
        <w:t xml:space="preserve"> </w:t>
      </w:r>
      <w:r>
        <w:t xml:space="preserve">use irregular, approximate, or malformed date strings rather than straightforward year/month/day expressions. Most importantly,</w:t>
      </w:r>
      <w:r>
        <w:t xml:space="preserve"> </w:t>
      </w:r>
      <w:r>
        <w:rPr>
          <w:b/>
          <w:bCs/>
        </w:rPr>
        <w:t xml:space="preserve">706 rows</w:t>
      </w:r>
      <w:r>
        <w:t xml:space="preserve"> </w:t>
      </w:r>
      <w:r>
        <w:t xml:space="preserve">come from mediated or tertiary web sources if one groups AYR and Wikipedia together, and</w:t>
      </w:r>
      <w:r>
        <w:t xml:space="preserve"> </w:t>
      </w:r>
      <w:r>
        <w:rPr>
          <w:b/>
          <w:bCs/>
        </w:rPr>
        <w:t xml:space="preserve">all 707 current records</w:t>
      </w:r>
      <w:r>
        <w:t xml:space="preserve"> </w:t>
      </w:r>
      <w:r>
        <w:t xml:space="preserve">belong to the</w:t>
      </w:r>
      <w:r>
        <w:t xml:space="preserve"> </w:t>
      </w:r>
      <w:r>
        <w:rPr>
          <w:rStyle w:val="VerbatimChar"/>
        </w:rPr>
        <w:t xml:space="preserve">modern_web</w:t>
      </w:r>
      <w:r>
        <w:t xml:space="preserve"> </w:t>
      </w:r>
      <w:r>
        <w:t xml:space="preserve">source type rather than article-level Trove, catalogue metadata, or public institutional text. These are inferences from my audit of the export tables, supported by the repository’s exported record set and frontend summary.</w:t>
      </w:r>
      <w:r>
        <w:t xml:space="preserve"> </w:t>
      </w:r>
      <w:hyperlink r:id="rId26">
        <w:r>
          <w:rPr>
            <w:rStyle w:val="Hyperlink"/>
          </w:rPr>
          <w:t xml:space="preserve">[11]</w:t>
        </w:r>
      </w:hyperlink>
    </w:p>
    <w:bookmarkEnd w:id="27"/>
    <w:bookmarkEnd w:id="28"/>
    <w:bookmarkStart w:id="29" w:name="source-balance-and-research-validity"/>
    <w:p>
      <w:pPr>
        <w:pStyle w:val="Heading2"/>
      </w:pPr>
      <w:r>
        <w:t xml:space="preserve">Source balance and research validity</w:t>
      </w:r>
    </w:p>
    <w:p>
      <w:pPr>
        <w:pStyle w:val="FirstParagraph"/>
      </w:pPr>
      <w:r>
        <w:t xml:space="preserve">At present, the corpus is strong enough for a</w:t>
      </w:r>
      <w:r>
        <w:t xml:space="preserve"> </w:t>
      </w:r>
      <w:r>
        <w:rPr>
          <w:b/>
          <w:bCs/>
        </w:rPr>
        <w:t xml:space="preserve">visual prototype</w:t>
      </w:r>
      <w:r>
        <w:t xml:space="preserve">, barely sufficient for a</w:t>
      </w:r>
      <w:r>
        <w:t xml:space="preserve"> </w:t>
      </w:r>
      <w:r>
        <w:rPr>
          <w:b/>
          <w:bCs/>
        </w:rPr>
        <w:t xml:space="preserve">pilot review archive</w:t>
      </w:r>
      <w:r>
        <w:t xml:space="preserve">, and not yet balanced enough for a</w:t>
      </w:r>
      <w:r>
        <w:t xml:space="preserve"> </w:t>
      </w:r>
      <w:r>
        <w:rPr>
          <w:b/>
          <w:bCs/>
        </w:rPr>
        <w:t xml:space="preserve">journal-grade interpretive corpus</w:t>
      </w:r>
      <w:r>
        <w:t xml:space="preserve">. The repo already frames the frontend as a</w:t>
      </w:r>
      <w:r>
        <w:t xml:space="preserve"> </w:t>
      </w:r>
      <w:r>
        <w:rPr>
          <w:b/>
          <w:bCs/>
        </w:rPr>
        <w:t xml:space="preserve">research display</w:t>
      </w:r>
      <w:r>
        <w:t xml:space="preserve"> </w:t>
      </w:r>
      <w:r>
        <w:t xml:space="preserve">and says uncertain or mediated records should remain visibly reviewable rather than flattened into final facts. On its own terms, that framing is correct and should be retained.</w:t>
      </w:r>
      <w:r>
        <w:t xml:space="preserve"> </w:t>
      </w:r>
      <w:hyperlink r:id="rId21">
        <w:r>
          <w:rPr>
            <w:rStyle w:val="Hyperlink"/>
          </w:rPr>
          <w:t xml:space="preserve">[1]</w:t>
        </w:r>
      </w:hyperlink>
    </w:p>
    <w:p>
      <w:pPr>
        <w:pStyle w:val="BodyText"/>
      </w:pPr>
      <w:r>
        <w:t xml:space="preserve">For a</w:t>
      </w:r>
      <w:r>
        <w:t xml:space="preserve"> </w:t>
      </w:r>
      <w:r>
        <w:rPr>
          <w:b/>
          <w:bCs/>
        </w:rPr>
        <w:t xml:space="preserve">visual prototype</w:t>
      </w:r>
      <w:r>
        <w:t xml:space="preserve">, the current source mix is acceptable if the interface says plainly that it is a</w:t>
      </w:r>
      <w:r>
        <w:t xml:space="preserve"> </w:t>
      </w:r>
      <w:r>
        <w:rPr>
          <w:b/>
          <w:bCs/>
        </w:rPr>
        <w:t xml:space="preserve">beta review archive built on an AYR-heavy seed corpus</w:t>
      </w:r>
      <w:r>
        <w:t xml:space="preserve">. For a</w:t>
      </w:r>
      <w:r>
        <w:t xml:space="preserve"> </w:t>
      </w:r>
      <w:r>
        <w:rPr>
          <w:b/>
          <w:bCs/>
        </w:rPr>
        <w:t xml:space="preserve">pilot research archive</w:t>
      </w:r>
      <w:r>
        <w:t xml:space="preserve">, it is acceptable only if the object of study is narrowed to something like “public-text representations in an AYR-dominant seed corpus” or “how a review archive handles mediated public folklore materials.” For a</w:t>
      </w:r>
      <w:r>
        <w:t xml:space="preserve"> </w:t>
      </w:r>
      <w:r>
        <w:rPr>
          <w:b/>
          <w:bCs/>
        </w:rPr>
        <w:t xml:space="preserve">conference or workshop paper</w:t>
      </w:r>
      <w:r>
        <w:t xml:space="preserve">, the current data can support a methods or provenance paper about record design, ethical display, source mediation, or search planning. It does</w:t>
      </w:r>
      <w:r>
        <w:t xml:space="preserve"> </w:t>
      </w:r>
      <w:r>
        <w:rPr>
          <w:b/>
          <w:bCs/>
        </w:rPr>
        <w:t xml:space="preserve">not</w:t>
      </w:r>
      <w:r>
        <w:t xml:space="preserve"> </w:t>
      </w:r>
      <w:r>
        <w:t xml:space="preserve">yet support strong claims about national distributions, figure prevalence, semantic history, or Indigenous/non-Indigenous discursive balance. For a</w:t>
      </w:r>
      <w:r>
        <w:t xml:space="preserve"> </w:t>
      </w:r>
      <w:r>
        <w:rPr>
          <w:b/>
          <w:bCs/>
        </w:rPr>
        <w:t xml:space="preserve">journal article</w:t>
      </w:r>
      <w:r>
        <w:t xml:space="preserve"> </w:t>
      </w:r>
      <w:r>
        <w:t xml:space="preserve">or a</w:t>
      </w:r>
      <w:r>
        <w:t xml:space="preserve"> </w:t>
      </w:r>
      <w:r>
        <w:rPr>
          <w:b/>
          <w:bCs/>
        </w:rPr>
        <w:t xml:space="preserve">public-facing research database</w:t>
      </w:r>
      <w:r>
        <w:t xml:space="preserve"> </w:t>
      </w:r>
      <w:r>
        <w:t xml:space="preserve">intended to stand as a reference source, the present source imbalance is too severe.</w:t>
      </w:r>
      <w:r>
        <w:t xml:space="preserve"> </w:t>
      </w:r>
      <w:hyperlink r:id="rId21">
        <w:r>
          <w:rPr>
            <w:rStyle w:val="Hyperlink"/>
          </w:rPr>
          <w:t xml:space="preserve">[12]</w:t>
        </w:r>
      </w:hyperlink>
    </w:p>
    <w:p>
      <w:pPr>
        <w:pStyle w:val="BodyText"/>
      </w:pPr>
      <w:r>
        <w:t xml:space="preserve">The single largest validity issue is</w:t>
      </w:r>
      <w:r>
        <w:t xml:space="preserve"> </w:t>
      </w:r>
      <w:r>
        <w:rPr>
          <w:b/>
          <w:bCs/>
        </w:rPr>
        <w:t xml:space="preserve">over-reliance on Australian Yowie Research</w:t>
      </w:r>
      <w:r>
        <w:t xml:space="preserve">. A seed corpus in which</w:t>
      </w:r>
      <w:r>
        <w:t xml:space="preserve"> </w:t>
      </w:r>
      <w:r>
        <w:rPr>
          <w:b/>
          <w:bCs/>
        </w:rPr>
        <w:t xml:space="preserve">99.0%</w:t>
      </w:r>
      <w:r>
        <w:t xml:space="preserve"> </w:t>
      </w:r>
      <w:r>
        <w:t xml:space="preserve">of records come from AYR and</w:t>
      </w:r>
      <w:r>
        <w:t xml:space="preserve"> </w:t>
      </w:r>
      <w:r>
        <w:rPr>
          <w:b/>
          <w:bCs/>
        </w:rPr>
        <w:t xml:space="preserve">99.3%</w:t>
      </w:r>
      <w:r>
        <w:t xml:space="preserve"> </w:t>
      </w:r>
      <w:r>
        <w:t xml:space="preserve">are assigned to Yowie is not a balanced Australian corpus; it is an AYR/Yowie corpus with a few orientation and control rows at the margins. The planned query structure is much broader than that, but those broader sources are still largely aspirational in the collected record layer.</w:t>
      </w:r>
      <w:r>
        <w:t xml:space="preserve"> </w:t>
      </w:r>
      <w:hyperlink r:id="rId22">
        <w:r>
          <w:rPr>
            <w:rStyle w:val="Hyperlink"/>
          </w:rPr>
          <w:t xml:space="preserve">[2]</w:t>
        </w:r>
      </w:hyperlink>
    </w:p>
    <w:p>
      <w:pPr>
        <w:pStyle w:val="BodyText"/>
      </w:pPr>
      <w:r>
        <w:t xml:space="preserve">The repository therefore needs</w:t>
      </w:r>
      <w:r>
        <w:t xml:space="preserve"> </w:t>
      </w:r>
      <w:r>
        <w:rPr>
          <w:b/>
          <w:bCs/>
        </w:rPr>
        <w:t xml:space="preserve">Trove article-level verification</w:t>
      </w:r>
      <w:r>
        <w:t xml:space="preserve"> </w:t>
      </w:r>
      <w:r>
        <w:t xml:space="preserve">urgently, especially for pre-1970 material. The README says Trove and NLA results are metadata leads unless full text is manually or API-key verified, and the current Round 002 audit says the planned public lead set is still imbalanced, with a thin 1803–1841 backsearch window and many leads needing article-specific location extraction before map placement. The historical AYR rows are especially important here: they are useful as discovery pointers, but they should not be allowed to stand in for the verified historical newspaper article itself when making claims about early public discourse.</w:t>
      </w:r>
      <w:r>
        <w:t xml:space="preserve"> </w:t>
      </w:r>
      <w:hyperlink r:id="rId21">
        <w:r>
          <w:rPr>
            <w:rStyle w:val="Hyperlink"/>
          </w:rPr>
          <w:t xml:space="preserve">[13]</w:t>
        </w:r>
      </w:hyperlink>
    </w:p>
    <w:p>
      <w:pPr>
        <w:pStyle w:val="BodyText"/>
      </w:pPr>
      <w:r>
        <w:t xml:space="preserve">The same caution applies to</w:t>
      </w:r>
      <w:r>
        <w:t xml:space="preserve"> </w:t>
      </w:r>
      <w:r>
        <w:rPr>
          <w:b/>
          <w:bCs/>
        </w:rPr>
        <w:t xml:space="preserve">NLA and AIATSIS catalogue metadata</w:t>
      </w:r>
      <w:r>
        <w:t xml:space="preserve">. Both the README and AIATSIS public guidance support a conservative treatment: catalogue metadata is excellent for identifying sources and provenance, but it is not permission to extract or circulate culturally sensitive content. AIATSIS’s Access and Use Policy treats culturally restricted, secret, or sacred material as sensitive, and its ethics guidance stresses respect for Indigenous peoples’ rights in relation to their knowledge, cultural expressions, materials, and secrecy. Trove also warns that Aboriginal and Torres Strait Islander content may be culturally sensitive and may include names, voices, or images of deceased persons.</w:t>
      </w:r>
      <w:r>
        <w:t xml:space="preserve"> </w:t>
      </w:r>
      <w:hyperlink r:id="rId21">
        <w:r>
          <w:rPr>
            <w:rStyle w:val="Hyperlink"/>
          </w:rPr>
          <w:t xml:space="preserve">[14]</w:t>
        </w:r>
      </w:hyperlink>
    </w:p>
    <w:p>
      <w:pPr>
        <w:pStyle w:val="BodyText"/>
      </w:pPr>
      <w:r>
        <w:t xml:space="preserve">My recommendation is therefore simple. In this project,</w:t>
      </w:r>
      <w:r>
        <w:t xml:space="preserve"> </w:t>
      </w:r>
      <w:r>
        <w:rPr>
          <w:b/>
          <w:bCs/>
        </w:rPr>
        <w:t xml:space="preserve">catalogue metadata should normally count as a lead or source pointer, not as a record</w:t>
      </w:r>
      <w:r>
        <w:t xml:space="preserve">. It should count as a record only in the special case where the catalogue description itself is the object of study and the row is explicitly flagged as “catalogue-metadata discourse,” not “source text.” That distinction would be consistent with both the repo README and AIATSIS/NLA guidance.</w:t>
      </w:r>
      <w:r>
        <w:t xml:space="preserve"> </w:t>
      </w:r>
      <w:hyperlink r:id="rId21">
        <w:r>
          <w:rPr>
            <w:rStyle w:val="Hyperlink"/>
          </w:rPr>
          <w:t xml:space="preserve">[15]</w:t>
        </w:r>
      </w:hyperlink>
    </w:p>
    <w:p>
      <w:pPr>
        <w:pStyle w:val="BodyText"/>
      </w:pPr>
      <w:r>
        <w:t xml:space="preserve">On manual review thresholds, I would be conservative. Before the project makes interpretive claims about figure prevalence, chronology, source voice, or regional distribution, the safest threshold is</w:t>
      </w:r>
      <w:r>
        <w:t xml:space="preserve"> </w:t>
      </w:r>
      <w:r>
        <w:rPr>
          <w:b/>
          <w:bCs/>
        </w:rPr>
        <w:t xml:space="preserve">full manual review of all non-control, non-duplicate rows retained for v1</w:t>
      </w:r>
      <w:r>
        <w:t xml:space="preserve">. On my audit, that is roughly</w:t>
      </w:r>
      <w:r>
        <w:t xml:space="preserve"> </w:t>
      </w:r>
      <w:r>
        <w:rPr>
          <w:b/>
          <w:bCs/>
        </w:rPr>
        <w:t xml:space="preserve">565–570 rows</w:t>
      </w:r>
      <w:r>
        <w:t xml:space="preserve">. A smaller hand-checked subset can support a methods note or interface paper, but not broad substantive claims. Because the present corpus is so skewed, stratified sampling is less reassuring than full review: if one source contributes almost everything, unreviewed error within that source is still corpus-defining. This is my judgment, but it follows from the repo’s own statement that every imported record still requires human review and from the current one-source concentration.</w:t>
      </w:r>
      <w:r>
        <w:t xml:space="preserve"> </w:t>
      </w:r>
      <w:hyperlink r:id="rId21">
        <w:r>
          <w:rPr>
            <w:rStyle w:val="Hyperlink"/>
          </w:rPr>
          <w:t xml:space="preserve">[16]</w:t>
        </w:r>
      </w:hyperlink>
    </w:p>
    <w:p>
      <w:pPr>
        <w:pStyle w:val="BodyText"/>
      </w:pPr>
      <w:r>
        <w:t xml:space="preserve">A</w:t>
      </w:r>
      <w:r>
        <w:t xml:space="preserve"> </w:t>
      </w:r>
      <w:r>
        <w:rPr>
          <w:b/>
          <w:bCs/>
        </w:rPr>
        <w:t xml:space="preserve">300-record corpus</w:t>
      </w:r>
      <w:r>
        <w:t xml:space="preserve"> </w:t>
      </w:r>
      <w:r>
        <w:t xml:space="preserve">can be enough for a prototype or tightly constrained pilot, but only under clear conditions: at least several source types must be represented; a substantial share should be article-level verified; the project should avoid national prevalence claims; and the paper should be about method, mediation, or sharply bounded case studies rather than about “Australian humanoid supernatural discourse” in general. A</w:t>
      </w:r>
      <w:r>
        <w:t xml:space="preserve"> </w:t>
      </w:r>
      <w:r>
        <w:rPr>
          <w:b/>
          <w:bCs/>
        </w:rPr>
        <w:t xml:space="preserve">500-record corpus</w:t>
      </w:r>
      <w:r>
        <w:t xml:space="preserve"> </w:t>
      </w:r>
      <w:r>
        <w:t xml:space="preserve">is a much better v1 target, especially because the repo itself already mentions recommended next</w:t>
      </w:r>
      <w:r>
        <w:t xml:space="preserve"> </w:t>
      </w:r>
      <w:r>
        <w:rPr>
          <w:b/>
          <w:bCs/>
        </w:rPr>
        <w:t xml:space="preserve">500-record collection quotas</w:t>
      </w:r>
      <w:r>
        <w:t xml:space="preserve"> </w:t>
      </w:r>
      <w:r>
        <w:t xml:space="preserve">in the Round 002 audit. If that 500 is diversified across Trove, public institutional pages, carefully handled catalogue pointers, and only a minority of AYR pages, then v1 becomes much more defensible.</w:t>
      </w:r>
      <w:r>
        <w:t xml:space="preserve"> </w:t>
      </w:r>
      <w:hyperlink r:id="rId21">
        <w:r>
          <w:rPr>
            <w:rStyle w:val="Hyperlink"/>
          </w:rPr>
          <w:t xml:space="preserve">[13]</w:t>
        </w:r>
      </w:hyperlink>
    </w:p>
    <w:bookmarkEnd w:id="29"/>
    <w:bookmarkStart w:id="50" w:name="figure-scope-audit"/>
    <w:p>
      <w:pPr>
        <w:pStyle w:val="Heading2"/>
      </w:pPr>
      <w:r>
        <w:t xml:space="preserve">Figure-scope audit</w:t>
      </w:r>
    </w:p>
    <w:p>
      <w:pPr>
        <w:pStyle w:val="FirstParagraph"/>
      </w:pPr>
      <w:r>
        <w:t xml:space="preserve">An independent scope audit supports a</w:t>
      </w:r>
      <w:r>
        <w:t xml:space="preserve"> </w:t>
      </w:r>
      <w:r>
        <w:rPr>
          <w:b/>
          <w:bCs/>
        </w:rPr>
        <w:t xml:space="preserve">much smaller and more clustered figure inventory</w:t>
      </w:r>
      <w:r>
        <w:t xml:space="preserve"> </w:t>
      </w:r>
      <w:r>
        <w:t xml:space="preserve">than the current 32 seeded labels imply. Public institutional and scholarly sources show that some labels are clearly attested in Australian public text, but not all are equal kinds of things. Some are modern cryptid-style labels; some are spirit or ancestor classes; some are culture-specific public heritage figure types; some are control terms; and several appear to be aliases, variant spellings, or names preserved mostly through derivative Yowie literature rather than strong public institutional attestation.</w:t>
      </w:r>
      <w:r>
        <w:t xml:space="preserve"> </w:t>
      </w:r>
      <w:hyperlink r:id="rId21">
        <w:r>
          <w:rPr>
            <w:rStyle w:val="Hyperlink"/>
          </w:rPr>
          <w:t xml:space="preserve">[17]</w:t>
        </w:r>
      </w:hyperlink>
    </w:p>
    <w:p>
      <w:pPr>
        <w:pStyle w:val="BodyText"/>
      </w:pPr>
      <w:r>
        <w:t xml:space="preserve">The strongest public-text support exists for several clusters. Trove gives good public-text grounding for the</w:t>
      </w:r>
      <w:r>
        <w:t xml:space="preserve"> </w:t>
      </w:r>
      <w:r>
        <w:rPr>
          <w:b/>
          <w:bCs/>
        </w:rPr>
        <w:t xml:space="preserve">Yahoo / hairy man of the wood</w:t>
      </w:r>
      <w:r>
        <w:t xml:space="preserve"> </w:t>
      </w:r>
      <w:r>
        <w:t xml:space="preserve">complex in nineteenth-century colonial discourse, including explicit uses of “Yahoo-devil devil” and “hairy man of the wood.” AIATSIS public materials also preserve references to</w:t>
      </w:r>
      <w:r>
        <w:t xml:space="preserve"> </w:t>
      </w:r>
      <w:r>
        <w:rPr>
          <w:b/>
          <w:bCs/>
        </w:rPr>
        <w:t xml:space="preserve">Yaroma</w:t>
      </w:r>
      <w:r>
        <w:t xml:space="preserve"> </w:t>
      </w:r>
      <w:r>
        <w:t xml:space="preserve">as a public legend, and NLA/AIATSIS references show the public publication trail for</w:t>
      </w:r>
      <w:r>
        <w:t xml:space="preserve"> </w:t>
      </w:r>
      <w:r>
        <w:rPr>
          <w:b/>
          <w:bCs/>
        </w:rPr>
        <w:t xml:space="preserve">Yara-ma-yha-who</w:t>
      </w:r>
      <w:r>
        <w:t xml:space="preserve">. In other words, there is no problem establishing that these labels exist in public textual circulation; the harder question is how many of them should count as genuinely separate categories rather than as aliases, transformations, or highly mediated retellings.</w:t>
      </w:r>
      <w:r>
        <w:t xml:space="preserve"> </w:t>
      </w:r>
      <w:hyperlink r:id="rId30">
        <w:r>
          <w:rPr>
            <w:rStyle w:val="Hyperlink"/>
          </w:rPr>
          <w:t xml:space="preserve">[18]</w:t>
        </w:r>
      </w:hyperlink>
    </w:p>
    <w:p>
      <w:pPr>
        <w:pStyle w:val="BodyText"/>
      </w:pPr>
      <w:r>
        <w:t xml:space="preserve">The public institutional case is also clear for several Indigenous-related figure types, but with very different interpretive implications. DCCEEW’s Quinkan Country material treats</w:t>
      </w:r>
      <w:r>
        <w:t xml:space="preserve"> </w:t>
      </w:r>
      <w:r>
        <w:rPr>
          <w:b/>
          <w:bCs/>
        </w:rPr>
        <w:t xml:space="preserve">Quinkan spirit figures</w:t>
      </w:r>
      <w:r>
        <w:t xml:space="preserve"> </w:t>
      </w:r>
      <w:r>
        <w:t xml:space="preserve">as a living cultural landscape category of religious and spiritual importance. AIATSIS and public art/research materials document</w:t>
      </w:r>
      <w:r>
        <w:t xml:space="preserve"> </w:t>
      </w:r>
      <w:r>
        <w:rPr>
          <w:b/>
          <w:bCs/>
        </w:rPr>
        <w:t xml:space="preserve">Mimih/Mimi spirits</w:t>
      </w:r>
      <w:r>
        <w:t xml:space="preserve"> </w:t>
      </w:r>
      <w:r>
        <w:t xml:space="preserve">as a public representational class in Arnhem Land art and story contexts. Gunaikurnai public material identifies the</w:t>
      </w:r>
      <w:r>
        <w:t xml:space="preserve"> </w:t>
      </w:r>
      <w:r>
        <w:rPr>
          <w:b/>
          <w:bCs/>
        </w:rPr>
        <w:t xml:space="preserve">Nargun</w:t>
      </w:r>
      <w:r>
        <w:t xml:space="preserve"> </w:t>
      </w:r>
      <w:r>
        <w:t xml:space="preserve">as a culturally significant being tied to place; AGSA publicly catalogs a bark painting of</w:t>
      </w:r>
      <w:r>
        <w:t xml:space="preserve"> </w:t>
      </w:r>
      <w:r>
        <w:rPr>
          <w:b/>
          <w:bCs/>
        </w:rPr>
        <w:t xml:space="preserve">Garkain</w:t>
      </w:r>
      <w:r>
        <w:t xml:space="preserve">; AIATSIS collection metadata records public references to</w:t>
      </w:r>
      <w:r>
        <w:t xml:space="preserve"> </w:t>
      </w:r>
      <w:r>
        <w:rPr>
          <w:b/>
          <w:bCs/>
        </w:rPr>
        <w:t xml:space="preserve">Mokoi</w:t>
      </w:r>
      <w:r>
        <w:t xml:space="preserve"> </w:t>
      </w:r>
      <w:r>
        <w:t xml:space="preserve">spirit figures; ACMI glosses</w:t>
      </w:r>
      <w:r>
        <w:t xml:space="preserve"> </w:t>
      </w:r>
      <w:r>
        <w:rPr>
          <w:b/>
          <w:bCs/>
        </w:rPr>
        <w:t xml:space="preserve">Mamu</w:t>
      </w:r>
      <w:r>
        <w:t xml:space="preserve"> </w:t>
      </w:r>
      <w:r>
        <w:t xml:space="preserve">as an evil spirit; and ANU plus AIATSIS/NLA public records support</w:t>
      </w:r>
      <w:r>
        <w:t xml:space="preserve"> </w:t>
      </w:r>
      <w:r>
        <w:rPr>
          <w:b/>
          <w:bCs/>
        </w:rPr>
        <w:t xml:space="preserve">Pangkarlangu</w:t>
      </w:r>
      <w:r>
        <w:t xml:space="preserve"> </w:t>
      </w:r>
      <w:r>
        <w:t xml:space="preserve">as a giant or monster in Warlpiri public narrative. These are all real public-text objects, but they are not interchangeable with the Yowie/Yahoo complex, and some carry much greater cultural sensitivity.</w:t>
      </w:r>
      <w:r>
        <w:t xml:space="preserve"> </w:t>
      </w:r>
      <w:hyperlink r:id="rId31">
        <w:r>
          <w:rPr>
            <w:rStyle w:val="Hyperlink"/>
          </w:rPr>
          <w:t xml:space="preserve">[19]</w:t>
        </w:r>
      </w:hyperlink>
    </w:p>
    <w:p>
      <w:pPr>
        <w:pStyle w:val="BodyText"/>
      </w:pPr>
      <w:r>
        <w:t xml:space="preserve">The strongest reason to narrow the core is</w:t>
      </w:r>
      <w:r>
        <w:t xml:space="preserve"> </w:t>
      </w:r>
      <w:r>
        <w:rPr>
          <w:b/>
          <w:bCs/>
        </w:rPr>
        <w:t xml:space="preserve">Wandjina/Wanjina</w:t>
      </w:r>
      <w:r>
        <w:t xml:space="preserve">. Public institutional material makes clear that Wandjina are not generic “monsters”: they are creation ancestors or rain/creator beings associated with specific Kimberley peoples, and there are explicit public claims about community authority over depiction. That makes Wandjina public-text visible, but also especially vulnerable to flattening if inserted into a generic humanoid-supernatural inventory. For this project, I would treat Wandjina as</w:t>
      </w:r>
      <w:r>
        <w:t xml:space="preserve"> </w:t>
      </w:r>
      <w:r>
        <w:rPr>
          <w:b/>
          <w:bCs/>
        </w:rPr>
        <w:t xml:space="preserve">high-sensitivity public-heritage discourse</w:t>
      </w:r>
      <w:r>
        <w:t xml:space="preserve">, not as a routine core monster-like category.</w:t>
      </w:r>
      <w:r>
        <w:t xml:space="preserve"> </w:t>
      </w:r>
      <w:hyperlink r:id="rId32">
        <w:r>
          <w:rPr>
            <w:rStyle w:val="Hyperlink"/>
          </w:rPr>
          <w:t xml:space="preserve">[20]</w:t>
        </w:r>
      </w:hyperlink>
    </w:p>
    <w:p>
      <w:pPr>
        <w:pStyle w:val="BodyText"/>
      </w:pPr>
      <w:r>
        <w:t xml:space="preserve">The same caution supports the repo’s exclusions for</w:t>
      </w:r>
      <w:r>
        <w:t xml:space="preserve"> </w:t>
      </w:r>
      <w:r>
        <w:rPr>
          <w:b/>
          <w:bCs/>
        </w:rPr>
        <w:t xml:space="preserve">Rainbow Serpent</w:t>
      </w:r>
      <w:r>
        <w:t xml:space="preserve">,</w:t>
      </w:r>
      <w:r>
        <w:t xml:space="preserve"> </w:t>
      </w:r>
      <w:r>
        <w:rPr>
          <w:b/>
          <w:bCs/>
        </w:rPr>
        <w:t xml:space="preserve">Ngatyi</w:t>
      </w:r>
      <w:r>
        <w:t xml:space="preserve">, and</w:t>
      </w:r>
      <w:r>
        <w:t xml:space="preserve"> </w:t>
      </w:r>
      <w:r>
        <w:rPr>
          <w:b/>
          <w:bCs/>
        </w:rPr>
        <w:t xml:space="preserve">Bula</w:t>
      </w:r>
      <w:r>
        <w:t xml:space="preserve">. Public institutional sources treat Rainbow Serpent and Ngatyi as ancestral or culture-central beings, not as ordinary humanoid-supernatural figures; AIATSIS collection material and public guides simultaneously show their presence in public records and the need for sensitivity. These belong in exclusion or high-sensitivity control logic, not in the main scope.</w:t>
      </w:r>
      <w:r>
        <w:t xml:space="preserve"> </w:t>
      </w:r>
      <w:r>
        <w:rPr>
          <w:b/>
          <w:bCs/>
        </w:rPr>
        <w:t xml:space="preserve">Min Min lights</w:t>
      </w:r>
      <w:r>
        <w:t xml:space="preserve"> </w:t>
      </w:r>
      <w:r>
        <w:t xml:space="preserve">are public and Australian, but they are a phenomenon rather than a humanoid or humanoid-adjacent being.</w:t>
      </w:r>
      <w:r>
        <w:t xml:space="preserve"> </w:t>
      </w:r>
      <w:r>
        <w:rPr>
          <w:b/>
          <w:bCs/>
        </w:rPr>
        <w:t xml:space="preserve">Drop bear</w:t>
      </w:r>
      <w:r>
        <w:t xml:space="preserve"> </w:t>
      </w:r>
      <w:r>
        <w:t xml:space="preserve">is publicly useful as a satire/hoax control, and the Australian Museum treats it explicitly as a legend/hoax entry.</w:t>
      </w:r>
      <w:r>
        <w:t xml:space="preserve"> </w:t>
      </w:r>
      <w:r>
        <w:rPr>
          <w:b/>
          <w:bCs/>
        </w:rPr>
        <w:t xml:space="preserve">Bunyip</w:t>
      </w:r>
      <w:r>
        <w:t xml:space="preserve"> </w:t>
      </w:r>
      <w:r>
        <w:t xml:space="preserve">is highly public and culturally important in Australian folklore, but it is not a humanoid project core.</w:t>
      </w:r>
      <w:r>
        <w:t xml:space="preserve"> </w:t>
      </w:r>
      <w:hyperlink r:id="rId33">
        <w:r>
          <w:rPr>
            <w:rStyle w:val="Hyperlink"/>
          </w:rPr>
          <w:t xml:space="preserve">[21]</w:t>
        </w:r>
      </w:hyperlink>
    </w:p>
    <w:bookmarkStart w:id="49" w:name="figure-category-recommendations"/>
    <w:p>
      <w:pPr>
        <w:pStyle w:val="Heading3"/>
      </w:pPr>
      <w:r>
        <w:t xml:space="preserve">Figure-category recommendations</w:t>
      </w:r>
    </w:p>
    <w:p>
      <w:pPr>
        <w:pStyle w:val="FirstParagraph"/>
      </w:pPr>
      <w:r>
        <w:t xml:space="preserve">The table below is a conservative recommendation. It is partly source-supported and partly analytic judgment. Where a row says “alias-family” or “being class,” that is my judgment about how to avoid inflating the figure count while still respecting public textual reality.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Repo term</w:t>
            </w:r>
          </w:p>
        </w:tc>
        <w:tc>
          <w:tcPr/>
          <w:p>
            <w:pPr>
              <w:pStyle w:val="Compact"/>
            </w:pPr>
            <w:r>
              <w:t xml:space="preserve">My reading</w:t>
            </w:r>
          </w:p>
        </w:tc>
        <w:tc>
          <w:tcPr/>
          <w:p>
            <w:pPr>
              <w:pStyle w:val="Compact"/>
            </w:pPr>
            <w:r>
              <w:t xml:space="preserve">Australia-specific enough</w:t>
            </w:r>
          </w:p>
        </w:tc>
        <w:tc>
          <w:tcPr/>
          <w:p>
            <w:pPr>
              <w:pStyle w:val="Compact"/>
            </w:pPr>
            <w:r>
              <w:t xml:space="preserve">Public-text safe</w:t>
            </w:r>
          </w:p>
        </w:tc>
        <w:tc>
          <w:tcPr/>
          <w:p>
            <w:pPr>
              <w:pStyle w:val="Compact"/>
            </w:pPr>
            <w:r>
              <w:t xml:space="preserve">Sensitivity</w:t>
            </w:r>
          </w:p>
        </w:tc>
        <w:tc>
          <w:tcPr/>
          <w:p>
            <w:pPr>
              <w:pStyle w:val="Compact"/>
            </w:pPr>
            <w:r>
              <w:t xml:space="preserve">Recommendation</w:t>
            </w:r>
          </w:p>
        </w:tc>
        <w:tc>
          <w:tcPr/>
          <w:p>
            <w:pPr>
              <w:pStyle w:val="Compact"/>
            </w:pPr>
            <w:r>
              <w:t xml:space="preserve">Notes on noise and treatment</w:t>
            </w:r>
          </w:p>
        </w:tc>
      </w:tr>
      <w:tr>
        <w:tc>
          <w:tcPr/>
          <w:p>
            <w:pPr>
              <w:pStyle w:val="Compact"/>
            </w:pPr>
            <w:r>
              <w:rPr>
                <w:b/>
                <w:bCs/>
              </w:rPr>
              <w:t xml:space="preserve">Yowie</w:t>
            </w:r>
          </w:p>
        </w:tc>
        <w:tc>
          <w:tcPr/>
          <w:p>
            <w:pPr>
              <w:pStyle w:val="Compact"/>
            </w:pPr>
            <w:r>
              <w:t xml:space="preserve">explicit humanoid / modern public folklore cluster</w:t>
            </w:r>
          </w:p>
        </w:tc>
        <w:tc>
          <w:tcPr/>
          <w:p>
            <w:pPr>
              <w:pStyle w:val="Compact"/>
            </w:pPr>
            <w:r>
              <w:t xml:space="preserve">Yes</w:t>
            </w:r>
          </w:p>
        </w:tc>
        <w:tc>
          <w:tcPr/>
          <w:p>
            <w:pPr>
              <w:pStyle w:val="Compact"/>
            </w:pPr>
            <w:r>
              <w:t xml:space="preserve">Yes</w:t>
            </w:r>
          </w:p>
        </w:tc>
        <w:tc>
          <w:tcPr/>
          <w:p>
            <w:pPr>
              <w:pStyle w:val="Compact"/>
            </w:pPr>
            <w:r>
              <w:t xml:space="preserve">Low–medium</w:t>
            </w:r>
          </w:p>
        </w:tc>
        <w:tc>
          <w:tcPr/>
          <w:p>
            <w:pPr>
              <w:pStyle w:val="Compact"/>
            </w:pPr>
            <w:r>
              <w:rPr>
                <w:b/>
                <w:bCs/>
              </w:rPr>
              <w:t xml:space="preserve">include_v1</w:t>
            </w:r>
          </w:p>
        </w:tc>
        <w:tc>
          <w:tcPr/>
          <w:p>
            <w:pPr>
              <w:pStyle w:val="Compact"/>
            </w:pPr>
            <w:r>
              <w:t xml:space="preserve">Core public-discourse label, but extremely dominant; noise from Yowie Bay/chocolate/toys is real.</w:t>
            </w:r>
            <w:r>
              <w:t xml:space="preserve"> </w:t>
            </w:r>
            <w:hyperlink r:id="rId34">
              <w:r>
                <w:rPr>
                  <w:rStyle w:val="Hyperlink"/>
                </w:rPr>
                <w:t xml:space="preserve">[22]</w:t>
              </w:r>
            </w:hyperlink>
          </w:p>
        </w:tc>
      </w:tr>
      <w:tr>
        <w:tc>
          <w:tcPr/>
          <w:p>
            <w:pPr>
              <w:pStyle w:val="Compact"/>
            </w:pPr>
            <w:r>
              <w:rPr>
                <w:b/>
                <w:bCs/>
              </w:rPr>
              <w:t xml:space="preserve">Yahoo</w:t>
            </w:r>
          </w:p>
        </w:tc>
        <w:tc>
          <w:tcPr/>
          <w:p>
            <w:pPr>
              <w:pStyle w:val="Compact"/>
            </w:pPr>
            <w:r>
              <w:t xml:space="preserve">explicit humanoid, historically linked to “hairy man” discourse</w:t>
            </w:r>
          </w:p>
        </w:tc>
        <w:tc>
          <w:tcPr/>
          <w:p>
            <w:pPr>
              <w:pStyle w:val="Compact"/>
            </w:pPr>
            <w:r>
              <w:t xml:space="preserve">Yes</w:t>
            </w:r>
          </w:p>
        </w:tc>
        <w:tc>
          <w:tcPr/>
          <w:p>
            <w:pPr>
              <w:pStyle w:val="Compact"/>
            </w:pPr>
            <w:r>
              <w:t xml:space="preserve">Yes</w:t>
            </w:r>
          </w:p>
        </w:tc>
        <w:tc>
          <w:tcPr/>
          <w:p>
            <w:pPr>
              <w:pStyle w:val="Compact"/>
            </w:pPr>
            <w:r>
              <w:t xml:space="preserve">Medium</w:t>
            </w:r>
          </w:p>
        </w:tc>
        <w:tc>
          <w:tcPr/>
          <w:p>
            <w:pPr>
              <w:pStyle w:val="Compact"/>
            </w:pPr>
            <w:r>
              <w:rPr>
                <w:b/>
                <w:bCs/>
              </w:rPr>
              <w:t xml:space="preserve">include_v1</w:t>
            </w:r>
          </w:p>
        </w:tc>
        <w:tc>
          <w:tcPr/>
          <w:p>
            <w:pPr>
              <w:pStyle w:val="Compact"/>
            </w:pPr>
            <w:r>
              <w:t xml:space="preserve">Strong public-text attestation, but search noise is extreme because of the internet company.</w:t>
            </w:r>
            <w:r>
              <w:t xml:space="preserve"> </w:t>
            </w:r>
            <w:hyperlink r:id="rId30">
              <w:r>
                <w:rPr>
                  <w:rStyle w:val="Hyperlink"/>
                </w:rPr>
                <w:t xml:space="preserve">[23]</w:t>
              </w:r>
            </w:hyperlink>
          </w:p>
        </w:tc>
      </w:tr>
      <w:tr>
        <w:tc>
          <w:tcPr/>
          <w:p>
            <w:pPr>
              <w:pStyle w:val="Compact"/>
            </w:pPr>
            <w:r>
              <w:rPr>
                <w:b/>
                <w:bCs/>
              </w:rPr>
              <w:t xml:space="preserve">Hairy Man</w:t>
            </w:r>
          </w:p>
        </w:tc>
        <w:tc>
          <w:tcPr/>
          <w:p>
            <w:pPr>
              <w:pStyle w:val="Compact"/>
            </w:pPr>
            <w:r>
              <w:t xml:space="preserve">descriptor / alias-family, not a stable standalone category</w:t>
            </w:r>
          </w:p>
        </w:tc>
        <w:tc>
          <w:tcPr/>
          <w:p>
            <w:pPr>
              <w:pStyle w:val="Compact"/>
            </w:pPr>
            <w:r>
              <w:t xml:space="preserve">Broadly yes</w:t>
            </w:r>
          </w:p>
        </w:tc>
        <w:tc>
          <w:tcPr/>
          <w:p>
            <w:pPr>
              <w:pStyle w:val="Compact"/>
            </w:pPr>
            <w:r>
              <w:t xml:space="preserve">Yes</w:t>
            </w:r>
          </w:p>
        </w:tc>
        <w:tc>
          <w:tcPr/>
          <w:p>
            <w:pPr>
              <w:pStyle w:val="Compact"/>
            </w:pPr>
            <w:r>
              <w:t xml:space="preserve">Low</w:t>
            </w:r>
          </w:p>
        </w:tc>
        <w:tc>
          <w:tcPr/>
          <w:p>
            <w:pPr>
              <w:pStyle w:val="Compact"/>
            </w:pPr>
            <w:r>
              <w:rPr>
                <w:b/>
                <w:bCs/>
              </w:rPr>
              <w:t xml:space="preserve">validate_before_include</w:t>
            </w:r>
            <w:r>
              <w:t xml:space="preserve"> </w:t>
            </w:r>
            <w:r>
              <w:t xml:space="preserve">as</w:t>
            </w:r>
            <w:r>
              <w:t xml:space="preserve"> </w:t>
            </w:r>
            <w:r>
              <w:rPr>
                <w:b/>
                <w:bCs/>
              </w:rPr>
              <w:t xml:space="preserve">alias</w:t>
            </w:r>
            <w:r>
              <w:t xml:space="preserve">, not standalone</w:t>
            </w:r>
          </w:p>
        </w:tc>
        <w:tc>
          <w:tcPr/>
          <w:p>
            <w:pPr>
              <w:pStyle w:val="Compact"/>
            </w:pPr>
            <w:r>
              <w:t xml:space="preserve">Best handled as an alias/search family inside the Yowie/Yahoo cluster.</w:t>
            </w:r>
            <w:r>
              <w:t xml:space="preserve"> </w:t>
            </w:r>
            <w:hyperlink r:id="rId30">
              <w:r>
                <w:rPr>
                  <w:rStyle w:val="Hyperlink"/>
                </w:rPr>
                <w:t xml:space="preserve">[24]</w:t>
              </w:r>
            </w:hyperlink>
          </w:p>
        </w:tc>
      </w:tr>
      <w:tr>
        <w:tc>
          <w:tcPr/>
          <w:p>
            <w:pPr>
              <w:pStyle w:val="Compact"/>
            </w:pPr>
            <w:r>
              <w:rPr>
                <w:b/>
                <w:bCs/>
              </w:rPr>
              <w:t xml:space="preserve">Yaroma</w:t>
            </w:r>
          </w:p>
        </w:tc>
        <w:tc>
          <w:tcPr/>
          <w:p>
            <w:pPr>
              <w:pStyle w:val="Compact"/>
            </w:pPr>
            <w:r>
              <w:t xml:space="preserve">humanoid-adjacent cautionary being; probably linked to Yara-ma-yha-who traditions</w:t>
            </w:r>
          </w:p>
        </w:tc>
        <w:tc>
          <w:tcPr/>
          <w:p>
            <w:pPr>
              <w:pStyle w:val="Compact"/>
            </w:pPr>
            <w:r>
              <w:t xml:space="preserve">Yes</w:t>
            </w:r>
          </w:p>
        </w:tc>
        <w:tc>
          <w:tcPr/>
          <w:p>
            <w:pPr>
              <w:pStyle w:val="Compact"/>
            </w:pPr>
            <w:r>
              <w:t xml:space="preserve">Yes</w:t>
            </w:r>
          </w:p>
        </w:tc>
        <w:tc>
          <w:tcPr/>
          <w:p>
            <w:pPr>
              <w:pStyle w:val="Compact"/>
            </w:pPr>
            <w:r>
              <w:t xml:space="preserve">Medium</w:t>
            </w:r>
          </w:p>
        </w:tc>
        <w:tc>
          <w:tcPr/>
          <w:p>
            <w:pPr>
              <w:pStyle w:val="Compact"/>
            </w:pPr>
            <w:r>
              <w:rPr>
                <w:b/>
                <w:bCs/>
              </w:rPr>
              <w:t xml:space="preserve">include_v1</w:t>
            </w:r>
          </w:p>
        </w:tc>
        <w:tc>
          <w:tcPr/>
          <w:p>
            <w:pPr>
              <w:pStyle w:val="Compact"/>
            </w:pPr>
            <w:r>
              <w:t xml:space="preserve">Publicly attested in AIATSIS-linked Mathews material; should be coded carefully.</w:t>
            </w:r>
            <w:r>
              <w:t xml:space="preserve"> </w:t>
            </w:r>
            <w:hyperlink r:id="rId35">
              <w:r>
                <w:rPr>
                  <w:rStyle w:val="Hyperlink"/>
                </w:rPr>
                <w:t xml:space="preserve">[25]</w:t>
              </w:r>
            </w:hyperlink>
          </w:p>
        </w:tc>
      </w:tr>
      <w:tr>
        <w:tc>
          <w:tcPr/>
          <w:p>
            <w:pPr>
              <w:pStyle w:val="Compact"/>
            </w:pPr>
            <w:r>
              <w:rPr>
                <w:b/>
                <w:bCs/>
              </w:rPr>
              <w:t xml:space="preserve">Yara-ma-yha-who</w:t>
            </w:r>
          </w:p>
        </w:tc>
        <w:tc>
          <w:tcPr/>
          <w:p>
            <w:pPr>
              <w:pStyle w:val="Compact"/>
            </w:pPr>
            <w:r>
              <w:t xml:space="preserve">humanoid-adjacent cautionary being</w:t>
            </w:r>
          </w:p>
        </w:tc>
        <w:tc>
          <w:tcPr/>
          <w:p>
            <w:pPr>
              <w:pStyle w:val="Compact"/>
            </w:pPr>
            <w:r>
              <w:t xml:space="preserve">Yes</w:t>
            </w:r>
          </w:p>
        </w:tc>
        <w:tc>
          <w:tcPr/>
          <w:p>
            <w:pPr>
              <w:pStyle w:val="Compact"/>
            </w:pPr>
            <w:r>
              <w:t xml:space="preserve">Yes</w:t>
            </w:r>
          </w:p>
        </w:tc>
        <w:tc>
          <w:tcPr/>
          <w:p>
            <w:pPr>
              <w:pStyle w:val="Compact"/>
            </w:pPr>
            <w:r>
              <w:t xml:space="preserve">Medium</w:t>
            </w:r>
          </w:p>
        </w:tc>
        <w:tc>
          <w:tcPr/>
          <w:p>
            <w:pPr>
              <w:pStyle w:val="Compact"/>
            </w:pPr>
            <w:r>
              <w:rPr>
                <w:b/>
                <w:bCs/>
              </w:rPr>
              <w:t xml:space="preserve">include_v1</w:t>
            </w:r>
          </w:p>
        </w:tc>
        <w:tc>
          <w:tcPr/>
          <w:p>
            <w:pPr>
              <w:pStyle w:val="Compact"/>
            </w:pPr>
            <w:r>
              <w:t xml:space="preserve">Public publication trail exists, but high-level counting should avoid over-separating it from close variants unless the source itself distinguishes.</w:t>
            </w:r>
            <w:r>
              <w:t xml:space="preserve"> </w:t>
            </w:r>
            <w:hyperlink r:id="rId36">
              <w:r>
                <w:rPr>
                  <w:rStyle w:val="Hyperlink"/>
                </w:rPr>
                <w:t xml:space="preserve">[26]</w:t>
              </w:r>
            </w:hyperlink>
          </w:p>
        </w:tc>
      </w:tr>
      <w:tr>
        <w:tc>
          <w:tcPr/>
          <w:p>
            <w:pPr>
              <w:pStyle w:val="Compact"/>
            </w:pPr>
            <w:r>
              <w:rPr>
                <w:b/>
                <w:bCs/>
              </w:rPr>
              <w:t xml:space="preserve">Mimih / Mimi</w:t>
            </w:r>
          </w:p>
        </w:tc>
        <w:tc>
          <w:tcPr/>
          <w:p>
            <w:pPr>
              <w:pStyle w:val="Compact"/>
            </w:pPr>
            <w:r>
              <w:t xml:space="preserve">spirit-person / being class, not singular monster</w:t>
            </w:r>
          </w:p>
        </w:tc>
        <w:tc>
          <w:tcPr/>
          <w:p>
            <w:pPr>
              <w:pStyle w:val="Compact"/>
            </w:pPr>
            <w:r>
              <w:t xml:space="preserve">Yes</w:t>
            </w:r>
          </w:p>
        </w:tc>
        <w:tc>
          <w:tcPr/>
          <w:p>
            <w:pPr>
              <w:pStyle w:val="Compact"/>
            </w:pPr>
            <w:r>
              <w:t xml:space="preserve">Yes, with care</w:t>
            </w:r>
          </w:p>
        </w:tc>
        <w:tc>
          <w:tcPr/>
          <w:p>
            <w:pPr>
              <w:pStyle w:val="Compact"/>
            </w:pPr>
            <w:r>
              <w:t xml:space="preserve">Medium–high</w:t>
            </w:r>
          </w:p>
        </w:tc>
        <w:tc>
          <w:tcPr/>
          <w:p>
            <w:pPr>
              <w:pStyle w:val="Compact"/>
            </w:pPr>
            <w:r>
              <w:rPr>
                <w:b/>
                <w:bCs/>
              </w:rPr>
              <w:t xml:space="preserve">include_v1</w:t>
            </w:r>
          </w:p>
        </w:tc>
        <w:tc>
          <w:tcPr/>
          <w:p>
            <w:pPr>
              <w:pStyle w:val="Compact"/>
            </w:pPr>
            <w:r>
              <w:t xml:space="preserve">Strong public heritage/art presence; high noise from personal names and art contexts.</w:t>
            </w:r>
            <w:r>
              <w:t xml:space="preserve"> </w:t>
            </w:r>
            <w:hyperlink r:id="rId37">
              <w:r>
                <w:rPr>
                  <w:rStyle w:val="Hyperlink"/>
                </w:rPr>
                <w:t xml:space="preserve">[27]</w:t>
              </w:r>
            </w:hyperlink>
          </w:p>
        </w:tc>
      </w:tr>
      <w:tr>
        <w:tc>
          <w:tcPr/>
          <w:p>
            <w:pPr>
              <w:pStyle w:val="Compact"/>
            </w:pPr>
            <w:r>
              <w:rPr>
                <w:b/>
                <w:bCs/>
              </w:rPr>
              <w:t xml:space="preserve">Quinkan / Quinkin</w:t>
            </w:r>
          </w:p>
        </w:tc>
        <w:tc>
          <w:tcPr/>
          <w:p>
            <w:pPr>
              <w:pStyle w:val="Compact"/>
            </w:pPr>
            <w:r>
              <w:t xml:space="preserve">spirit-figure class in public heritage discourse</w:t>
            </w:r>
          </w:p>
        </w:tc>
        <w:tc>
          <w:tcPr/>
          <w:p>
            <w:pPr>
              <w:pStyle w:val="Compact"/>
            </w:pPr>
            <w:r>
              <w:t xml:space="preserve">Yes</w:t>
            </w:r>
          </w:p>
        </w:tc>
        <w:tc>
          <w:tcPr/>
          <w:p>
            <w:pPr>
              <w:pStyle w:val="Compact"/>
            </w:pPr>
            <w:r>
              <w:t xml:space="preserve">Yes, with care</w:t>
            </w:r>
          </w:p>
        </w:tc>
        <w:tc>
          <w:tcPr/>
          <w:p>
            <w:pPr>
              <w:pStyle w:val="Compact"/>
            </w:pPr>
            <w:r>
              <w:t xml:space="preserve">High</w:t>
            </w:r>
          </w:p>
        </w:tc>
        <w:tc>
          <w:tcPr/>
          <w:p>
            <w:pPr>
              <w:pStyle w:val="Compact"/>
            </w:pPr>
            <w:r>
              <w:rPr>
                <w:b/>
                <w:bCs/>
              </w:rPr>
              <w:t xml:space="preserve">include_v1</w:t>
            </w:r>
          </w:p>
        </w:tc>
        <w:tc>
          <w:tcPr/>
          <w:p>
            <w:pPr>
              <w:pStyle w:val="Compact"/>
            </w:pPr>
            <w:r>
              <w:t xml:space="preserve">Defensible only as public heritage/public text representation, not as cryptid inventory.</w:t>
            </w:r>
            <w:r>
              <w:t xml:space="preserve"> </w:t>
            </w:r>
            <w:hyperlink r:id="rId31">
              <w:r>
                <w:rPr>
                  <w:rStyle w:val="Hyperlink"/>
                </w:rPr>
                <w:t xml:space="preserve">[28]</w:t>
              </w:r>
            </w:hyperlink>
          </w:p>
        </w:tc>
      </w:tr>
      <w:tr>
        <w:tc>
          <w:tcPr/>
          <w:p>
            <w:pPr>
              <w:pStyle w:val="Compact"/>
            </w:pPr>
            <w:r>
              <w:rPr>
                <w:b/>
                <w:bCs/>
              </w:rPr>
              <w:t xml:space="preserve">Wandjina / Wanjina</w:t>
            </w:r>
          </w:p>
        </w:tc>
        <w:tc>
          <w:tcPr/>
          <w:p>
            <w:pPr>
              <w:pStyle w:val="Compact"/>
            </w:pPr>
            <w:r>
              <w:t xml:space="preserve">ancestral-being class, often anthropomorphic in representation</w:t>
            </w:r>
          </w:p>
        </w:tc>
        <w:tc>
          <w:tcPr/>
          <w:p>
            <w:pPr>
              <w:pStyle w:val="Compact"/>
            </w:pPr>
            <w:r>
              <w:t xml:space="preserve">Yes</w:t>
            </w:r>
          </w:p>
        </w:tc>
        <w:tc>
          <w:tcPr/>
          <w:p>
            <w:pPr>
              <w:pStyle w:val="Compact"/>
            </w:pPr>
            <w:r>
              <w:t xml:space="preserve">Publicly visible, but not routine “safe” core</w:t>
            </w:r>
          </w:p>
        </w:tc>
        <w:tc>
          <w:tcPr/>
          <w:p>
            <w:pPr>
              <w:pStyle w:val="Compact"/>
            </w:pPr>
            <w:r>
              <w:rPr>
                <w:b/>
                <w:bCs/>
              </w:rPr>
              <w:t xml:space="preserve">Very high</w:t>
            </w:r>
          </w:p>
        </w:tc>
        <w:tc>
          <w:tcPr/>
          <w:p>
            <w:pPr>
              <w:pStyle w:val="Compact"/>
            </w:pPr>
            <w:r>
              <w:rPr>
                <w:b/>
                <w:bCs/>
              </w:rPr>
              <w:t xml:space="preserve">validate_before_include</w:t>
            </w:r>
            <w:r>
              <w:t xml:space="preserve"> </w:t>
            </w:r>
            <w:r>
              <w:t xml:space="preserve">or heritage-only mode</w:t>
            </w:r>
          </w:p>
        </w:tc>
        <w:tc>
          <w:tcPr/>
          <w:p>
            <w:pPr>
              <w:pStyle w:val="Compact"/>
            </w:pPr>
            <w:r>
              <w:t xml:space="preserve">Publicly documented, but too culturally central and ownership-sensitive to sit comfortably in a generic core list.</w:t>
            </w:r>
            <w:r>
              <w:t xml:space="preserve"> </w:t>
            </w:r>
            <w:hyperlink r:id="rId32">
              <w:r>
                <w:rPr>
                  <w:rStyle w:val="Hyperlink"/>
                </w:rPr>
                <w:t xml:space="preserve">[20]</w:t>
              </w:r>
            </w:hyperlink>
          </w:p>
        </w:tc>
      </w:tr>
      <w:tr>
        <w:tc>
          <w:tcPr/>
          <w:p>
            <w:pPr>
              <w:pStyle w:val="Compact"/>
            </w:pPr>
            <w:r>
              <w:rPr>
                <w:b/>
                <w:bCs/>
              </w:rPr>
              <w:t xml:space="preserve">Nargun</w:t>
            </w:r>
          </w:p>
        </w:tc>
        <w:tc>
          <w:tcPr/>
          <w:p>
            <w:pPr>
              <w:pStyle w:val="Compact"/>
            </w:pPr>
            <w:r>
              <w:t xml:space="preserve">humanoid-adjacent stone being tied to place</w:t>
            </w:r>
          </w:p>
        </w:tc>
        <w:tc>
          <w:tcPr/>
          <w:p>
            <w:pPr>
              <w:pStyle w:val="Compact"/>
            </w:pPr>
            <w:r>
              <w:t xml:space="preserve">Yes</w:t>
            </w:r>
          </w:p>
        </w:tc>
        <w:tc>
          <w:tcPr/>
          <w:p>
            <w:pPr>
              <w:pStyle w:val="Compact"/>
            </w:pPr>
            <w:r>
              <w:t xml:space="preserve">Yes</w:t>
            </w:r>
          </w:p>
        </w:tc>
        <w:tc>
          <w:tcPr/>
          <w:p>
            <w:pPr>
              <w:pStyle w:val="Compact"/>
            </w:pPr>
            <w:r>
              <w:t xml:space="preserve">High</w:t>
            </w:r>
          </w:p>
        </w:tc>
        <w:tc>
          <w:tcPr/>
          <w:p>
            <w:pPr>
              <w:pStyle w:val="Compact"/>
            </w:pPr>
            <w:r>
              <w:rPr>
                <w:b/>
                <w:bCs/>
              </w:rPr>
              <w:t xml:space="preserve">include_v1</w:t>
            </w:r>
          </w:p>
        </w:tc>
        <w:tc>
          <w:tcPr/>
          <w:p>
            <w:pPr>
              <w:pStyle w:val="Compact"/>
            </w:pPr>
            <w:r>
              <w:t xml:space="preserve">Public place/heritage discourse exists and is specific enough.</w:t>
            </w:r>
            <w:r>
              <w:t xml:space="preserve"> </w:t>
            </w:r>
            <w:hyperlink r:id="rId38">
              <w:r>
                <w:rPr>
                  <w:rStyle w:val="Hyperlink"/>
                </w:rPr>
                <w:t xml:space="preserve">[29]</w:t>
              </w:r>
            </w:hyperlink>
          </w:p>
        </w:tc>
      </w:tr>
      <w:tr>
        <w:tc>
          <w:tcPr/>
          <w:p>
            <w:pPr>
              <w:pStyle w:val="Compact"/>
            </w:pPr>
            <w:r>
              <w:rPr>
                <w:b/>
                <w:bCs/>
              </w:rPr>
              <w:t xml:space="preserve">Garkain</w:t>
            </w:r>
          </w:p>
        </w:tc>
        <w:tc>
          <w:tcPr/>
          <w:p>
            <w:pPr>
              <w:pStyle w:val="Compact"/>
            </w:pPr>
            <w:r>
              <w:t xml:space="preserve">humanoid-adjacent spirit-man / flying being</w:t>
            </w:r>
          </w:p>
        </w:tc>
        <w:tc>
          <w:tcPr/>
          <w:p>
            <w:pPr>
              <w:pStyle w:val="Compact"/>
            </w:pPr>
            <w:r>
              <w:t xml:space="preserve">Yes</w:t>
            </w:r>
          </w:p>
        </w:tc>
        <w:tc>
          <w:tcPr/>
          <w:p>
            <w:pPr>
              <w:pStyle w:val="Compact"/>
            </w:pPr>
            <w:r>
              <w:t xml:space="preserve">Yes</w:t>
            </w:r>
          </w:p>
        </w:tc>
        <w:tc>
          <w:tcPr/>
          <w:p>
            <w:pPr>
              <w:pStyle w:val="Compact"/>
            </w:pPr>
            <w:r>
              <w:t xml:space="preserve">High</w:t>
            </w:r>
          </w:p>
        </w:tc>
        <w:tc>
          <w:tcPr/>
          <w:p>
            <w:pPr>
              <w:pStyle w:val="Compact"/>
            </w:pPr>
            <w:r>
              <w:rPr>
                <w:b/>
                <w:bCs/>
              </w:rPr>
              <w:t xml:space="preserve">include_v1</w:t>
            </w:r>
          </w:p>
        </w:tc>
        <w:tc>
          <w:tcPr/>
          <w:p>
            <w:pPr>
              <w:pStyle w:val="Compact"/>
            </w:pPr>
            <w:r>
              <w:t xml:space="preserve">Public institutional attestation is strong enough.</w:t>
            </w:r>
            <w:r>
              <w:t xml:space="preserve"> </w:t>
            </w:r>
            <w:hyperlink r:id="rId39">
              <w:r>
                <w:rPr>
                  <w:rStyle w:val="Hyperlink"/>
                </w:rPr>
                <w:t xml:space="preserve">[30]</w:t>
              </w:r>
            </w:hyperlink>
          </w:p>
        </w:tc>
      </w:tr>
      <w:tr>
        <w:tc>
          <w:tcPr/>
          <w:p>
            <w:pPr>
              <w:pStyle w:val="Compact"/>
            </w:pPr>
            <w:r>
              <w:rPr>
                <w:b/>
                <w:bCs/>
              </w:rPr>
              <w:t xml:space="preserve">Mokoi</w:t>
            </w:r>
          </w:p>
        </w:tc>
        <w:tc>
          <w:tcPr/>
          <w:p>
            <w:pPr>
              <w:pStyle w:val="Compact"/>
            </w:pPr>
            <w:r>
              <w:t xml:space="preserve">spirit-person / malevolent spirit class</w:t>
            </w:r>
          </w:p>
        </w:tc>
        <w:tc>
          <w:tcPr/>
          <w:p>
            <w:pPr>
              <w:pStyle w:val="Compact"/>
            </w:pPr>
            <w:r>
              <w:t xml:space="preserve">Yes</w:t>
            </w:r>
          </w:p>
        </w:tc>
        <w:tc>
          <w:tcPr/>
          <w:p>
            <w:pPr>
              <w:pStyle w:val="Compact"/>
            </w:pPr>
            <w:r>
              <w:t xml:space="preserve">Yes, with care</w:t>
            </w:r>
          </w:p>
        </w:tc>
        <w:tc>
          <w:tcPr/>
          <w:p>
            <w:pPr>
              <w:pStyle w:val="Compact"/>
            </w:pPr>
            <w:r>
              <w:t xml:space="preserve">High</w:t>
            </w:r>
          </w:p>
        </w:tc>
        <w:tc>
          <w:tcPr/>
          <w:p>
            <w:pPr>
              <w:pStyle w:val="Compact"/>
            </w:pPr>
            <w:r>
              <w:rPr>
                <w:b/>
                <w:bCs/>
              </w:rPr>
              <w:t xml:space="preserve">include_v1</w:t>
            </w:r>
          </w:p>
        </w:tc>
        <w:tc>
          <w:tcPr/>
          <w:p>
            <w:pPr>
              <w:pStyle w:val="Compact"/>
            </w:pPr>
            <w:r>
              <w:t xml:space="preserve">Public collection evidence exists; keep in spirit-person coding, not cryptid coding.</w:t>
            </w:r>
            <w:r>
              <w:t xml:space="preserve"> </w:t>
            </w:r>
            <w:hyperlink r:id="rId40">
              <w:r>
                <w:rPr>
                  <w:rStyle w:val="Hyperlink"/>
                </w:rPr>
                <w:t xml:space="preserve">[31]</w:t>
              </w:r>
            </w:hyperlink>
          </w:p>
        </w:tc>
      </w:tr>
      <w:tr>
        <w:tc>
          <w:tcPr/>
          <w:p>
            <w:pPr>
              <w:pStyle w:val="Compact"/>
            </w:pPr>
            <w:r>
              <w:rPr>
                <w:b/>
                <w:bCs/>
              </w:rPr>
              <w:t xml:space="preserve">Mamu</w:t>
            </w:r>
          </w:p>
        </w:tc>
        <w:tc>
          <w:tcPr/>
          <w:p>
            <w:pPr>
              <w:pStyle w:val="Compact"/>
            </w:pPr>
            <w:r>
              <w:t xml:space="preserve">destructive spirit category with multiple embodiments</w:t>
            </w:r>
          </w:p>
        </w:tc>
        <w:tc>
          <w:tcPr/>
          <w:p>
            <w:pPr>
              <w:pStyle w:val="Compact"/>
            </w:pPr>
            <w:r>
              <w:t xml:space="preserve">Yes</w:t>
            </w:r>
          </w:p>
        </w:tc>
        <w:tc>
          <w:tcPr/>
          <w:p>
            <w:pPr>
              <w:pStyle w:val="Compact"/>
            </w:pPr>
            <w:r>
              <w:t xml:space="preserve">Yes, with care</w:t>
            </w:r>
          </w:p>
        </w:tc>
        <w:tc>
          <w:tcPr/>
          <w:p>
            <w:pPr>
              <w:pStyle w:val="Compact"/>
            </w:pPr>
            <w:r>
              <w:t xml:space="preserve">High</w:t>
            </w:r>
          </w:p>
        </w:tc>
        <w:tc>
          <w:tcPr/>
          <w:p>
            <w:pPr>
              <w:pStyle w:val="Compact"/>
            </w:pPr>
            <w:r>
              <w:rPr>
                <w:b/>
                <w:bCs/>
              </w:rPr>
              <w:t xml:space="preserve">validate_before_include</w:t>
            </w:r>
          </w:p>
        </w:tc>
        <w:tc>
          <w:tcPr/>
          <w:p>
            <w:pPr>
              <w:pStyle w:val="Compact"/>
            </w:pPr>
            <w:r>
              <w:t xml:space="preserve">Publicly attested, but not a clean humanoid figure; also high search noise because Mamu is a people/group name.</w:t>
            </w:r>
            <w:r>
              <w:t xml:space="preserve"> </w:t>
            </w:r>
            <w:hyperlink r:id="rId41">
              <w:r>
                <w:rPr>
                  <w:rStyle w:val="Hyperlink"/>
                </w:rPr>
                <w:t xml:space="preserve">[32]</w:t>
              </w:r>
            </w:hyperlink>
          </w:p>
        </w:tc>
      </w:tr>
      <w:tr>
        <w:tc>
          <w:tcPr/>
          <w:p>
            <w:pPr>
              <w:pStyle w:val="Compact"/>
            </w:pPr>
            <w:r>
              <w:rPr>
                <w:b/>
                <w:bCs/>
              </w:rPr>
              <w:t xml:space="preserve">Pangkarlangu</w:t>
            </w:r>
          </w:p>
        </w:tc>
        <w:tc>
          <w:tcPr/>
          <w:p>
            <w:pPr>
              <w:pStyle w:val="Compact"/>
            </w:pPr>
            <w:r>
              <w:t xml:space="preserve">giant / bogeyman / monster class</w:t>
            </w:r>
          </w:p>
        </w:tc>
        <w:tc>
          <w:tcPr/>
          <w:p>
            <w:pPr>
              <w:pStyle w:val="Compact"/>
            </w:pPr>
            <w:r>
              <w:t xml:space="preserve">Yes</w:t>
            </w:r>
          </w:p>
        </w:tc>
        <w:tc>
          <w:tcPr/>
          <w:p>
            <w:pPr>
              <w:pStyle w:val="Compact"/>
            </w:pPr>
            <w:r>
              <w:t xml:space="preserve">Yes, if clearly public source</w:t>
            </w:r>
          </w:p>
        </w:tc>
        <w:tc>
          <w:tcPr/>
          <w:p>
            <w:pPr>
              <w:pStyle w:val="Compact"/>
            </w:pPr>
            <w:r>
              <w:t xml:space="preserve">High</w:t>
            </w:r>
          </w:p>
        </w:tc>
        <w:tc>
          <w:tcPr/>
          <w:p>
            <w:pPr>
              <w:pStyle w:val="Compact"/>
            </w:pPr>
            <w:r>
              <w:rPr>
                <w:b/>
                <w:bCs/>
              </w:rPr>
              <w:t xml:space="preserve">include_v1</w:t>
            </w:r>
          </w:p>
        </w:tc>
        <w:tc>
          <w:tcPr/>
          <w:p>
            <w:pPr>
              <w:pStyle w:val="Compact"/>
            </w:pPr>
            <w:r>
              <w:t xml:space="preserve">Stronger than many candidates; public educational/book and scholarly traces exist.</w:t>
            </w:r>
            <w:r>
              <w:t xml:space="preserve"> </w:t>
            </w:r>
            <w:hyperlink r:id="rId42">
              <w:r>
                <w:rPr>
                  <w:rStyle w:val="Hyperlink"/>
                </w:rPr>
                <w:t xml:space="preserve">[33]</w:t>
              </w:r>
            </w:hyperlink>
          </w:p>
        </w:tc>
      </w:tr>
      <w:tr>
        <w:tc>
          <w:tcPr/>
          <w:p>
            <w:pPr>
              <w:pStyle w:val="Compact"/>
            </w:pPr>
            <w:r>
              <w:rPr>
                <w:b/>
                <w:bCs/>
              </w:rPr>
              <w:t xml:space="preserve">Puttikan</w:t>
            </w:r>
          </w:p>
        </w:tc>
        <w:tc>
          <w:tcPr/>
          <w:p>
            <w:pPr>
              <w:pStyle w:val="Compact"/>
            </w:pPr>
            <w:r>
              <w:t xml:space="preserve">ambiguous being; public traces suggest meteor-being and multiple forms</w:t>
            </w:r>
          </w:p>
        </w:tc>
        <w:tc>
          <w:tcPr/>
          <w:p>
            <w:pPr>
              <w:pStyle w:val="Compact"/>
            </w:pPr>
            <w:r>
              <w:t xml:space="preserve">Yes</w:t>
            </w:r>
          </w:p>
        </w:tc>
        <w:tc>
          <w:tcPr/>
          <w:p>
            <w:pPr>
              <w:pStyle w:val="Compact"/>
            </w:pPr>
            <w:r>
              <w:t xml:space="preserve">Only with strong caution</w:t>
            </w:r>
          </w:p>
        </w:tc>
        <w:tc>
          <w:tcPr/>
          <w:p>
            <w:pPr>
              <w:pStyle w:val="Compact"/>
            </w:pPr>
            <w:r>
              <w:t xml:space="preserve">High</w:t>
            </w:r>
          </w:p>
        </w:tc>
        <w:tc>
          <w:tcPr/>
          <w:p>
            <w:pPr>
              <w:pStyle w:val="Compact"/>
            </w:pPr>
            <w:r>
              <w:rPr>
                <w:b/>
                <w:bCs/>
              </w:rPr>
              <w:t xml:space="preserve">validate_before_include</w:t>
            </w:r>
          </w:p>
        </w:tc>
        <w:tc>
          <w:tcPr/>
          <w:p>
            <w:pPr>
              <w:pStyle w:val="Compact"/>
            </w:pPr>
            <w:r>
              <w:t xml:space="preserve">Too ambiguous for core inclusion; likely inflates scope if counted as stable humanoid.</w:t>
            </w:r>
            <w:r>
              <w:t xml:space="preserve"> </w:t>
            </w:r>
            <w:hyperlink r:id="rId43">
              <w:r>
                <w:rPr>
                  <w:rStyle w:val="Hyperlink"/>
                </w:rPr>
                <w:t xml:space="preserve">[34]</w:t>
              </w:r>
            </w:hyperlink>
          </w:p>
        </w:tc>
      </w:tr>
      <w:tr>
        <w:tc>
          <w:tcPr/>
          <w:p>
            <w:pPr>
              <w:pStyle w:val="Compact"/>
            </w:pPr>
            <w:r>
              <w:rPr>
                <w:b/>
                <w:bCs/>
              </w:rPr>
              <w:t xml:space="preserve">Doolaga / Dooligah / Douligah / Thoolagal</w:t>
            </w:r>
          </w:p>
        </w:tc>
        <w:tc>
          <w:tcPr/>
          <w:p>
            <w:pPr>
              <w:pStyle w:val="Compact"/>
            </w:pPr>
            <w:r>
              <w:t xml:space="preserve">mostly alias-family around hairy-man traditions, not separate categories</w:t>
            </w:r>
          </w:p>
        </w:tc>
        <w:tc>
          <w:tcPr/>
          <w:p>
            <w:pPr>
              <w:pStyle w:val="Compact"/>
            </w:pPr>
            <w:r>
              <w:t xml:space="preserve">Likely yes</w:t>
            </w:r>
          </w:p>
        </w:tc>
        <w:tc>
          <w:tcPr/>
          <w:p>
            <w:pPr>
              <w:pStyle w:val="Compact"/>
            </w:pPr>
            <w:r>
              <w:t xml:space="preserve">Publicly visible in part</w:t>
            </w:r>
          </w:p>
        </w:tc>
        <w:tc>
          <w:tcPr/>
          <w:p>
            <w:pPr>
              <w:pStyle w:val="Compact"/>
            </w:pPr>
            <w:r>
              <w:t xml:space="preserve">Medium</w:t>
            </w:r>
          </w:p>
        </w:tc>
        <w:tc>
          <w:tcPr/>
          <w:p>
            <w:pPr>
              <w:pStyle w:val="Compact"/>
            </w:pPr>
            <w:r>
              <w:rPr>
                <w:b/>
                <w:bCs/>
              </w:rPr>
              <w:t xml:space="preserve">validate_before_include</w:t>
            </w:r>
            <w:r>
              <w:t xml:space="preserve"> </w:t>
            </w:r>
            <w:r>
              <w:t xml:space="preserve">as aliases</w:t>
            </w:r>
          </w:p>
        </w:tc>
        <w:tc>
          <w:tcPr/>
          <w:p>
            <w:pPr>
              <w:pStyle w:val="Compact"/>
            </w:pPr>
            <w:r>
              <w:t xml:space="preserve">Douligah is strongly attested in Trove; the family should not be counted as four figures.</w:t>
            </w:r>
            <w:r>
              <w:t xml:space="preserve"> </w:t>
            </w:r>
            <w:hyperlink r:id="rId44">
              <w:r>
                <w:rPr>
                  <w:rStyle w:val="Hyperlink"/>
                </w:rPr>
                <w:t xml:space="preserve">[35]</w:t>
              </w:r>
            </w:hyperlink>
          </w:p>
        </w:tc>
      </w:tr>
      <w:tr>
        <w:tc>
          <w:tcPr/>
          <w:p>
            <w:pPr>
              <w:pStyle w:val="Compact"/>
            </w:pPr>
            <w:r>
              <w:rPr>
                <w:b/>
                <w:bCs/>
              </w:rPr>
              <w:t xml:space="preserve">Joogabinna</w:t>
            </w:r>
          </w:p>
        </w:tc>
        <w:tc>
          <w:tcPr/>
          <w:p>
            <w:pPr>
              <w:pStyle w:val="Compact"/>
            </w:pPr>
            <w:r>
              <w:t xml:space="preserve">likely alias or regional label, but weakly supported in strong public institutional sources I found</w:t>
            </w:r>
          </w:p>
        </w:tc>
        <w:tc>
          <w:tcPr/>
          <w:p>
            <w:pPr>
              <w:pStyle w:val="Compact"/>
            </w:pPr>
            <w:r>
              <w:t xml:space="preserve">Unclear</w:t>
            </w:r>
          </w:p>
        </w:tc>
        <w:tc>
          <w:tcPr/>
          <w:p>
            <w:pPr>
              <w:pStyle w:val="Compact"/>
            </w:pPr>
            <w:r>
              <w:t xml:space="preserve">Unclear</w:t>
            </w:r>
          </w:p>
        </w:tc>
        <w:tc>
          <w:tcPr/>
          <w:p>
            <w:pPr>
              <w:pStyle w:val="Compact"/>
            </w:pPr>
            <w:r>
              <w:t xml:space="preserve">Medium–high</w:t>
            </w:r>
          </w:p>
        </w:tc>
        <w:tc>
          <w:tcPr/>
          <w:p>
            <w:pPr>
              <w:pStyle w:val="Compact"/>
            </w:pPr>
            <w:r>
              <w:rPr>
                <w:b/>
                <w:bCs/>
              </w:rPr>
              <w:t xml:space="preserve">validate_before_include</w:t>
            </w:r>
          </w:p>
        </w:tc>
        <w:tc>
          <w:tcPr/>
          <w:p>
            <w:pPr>
              <w:pStyle w:val="Compact"/>
            </w:pPr>
            <w:r>
              <w:t xml:space="preserve">Keep in validation queue; do not count as core yet.</w:t>
            </w:r>
          </w:p>
        </w:tc>
      </w:tr>
      <w:tr>
        <w:tc>
          <w:tcPr/>
          <w:p>
            <w:pPr>
              <w:pStyle w:val="Compact"/>
            </w:pPr>
            <w:r>
              <w:rPr>
                <w:b/>
                <w:bCs/>
              </w:rPr>
              <w:t xml:space="preserve">Ghindaring</w:t>
            </w:r>
          </w:p>
        </w:tc>
        <w:tc>
          <w:tcPr/>
          <w:p>
            <w:pPr>
              <w:pStyle w:val="Compact"/>
            </w:pPr>
            <w:r>
              <w:t xml:space="preserve">likely alias candidate</w:t>
            </w:r>
          </w:p>
        </w:tc>
        <w:tc>
          <w:tcPr/>
          <w:p>
            <w:pPr>
              <w:pStyle w:val="Compact"/>
            </w:pPr>
            <w:r>
              <w:t xml:space="preserve">Unclear</w:t>
            </w:r>
          </w:p>
        </w:tc>
        <w:tc>
          <w:tcPr/>
          <w:p>
            <w:pPr>
              <w:pStyle w:val="Compact"/>
            </w:pPr>
            <w:r>
              <w:t xml:space="preserve">Unclear</w:t>
            </w:r>
          </w:p>
        </w:tc>
        <w:tc>
          <w:tcPr/>
          <w:p>
            <w:pPr>
              <w:pStyle w:val="Compact"/>
            </w:pPr>
            <w:r>
              <w:t xml:space="preserve">Medium</w:t>
            </w:r>
          </w:p>
        </w:tc>
        <w:tc>
          <w:tcPr/>
          <w:p>
            <w:pPr>
              <w:pStyle w:val="Compact"/>
            </w:pPr>
            <w:r>
              <w:rPr>
                <w:b/>
                <w:bCs/>
              </w:rPr>
              <w:t xml:space="preserve">validate_before_include</w:t>
            </w:r>
          </w:p>
        </w:tc>
        <w:tc>
          <w:tcPr/>
          <w:p>
            <w:pPr>
              <w:pStyle w:val="Compact"/>
            </w:pPr>
            <w:r>
              <w:t xml:space="preserve">I did not find strong public institutional corroboration in this audit.</w:t>
            </w:r>
          </w:p>
        </w:tc>
      </w:tr>
      <w:tr>
        <w:tc>
          <w:tcPr/>
          <w:p>
            <w:pPr>
              <w:pStyle w:val="Compact"/>
            </w:pPr>
            <w:r>
              <w:rPr>
                <w:b/>
                <w:bCs/>
              </w:rPr>
              <w:t xml:space="preserve">Jurrawarra</w:t>
            </w:r>
          </w:p>
        </w:tc>
        <w:tc>
          <w:tcPr/>
          <w:p>
            <w:pPr>
              <w:pStyle w:val="Compact"/>
            </w:pPr>
            <w:r>
              <w:t xml:space="preserve">likely alias candidate</w:t>
            </w:r>
          </w:p>
        </w:tc>
        <w:tc>
          <w:tcPr/>
          <w:p>
            <w:pPr>
              <w:pStyle w:val="Compact"/>
            </w:pPr>
            <w:r>
              <w:t xml:space="preserve">Unclear</w:t>
            </w:r>
          </w:p>
        </w:tc>
        <w:tc>
          <w:tcPr/>
          <w:p>
            <w:pPr>
              <w:pStyle w:val="Compact"/>
            </w:pPr>
            <w:r>
              <w:t xml:space="preserve">Unclear</w:t>
            </w:r>
          </w:p>
        </w:tc>
        <w:tc>
          <w:tcPr/>
          <w:p>
            <w:pPr>
              <w:pStyle w:val="Compact"/>
            </w:pPr>
            <w:r>
              <w:t xml:space="preserve">Medium</w:t>
            </w:r>
          </w:p>
        </w:tc>
        <w:tc>
          <w:tcPr/>
          <w:p>
            <w:pPr>
              <w:pStyle w:val="Compact"/>
            </w:pPr>
            <w:r>
              <w:rPr>
                <w:b/>
                <w:bCs/>
              </w:rPr>
              <w:t xml:space="preserve">validate_before_include</w:t>
            </w:r>
          </w:p>
        </w:tc>
        <w:tc>
          <w:tcPr/>
          <w:p>
            <w:pPr>
              <w:pStyle w:val="Compact"/>
            </w:pPr>
            <w:r>
              <w:t xml:space="preserve">Same caution as above.</w:t>
            </w:r>
          </w:p>
        </w:tc>
      </w:tr>
      <w:tr>
        <w:tc>
          <w:tcPr/>
          <w:p>
            <w:pPr>
              <w:pStyle w:val="Compact"/>
            </w:pPr>
            <w:r>
              <w:rPr>
                <w:b/>
                <w:bCs/>
              </w:rPr>
              <w:t xml:space="preserve">Myngawin</w:t>
            </w:r>
          </w:p>
        </w:tc>
        <w:tc>
          <w:tcPr/>
          <w:p>
            <w:pPr>
              <w:pStyle w:val="Compact"/>
            </w:pPr>
            <w:r>
              <w:t xml:space="preserve">likely alias candidate</w:t>
            </w:r>
          </w:p>
        </w:tc>
        <w:tc>
          <w:tcPr/>
          <w:p>
            <w:pPr>
              <w:pStyle w:val="Compact"/>
            </w:pPr>
            <w:r>
              <w:t xml:space="preserve">Unclear</w:t>
            </w:r>
          </w:p>
        </w:tc>
        <w:tc>
          <w:tcPr/>
          <w:p>
            <w:pPr>
              <w:pStyle w:val="Compact"/>
            </w:pPr>
            <w:r>
              <w:t xml:space="preserve">Unclear</w:t>
            </w:r>
          </w:p>
        </w:tc>
        <w:tc>
          <w:tcPr/>
          <w:p>
            <w:pPr>
              <w:pStyle w:val="Compact"/>
            </w:pPr>
            <w:r>
              <w:t xml:space="preserve">Medium</w:t>
            </w:r>
          </w:p>
        </w:tc>
        <w:tc>
          <w:tcPr/>
          <w:p>
            <w:pPr>
              <w:pStyle w:val="Compact"/>
            </w:pPr>
            <w:r>
              <w:rPr>
                <w:b/>
                <w:bCs/>
              </w:rPr>
              <w:t xml:space="preserve">validate_before_include</w:t>
            </w:r>
          </w:p>
        </w:tc>
        <w:tc>
          <w:tcPr/>
          <w:p>
            <w:pPr>
              <w:pStyle w:val="Compact"/>
            </w:pPr>
            <w:r>
              <w:t xml:space="preserve">Same caution as above.</w:t>
            </w:r>
          </w:p>
        </w:tc>
      </w:tr>
      <w:tr>
        <w:tc>
          <w:tcPr/>
          <w:p>
            <w:pPr>
              <w:pStyle w:val="Compact"/>
            </w:pPr>
            <w:r>
              <w:rPr>
                <w:b/>
                <w:bCs/>
              </w:rPr>
              <w:t xml:space="preserve">Noocoonah</w:t>
            </w:r>
          </w:p>
        </w:tc>
        <w:tc>
          <w:tcPr/>
          <w:p>
            <w:pPr>
              <w:pStyle w:val="Compact"/>
            </w:pPr>
            <w:r>
              <w:t xml:space="preserve">likely alias candidate</w:t>
            </w:r>
          </w:p>
        </w:tc>
        <w:tc>
          <w:tcPr/>
          <w:p>
            <w:pPr>
              <w:pStyle w:val="Compact"/>
            </w:pPr>
            <w:r>
              <w:t xml:space="preserve">Unclear</w:t>
            </w:r>
          </w:p>
        </w:tc>
        <w:tc>
          <w:tcPr/>
          <w:p>
            <w:pPr>
              <w:pStyle w:val="Compact"/>
            </w:pPr>
            <w:r>
              <w:t xml:space="preserve">Unclear</w:t>
            </w:r>
          </w:p>
        </w:tc>
        <w:tc>
          <w:tcPr/>
          <w:p>
            <w:pPr>
              <w:pStyle w:val="Compact"/>
            </w:pPr>
            <w:r>
              <w:t xml:space="preserve">Medium</w:t>
            </w:r>
          </w:p>
        </w:tc>
        <w:tc>
          <w:tcPr/>
          <w:p>
            <w:pPr>
              <w:pStyle w:val="Compact"/>
            </w:pPr>
            <w:r>
              <w:rPr>
                <w:b/>
                <w:bCs/>
              </w:rPr>
              <w:t xml:space="preserve">validate_before_include</w:t>
            </w:r>
          </w:p>
        </w:tc>
        <w:tc>
          <w:tcPr/>
          <w:p>
            <w:pPr>
              <w:pStyle w:val="Compact"/>
            </w:pPr>
            <w:r>
              <w:t xml:space="preserve">Same caution as above.</w:t>
            </w:r>
          </w:p>
        </w:tc>
      </w:tr>
      <w:tr>
        <w:tc>
          <w:tcPr/>
          <w:p>
            <w:pPr>
              <w:pStyle w:val="Compact"/>
            </w:pPr>
            <w:r>
              <w:rPr>
                <w:b/>
                <w:bCs/>
              </w:rPr>
              <w:t xml:space="preserve">Wawee</w:t>
            </w:r>
          </w:p>
        </w:tc>
        <w:tc>
          <w:tcPr/>
          <w:p>
            <w:pPr>
              <w:pStyle w:val="Compact"/>
            </w:pPr>
            <w:r>
              <w:t xml:space="preserve">likely alias candidate</w:t>
            </w:r>
          </w:p>
        </w:tc>
        <w:tc>
          <w:tcPr/>
          <w:p>
            <w:pPr>
              <w:pStyle w:val="Compact"/>
            </w:pPr>
            <w:r>
              <w:t xml:space="preserve">Unclear</w:t>
            </w:r>
          </w:p>
        </w:tc>
        <w:tc>
          <w:tcPr/>
          <w:p>
            <w:pPr>
              <w:pStyle w:val="Compact"/>
            </w:pPr>
            <w:r>
              <w:t xml:space="preserve">Unclear</w:t>
            </w:r>
          </w:p>
        </w:tc>
        <w:tc>
          <w:tcPr/>
          <w:p>
            <w:pPr>
              <w:pStyle w:val="Compact"/>
            </w:pPr>
            <w:r>
              <w:t xml:space="preserve">Medium</w:t>
            </w:r>
          </w:p>
        </w:tc>
        <w:tc>
          <w:tcPr/>
          <w:p>
            <w:pPr>
              <w:pStyle w:val="Compact"/>
            </w:pPr>
            <w:r>
              <w:rPr>
                <w:b/>
                <w:bCs/>
              </w:rPr>
              <w:t xml:space="preserve">validate_before_include</w:t>
            </w:r>
          </w:p>
        </w:tc>
        <w:tc>
          <w:tcPr/>
          <w:p>
            <w:pPr>
              <w:pStyle w:val="Compact"/>
            </w:pPr>
            <w:r>
              <w:t xml:space="preserve">Same caution as above.</w:t>
            </w:r>
          </w:p>
        </w:tc>
      </w:tr>
      <w:tr>
        <w:tc>
          <w:tcPr/>
          <w:p>
            <w:pPr>
              <w:pStyle w:val="Compact"/>
            </w:pPr>
            <w:r>
              <w:rPr>
                <w:b/>
                <w:bCs/>
              </w:rPr>
              <w:t xml:space="preserve">Jimbra</w:t>
            </w:r>
          </w:p>
        </w:tc>
        <w:tc>
          <w:tcPr/>
          <w:p>
            <w:pPr>
              <w:pStyle w:val="Compact"/>
            </w:pPr>
            <w:r>
              <w:t xml:space="preserve">weak public support as a standalone category in reliable sources</w:t>
            </w:r>
          </w:p>
        </w:tc>
        <w:tc>
          <w:tcPr/>
          <w:p>
            <w:pPr>
              <w:pStyle w:val="Compact"/>
            </w:pPr>
            <w:r>
              <w:t xml:space="preserve">Unclear</w:t>
            </w:r>
          </w:p>
        </w:tc>
        <w:tc>
          <w:tcPr/>
          <w:p>
            <w:pPr>
              <w:pStyle w:val="Compact"/>
            </w:pPr>
            <w:r>
              <w:t xml:space="preserve">Unclear</w:t>
            </w:r>
          </w:p>
        </w:tc>
        <w:tc>
          <w:tcPr/>
          <w:p>
            <w:pPr>
              <w:pStyle w:val="Compact"/>
            </w:pPr>
            <w:r>
              <w:t xml:space="preserve">Medium</w:t>
            </w:r>
          </w:p>
        </w:tc>
        <w:tc>
          <w:tcPr/>
          <w:p>
            <w:pPr>
              <w:pStyle w:val="Compact"/>
            </w:pPr>
            <w:r>
              <w:rPr>
                <w:b/>
                <w:bCs/>
              </w:rPr>
              <w:t xml:space="preserve">validate_before_include</w:t>
            </w:r>
          </w:p>
        </w:tc>
        <w:tc>
          <w:tcPr/>
          <w:p>
            <w:pPr>
              <w:pStyle w:val="Compact"/>
            </w:pPr>
            <w:r>
              <w:t xml:space="preserve">Do not import as core on the strength of derivative Yowie catalogues.</w:t>
            </w:r>
          </w:p>
        </w:tc>
      </w:tr>
      <w:tr>
        <w:tc>
          <w:tcPr/>
          <w:p>
            <w:pPr>
              <w:pStyle w:val="Compact"/>
            </w:pPr>
            <w:r>
              <w:rPr>
                <w:b/>
                <w:bCs/>
              </w:rPr>
              <w:t xml:space="preserve">Tjangara</w:t>
            </w:r>
          </w:p>
        </w:tc>
        <w:tc>
          <w:tcPr/>
          <w:p>
            <w:pPr>
              <w:pStyle w:val="Compact"/>
            </w:pPr>
            <w:r>
              <w:t xml:space="preserve">giant/monster class in public Indigenous media and language resources</w:t>
            </w:r>
          </w:p>
        </w:tc>
        <w:tc>
          <w:tcPr/>
          <w:p>
            <w:pPr>
              <w:pStyle w:val="Compact"/>
            </w:pPr>
            <w:r>
              <w:t xml:space="preserve">Yes</w:t>
            </w:r>
          </w:p>
        </w:tc>
        <w:tc>
          <w:tcPr/>
          <w:p>
            <w:pPr>
              <w:pStyle w:val="Compact"/>
            </w:pPr>
            <w:r>
              <w:t xml:space="preserve">Publicly visible, but culturally sensitive</w:t>
            </w:r>
          </w:p>
        </w:tc>
        <w:tc>
          <w:tcPr/>
          <w:p>
            <w:pPr>
              <w:pStyle w:val="Compact"/>
            </w:pPr>
            <w:r>
              <w:t xml:space="preserve">High</w:t>
            </w:r>
          </w:p>
        </w:tc>
        <w:tc>
          <w:tcPr/>
          <w:p>
            <w:pPr>
              <w:pStyle w:val="Compact"/>
            </w:pPr>
            <w:r>
              <w:rPr>
                <w:b/>
                <w:bCs/>
              </w:rPr>
              <w:t xml:space="preserve">validate_before_include</w:t>
            </w:r>
            <w:r>
              <w:t xml:space="preserve"> </w:t>
            </w:r>
            <w:r>
              <w:t xml:space="preserve">moving toward broad-core</w:t>
            </w:r>
          </w:p>
        </w:tc>
        <w:tc>
          <w:tcPr/>
          <w:p>
            <w:pPr>
              <w:pStyle w:val="Compact"/>
            </w:pPr>
            <w:r>
              <w:t xml:space="preserve">More defensible than most validation terms, but it belongs in giant/ogre story space, not automatically in Yowie space.</w:t>
            </w:r>
            <w:r>
              <w:t xml:space="preserve"> </w:t>
            </w:r>
            <w:hyperlink r:id="rId45">
              <w:r>
                <w:rPr>
                  <w:rStyle w:val="Hyperlink"/>
                </w:rPr>
                <w:t xml:space="preserve">[36]</w:t>
              </w:r>
            </w:hyperlink>
          </w:p>
        </w:tc>
      </w:tr>
      <w:tr>
        <w:tc>
          <w:tcPr/>
          <w:p>
            <w:pPr>
              <w:pStyle w:val="Compact"/>
            </w:pPr>
            <w:r>
              <w:rPr>
                <w:b/>
                <w:bCs/>
              </w:rPr>
              <w:t xml:space="preserve">Bunyip</w:t>
            </w:r>
          </w:p>
        </w:tc>
        <w:tc>
          <w:tcPr/>
          <w:p>
            <w:pPr>
              <w:pStyle w:val="Compact"/>
            </w:pPr>
            <w:r>
              <w:t xml:space="preserve">non-humanoid control</w:t>
            </w:r>
          </w:p>
        </w:tc>
        <w:tc>
          <w:tcPr/>
          <w:p>
            <w:pPr>
              <w:pStyle w:val="Compact"/>
            </w:pPr>
            <w:r>
              <w:t xml:space="preserve">Yes</w:t>
            </w:r>
          </w:p>
        </w:tc>
        <w:tc>
          <w:tcPr/>
          <w:p>
            <w:pPr>
              <w:pStyle w:val="Compact"/>
            </w:pPr>
            <w:r>
              <w:t xml:space="preserve">Yes</w:t>
            </w:r>
          </w:p>
        </w:tc>
        <w:tc>
          <w:tcPr/>
          <w:p>
            <w:pPr>
              <w:pStyle w:val="Compact"/>
            </w:pPr>
            <w:r>
              <w:t xml:space="preserve">Medium</w:t>
            </w:r>
          </w:p>
        </w:tc>
        <w:tc>
          <w:tcPr/>
          <w:p>
            <w:pPr>
              <w:pStyle w:val="Compact"/>
            </w:pPr>
            <w:r>
              <w:rPr>
                <w:b/>
                <w:bCs/>
              </w:rPr>
              <w:t xml:space="preserve">control_only</w:t>
            </w:r>
          </w:p>
        </w:tc>
        <w:tc>
          <w:tcPr/>
          <w:p>
            <w:pPr>
              <w:pStyle w:val="Compact"/>
            </w:pPr>
            <w:r>
              <w:t xml:space="preserve">Useful negative control for “Australian supernatural” but outside humanoid core.</w:t>
            </w:r>
          </w:p>
        </w:tc>
      </w:tr>
      <w:tr>
        <w:tc>
          <w:tcPr/>
          <w:p>
            <w:pPr>
              <w:pStyle w:val="Compact"/>
            </w:pPr>
            <w:r>
              <w:rPr>
                <w:b/>
                <w:bCs/>
              </w:rPr>
              <w:t xml:space="preserve">Drop bear</w:t>
            </w:r>
          </w:p>
        </w:tc>
        <w:tc>
          <w:tcPr/>
          <w:p>
            <w:pPr>
              <w:pStyle w:val="Compact"/>
            </w:pPr>
            <w:r>
              <w:t xml:space="preserve">satire / hoax control</w:t>
            </w:r>
          </w:p>
        </w:tc>
        <w:tc>
          <w:tcPr/>
          <w:p>
            <w:pPr>
              <w:pStyle w:val="Compact"/>
            </w:pPr>
            <w:r>
              <w:t xml:space="preserve">Yes</w:t>
            </w:r>
          </w:p>
        </w:tc>
        <w:tc>
          <w:tcPr/>
          <w:p>
            <w:pPr>
              <w:pStyle w:val="Compact"/>
            </w:pPr>
            <w:r>
              <w:t xml:space="preserve">Yes</w:t>
            </w:r>
          </w:p>
        </w:tc>
        <w:tc>
          <w:tcPr/>
          <w:p>
            <w:pPr>
              <w:pStyle w:val="Compact"/>
            </w:pPr>
            <w:r>
              <w:t xml:space="preserve">Low</w:t>
            </w:r>
          </w:p>
        </w:tc>
        <w:tc>
          <w:tcPr/>
          <w:p>
            <w:pPr>
              <w:pStyle w:val="Compact"/>
            </w:pPr>
            <w:r>
              <w:rPr>
                <w:b/>
                <w:bCs/>
              </w:rPr>
              <w:t xml:space="preserve">control_only</w:t>
            </w:r>
          </w:p>
        </w:tc>
        <w:tc>
          <w:tcPr/>
          <w:p>
            <w:pPr>
              <w:pStyle w:val="Compact"/>
            </w:pPr>
            <w:r>
              <w:t xml:space="preserve">Excellent modern satire control.</w:t>
            </w:r>
            <w:r>
              <w:t xml:space="preserve"> </w:t>
            </w:r>
            <w:hyperlink r:id="rId33">
              <w:r>
                <w:rPr>
                  <w:rStyle w:val="Hyperlink"/>
                </w:rPr>
                <w:t xml:space="preserve">[37]</w:t>
              </w:r>
            </w:hyperlink>
          </w:p>
        </w:tc>
      </w:tr>
      <w:tr>
        <w:tc>
          <w:tcPr/>
          <w:p>
            <w:pPr>
              <w:pStyle w:val="Compact"/>
            </w:pPr>
            <w:r>
              <w:rPr>
                <w:b/>
                <w:bCs/>
              </w:rPr>
              <w:t xml:space="preserve">Rainbow Serpent</w:t>
            </w:r>
          </w:p>
        </w:tc>
        <w:tc>
          <w:tcPr/>
          <w:p>
            <w:pPr>
              <w:pStyle w:val="Compact"/>
            </w:pPr>
            <w:r>
              <w:t xml:space="preserve">ancestral/non-humanoid being</w:t>
            </w:r>
          </w:p>
        </w:tc>
        <w:tc>
          <w:tcPr/>
          <w:p>
            <w:pPr>
              <w:pStyle w:val="Compact"/>
            </w:pPr>
            <w:r>
              <w:t xml:space="preserve">Yes</w:t>
            </w:r>
          </w:p>
        </w:tc>
        <w:tc>
          <w:tcPr/>
          <w:p>
            <w:pPr>
              <w:pStyle w:val="Compact"/>
            </w:pPr>
            <w:r>
              <w:t xml:space="preserve">Publicly visible, but not appropriate for core</w:t>
            </w:r>
          </w:p>
        </w:tc>
        <w:tc>
          <w:tcPr/>
          <w:p>
            <w:pPr>
              <w:pStyle w:val="Compact"/>
            </w:pPr>
            <w:r>
              <w:rPr>
                <w:b/>
                <w:bCs/>
              </w:rPr>
              <w:t xml:space="preserve">Very high</w:t>
            </w:r>
          </w:p>
        </w:tc>
        <w:tc>
          <w:tcPr/>
          <w:p>
            <w:pPr>
              <w:pStyle w:val="Compact"/>
            </w:pPr>
            <w:r>
              <w:rPr>
                <w:b/>
                <w:bCs/>
              </w:rPr>
              <w:t xml:space="preserve">exclude_core</w:t>
            </w:r>
          </w:p>
        </w:tc>
        <w:tc>
          <w:tcPr/>
          <w:p>
            <w:pPr>
              <w:pStyle w:val="Compact"/>
            </w:pPr>
            <w:r>
              <w:t xml:space="preserve">Too culturally central and non-humanoid for this project.</w:t>
            </w:r>
            <w:r>
              <w:t xml:space="preserve"> </w:t>
            </w:r>
            <w:hyperlink r:id="rId46">
              <w:r>
                <w:rPr>
                  <w:rStyle w:val="Hyperlink"/>
                </w:rPr>
                <w:t xml:space="preserve">[38]</w:t>
              </w:r>
            </w:hyperlink>
          </w:p>
        </w:tc>
      </w:tr>
      <w:tr>
        <w:tc>
          <w:tcPr/>
          <w:p>
            <w:pPr>
              <w:pStyle w:val="Compact"/>
            </w:pPr>
            <w:r>
              <w:rPr>
                <w:b/>
                <w:bCs/>
              </w:rPr>
              <w:t xml:space="preserve">Ngatyi</w:t>
            </w:r>
          </w:p>
        </w:tc>
        <w:tc>
          <w:tcPr/>
          <w:p>
            <w:pPr>
              <w:pStyle w:val="Compact"/>
            </w:pPr>
            <w:r>
              <w:t xml:space="preserve">ancestral/non-humanoid being</w:t>
            </w:r>
          </w:p>
        </w:tc>
        <w:tc>
          <w:tcPr/>
          <w:p>
            <w:pPr>
              <w:pStyle w:val="Compact"/>
            </w:pPr>
            <w:r>
              <w:t xml:space="preserve">Yes</w:t>
            </w:r>
          </w:p>
        </w:tc>
        <w:tc>
          <w:tcPr/>
          <w:p>
            <w:pPr>
              <w:pStyle w:val="Compact"/>
            </w:pPr>
            <w:r>
              <w:t xml:space="preserve">Publicly visible, but not appropriate for core</w:t>
            </w:r>
          </w:p>
        </w:tc>
        <w:tc>
          <w:tcPr/>
          <w:p>
            <w:pPr>
              <w:pStyle w:val="Compact"/>
            </w:pPr>
            <w:r>
              <w:rPr>
                <w:b/>
                <w:bCs/>
              </w:rPr>
              <w:t xml:space="preserve">Very high</w:t>
            </w:r>
          </w:p>
        </w:tc>
        <w:tc>
          <w:tcPr/>
          <w:p>
            <w:pPr>
              <w:pStyle w:val="Compact"/>
            </w:pPr>
            <w:r>
              <w:rPr>
                <w:b/>
                <w:bCs/>
              </w:rPr>
              <w:t xml:space="preserve">exclude_core</w:t>
            </w:r>
          </w:p>
        </w:tc>
        <w:tc>
          <w:tcPr/>
          <w:p>
            <w:pPr>
              <w:pStyle w:val="Compact"/>
            </w:pPr>
            <w:r>
              <w:t xml:space="preserve">Treat like Rainbow Serpent, not like a humanoid figure.</w:t>
            </w:r>
            <w:r>
              <w:t xml:space="preserve"> </w:t>
            </w:r>
            <w:hyperlink r:id="rId47">
              <w:r>
                <w:rPr>
                  <w:rStyle w:val="Hyperlink"/>
                </w:rPr>
                <w:t xml:space="preserve">[39]</w:t>
              </w:r>
            </w:hyperlink>
          </w:p>
        </w:tc>
      </w:tr>
      <w:tr>
        <w:tc>
          <w:tcPr/>
          <w:p>
            <w:pPr>
              <w:pStyle w:val="Compact"/>
            </w:pPr>
            <w:r>
              <w:rPr>
                <w:b/>
                <w:bCs/>
              </w:rPr>
              <w:t xml:space="preserve">Bula</w:t>
            </w:r>
          </w:p>
        </w:tc>
        <w:tc>
          <w:tcPr/>
          <w:p>
            <w:pPr>
              <w:pStyle w:val="Compact"/>
            </w:pPr>
            <w:r>
              <w:t xml:space="preserve">culturally central/non-humanoid; high noise in general web search</w:t>
            </w:r>
          </w:p>
        </w:tc>
        <w:tc>
          <w:tcPr/>
          <w:p>
            <w:pPr>
              <w:pStyle w:val="Compact"/>
            </w:pPr>
            <w:r>
              <w:t xml:space="preserve">Unclear in public-web retrieval</w:t>
            </w:r>
          </w:p>
        </w:tc>
        <w:tc>
          <w:tcPr/>
          <w:p>
            <w:pPr>
              <w:pStyle w:val="Compact"/>
            </w:pPr>
            <w:r>
              <w:t xml:space="preserve">Not suitable for this core</w:t>
            </w:r>
          </w:p>
        </w:tc>
        <w:tc>
          <w:tcPr/>
          <w:p>
            <w:pPr>
              <w:pStyle w:val="Compact"/>
            </w:pPr>
            <w:r>
              <w:rPr>
                <w:b/>
                <w:bCs/>
              </w:rPr>
              <w:t xml:space="preserve">Very high</w:t>
            </w:r>
          </w:p>
        </w:tc>
        <w:tc>
          <w:tcPr/>
          <w:p>
            <w:pPr>
              <w:pStyle w:val="Compact"/>
            </w:pPr>
            <w:r>
              <w:rPr>
                <w:b/>
                <w:bCs/>
              </w:rPr>
              <w:t xml:space="preserve">exclude_core</w:t>
            </w:r>
          </w:p>
        </w:tc>
        <w:tc>
          <w:tcPr/>
          <w:p>
            <w:pPr>
              <w:pStyle w:val="Compact"/>
            </w:pPr>
            <w:r>
              <w:t xml:space="preserve">Do not force into a humanoid corpus.</w:t>
            </w:r>
          </w:p>
        </w:tc>
      </w:tr>
      <w:tr>
        <w:tc>
          <w:tcPr/>
          <w:p>
            <w:pPr>
              <w:pStyle w:val="Compact"/>
            </w:pPr>
            <w:r>
              <w:rPr>
                <w:b/>
                <w:bCs/>
              </w:rPr>
              <w:t xml:space="preserve">Min Min lights</w:t>
            </w:r>
          </w:p>
        </w:tc>
        <w:tc>
          <w:tcPr/>
          <w:p>
            <w:pPr>
              <w:pStyle w:val="Compact"/>
            </w:pPr>
            <w:r>
              <w:t xml:space="preserve">phenomenon, not a being figure</w:t>
            </w:r>
          </w:p>
        </w:tc>
        <w:tc>
          <w:tcPr/>
          <w:p>
            <w:pPr>
              <w:pStyle w:val="Compact"/>
            </w:pPr>
            <w:r>
              <w:t xml:space="preserve">Yes</w:t>
            </w:r>
          </w:p>
        </w:tc>
        <w:tc>
          <w:tcPr/>
          <w:p>
            <w:pPr>
              <w:pStyle w:val="Compact"/>
            </w:pPr>
            <w:r>
              <w:t xml:space="preserve">Yes</w:t>
            </w:r>
          </w:p>
        </w:tc>
        <w:tc>
          <w:tcPr/>
          <w:p>
            <w:pPr>
              <w:pStyle w:val="Compact"/>
            </w:pPr>
            <w:r>
              <w:t xml:space="preserve">Low–medium</w:t>
            </w:r>
          </w:p>
        </w:tc>
        <w:tc>
          <w:tcPr/>
          <w:p>
            <w:pPr>
              <w:pStyle w:val="Compact"/>
            </w:pPr>
            <w:r>
              <w:rPr>
                <w:b/>
                <w:bCs/>
              </w:rPr>
              <w:t xml:space="preserve">exclude_core</w:t>
            </w:r>
            <w:r>
              <w:t xml:space="preserve"> </w:t>
            </w:r>
            <w:r>
              <w:t xml:space="preserve">or control-only</w:t>
            </w:r>
          </w:p>
        </w:tc>
        <w:tc>
          <w:tcPr/>
          <w:p>
            <w:pPr>
              <w:pStyle w:val="Compact"/>
            </w:pPr>
            <w:r>
              <w:t xml:space="preserve">Good control phenomenon, not a figure.</w:t>
            </w:r>
            <w:r>
              <w:t xml:space="preserve"> </w:t>
            </w:r>
            <w:hyperlink r:id="rId48">
              <w:r>
                <w:rPr>
                  <w:rStyle w:val="Hyperlink"/>
                </w:rPr>
                <w:t xml:space="preserve">[40]</w:t>
              </w:r>
            </w:hyperlink>
          </w:p>
        </w:tc>
      </w:tr>
    </w:tbl>
    <w:bookmarkEnd w:id="49"/>
    <w:bookmarkEnd w:id="50"/>
    <w:bookmarkStart w:id="51" w:name="expected-normal-figure-count"/>
    <w:p>
      <w:pPr>
        <w:pStyle w:val="Heading2"/>
      </w:pPr>
      <w:r>
        <w:t xml:space="preserve">Expected normal figure count</w:t>
      </w:r>
    </w:p>
    <w:p>
      <w:pPr>
        <w:pStyle w:val="FirstParagraph"/>
      </w:pPr>
      <w:r>
        <w:t xml:space="preserve">A defensible count depends on whether one counts</w:t>
      </w:r>
      <w:r>
        <w:t xml:space="preserve"> </w:t>
      </w:r>
      <w:r>
        <w:rPr>
          <w:b/>
          <w:bCs/>
        </w:rPr>
        <w:t xml:space="preserve">strings</w:t>
      </w:r>
      <w:r>
        <w:t xml:space="preserve"> </w:t>
      </w:r>
      <w:r>
        <w:t xml:space="preserve">or</w:t>
      </w:r>
      <w:r>
        <w:t xml:space="preserve"> </w:t>
      </w:r>
      <w:r>
        <w:rPr>
          <w:b/>
          <w:bCs/>
        </w:rPr>
        <w:t xml:space="preserve">categories</w:t>
      </w:r>
      <w:r>
        <w:t xml:space="preserve">. The repo currently seeds</w:t>
      </w:r>
      <w:r>
        <w:t xml:space="preserve"> </w:t>
      </w:r>
      <w:r>
        <w:rPr>
          <w:b/>
          <w:bCs/>
        </w:rPr>
        <w:t xml:space="preserve">32 figure labels</w:t>
      </w:r>
      <w:r>
        <w:t xml:space="preserve">, but the project should not count all labels as equally independent figure categories. Some are spelling variants, some are public heritage classes, some are high-sensitivity ancestral beings, and some are controls. Counting them all alike would inflate the scope.</w:t>
      </w:r>
      <w:r>
        <w:t xml:space="preserve"> </w:t>
      </w:r>
      <w:hyperlink r:id="rId22">
        <w:r>
          <w:rPr>
            <w:rStyle w:val="Hyperlink"/>
          </w:rPr>
          <w:t xml:space="preserve">[41]</w:t>
        </w:r>
      </w:hyperlink>
    </w:p>
    <w:p>
      <w:pPr>
        <w:pStyle w:val="BodyText"/>
      </w:pPr>
      <w:r>
        <w:t xml:space="preserve">My conservative recommendation is to count</w:t>
      </w:r>
      <w:r>
        <w:t xml:space="preserve"> </w:t>
      </w:r>
      <w:r>
        <w:rPr>
          <w:b/>
          <w:bCs/>
        </w:rPr>
        <w:t xml:space="preserve">clusters or stable categories</w:t>
      </w:r>
      <w:r>
        <w:t xml:space="preserve">, not every label string. In that logic,</w:t>
      </w:r>
      <w:r>
        <w:t xml:space="preserve"> </w:t>
      </w:r>
      <w:r>
        <w:rPr>
          <w:b/>
          <w:bCs/>
        </w:rPr>
        <w:t xml:space="preserve">Yowie / Yahoo / Hairy Man</w:t>
      </w:r>
      <w:r>
        <w:t xml:space="preserve"> </w:t>
      </w:r>
      <w:r>
        <w:t xml:space="preserve">are not three equally independent categories;</w:t>
      </w:r>
      <w:r>
        <w:t xml:space="preserve"> </w:t>
      </w:r>
      <w:r>
        <w:rPr>
          <w:b/>
          <w:bCs/>
        </w:rPr>
        <w:t xml:space="preserve">Mimih / Mimi</w:t>
      </w:r>
      <w:r>
        <w:t xml:space="preserve">,</w:t>
      </w:r>
      <w:r>
        <w:t xml:space="preserve"> </w:t>
      </w:r>
      <w:r>
        <w:rPr>
          <w:b/>
          <w:bCs/>
        </w:rPr>
        <w:t xml:space="preserve">Quinkan / Quinkin</w:t>
      </w:r>
      <w:r>
        <w:t xml:space="preserve">, and</w:t>
      </w:r>
      <w:r>
        <w:t xml:space="preserve"> </w:t>
      </w:r>
      <w:r>
        <w:rPr>
          <w:b/>
          <w:bCs/>
        </w:rPr>
        <w:t xml:space="preserve">Wandjina / Wanjina</w:t>
      </w:r>
      <w:r>
        <w:t xml:space="preserve"> </w:t>
      </w:r>
      <w:r>
        <w:t xml:space="preserve">should also be clustered; and the</w:t>
      </w:r>
      <w:r>
        <w:t xml:space="preserve"> </w:t>
      </w:r>
      <w:r>
        <w:rPr>
          <w:b/>
          <w:bCs/>
        </w:rPr>
        <w:t xml:space="preserve">Doolaga / Dooligah / Douligah / Thoolagal</w:t>
      </w:r>
      <w:r>
        <w:t xml:space="preserve"> </w:t>
      </w:r>
      <w:r>
        <w:t xml:space="preserve">family should not become a count multiplier.</w:t>
      </w:r>
      <w:r>
        <w:t xml:space="preserve"> </w:t>
      </w:r>
      <w:hyperlink r:id="rId30">
        <w:r>
          <w:rPr>
            <w:rStyle w:val="Hyperlink"/>
          </w:rPr>
          <w:t xml:space="preserve">[42]</w:t>
        </w:r>
      </w:hyperlink>
    </w:p>
    <w:p>
      <w:pPr>
        <w:pStyle w:val="BodyText"/>
      </w:pPr>
      <w:r>
        <w:t xml:space="preserve">My estimate is therefore: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Scope band</w:t>
            </w:r>
          </w:p>
        </w:tc>
        <w:tc>
          <w:tcPr/>
          <w:p>
            <w:pPr>
              <w:pStyle w:val="Compact"/>
              <w:jc w:val="right"/>
            </w:pPr>
            <w:r>
              <w:t xml:space="preserve">Defensible range</w:t>
            </w:r>
          </w:p>
        </w:tc>
        <w:tc>
          <w:tcPr/>
          <w:p>
            <w:pPr>
              <w:pStyle w:val="Compact"/>
            </w:pPr>
            <w:r>
              <w:t xml:space="preserve">What belongs there</w:t>
            </w:r>
          </w:p>
        </w:tc>
      </w:tr>
      <w:tr>
        <w:tc>
          <w:tcPr/>
          <w:p>
            <w:pPr>
              <w:pStyle w:val="Compact"/>
            </w:pPr>
            <w:r>
              <w:rPr>
                <w:b/>
                <w:bCs/>
              </w:rPr>
              <w:t xml:space="preserve">Narrow research core</w:t>
            </w:r>
          </w:p>
        </w:tc>
        <w:tc>
          <w:tcPr/>
          <w:p>
            <w:pPr>
              <w:pStyle w:val="Compact"/>
              <w:jc w:val="right"/>
            </w:pPr>
            <w:r>
              <w:rPr>
                <w:b/>
                <w:bCs/>
              </w:rPr>
              <w:t xml:space="preserve">7–9</w:t>
            </w:r>
          </w:p>
        </w:tc>
        <w:tc>
          <w:tcPr/>
          <w:p>
            <w:pPr>
              <w:pStyle w:val="Compact"/>
            </w:pPr>
            <w:r>
              <w:t xml:space="preserve">Strong public-text humanoid or humanoid-adjacent categories/clusters only</w:t>
            </w:r>
          </w:p>
        </w:tc>
      </w:tr>
      <w:tr>
        <w:tc>
          <w:tcPr/>
          <w:p>
            <w:pPr>
              <w:pStyle w:val="Compact"/>
            </w:pPr>
            <w:r>
              <w:rPr>
                <w:b/>
                <w:bCs/>
              </w:rPr>
              <w:t xml:space="preserve">Broad but defensible public-text scope</w:t>
            </w:r>
          </w:p>
        </w:tc>
        <w:tc>
          <w:tcPr/>
          <w:p>
            <w:pPr>
              <w:pStyle w:val="Compact"/>
              <w:jc w:val="right"/>
            </w:pPr>
            <w:r>
              <w:rPr>
                <w:b/>
                <w:bCs/>
              </w:rPr>
              <w:t xml:space="preserve">10–13</w:t>
            </w:r>
          </w:p>
        </w:tc>
        <w:tc>
          <w:tcPr/>
          <w:p>
            <w:pPr>
              <w:pStyle w:val="Compact"/>
            </w:pPr>
            <w:r>
              <w:t xml:space="preserve">Narrow core plus a few carefully handled broad-core/sensitivity-limited classes</w:t>
            </w:r>
          </w:p>
        </w:tc>
      </w:tr>
      <w:tr>
        <w:tc>
          <w:tcPr/>
          <w:p>
            <w:pPr>
              <w:pStyle w:val="Compact"/>
            </w:pPr>
            <w:r>
              <w:rPr>
                <w:b/>
                <w:bCs/>
              </w:rPr>
              <w:t xml:space="preserve">Upper limit before scope inflation</w:t>
            </w:r>
          </w:p>
        </w:tc>
        <w:tc>
          <w:tcPr/>
          <w:p>
            <w:pPr>
              <w:pStyle w:val="Compact"/>
              <w:jc w:val="right"/>
            </w:pPr>
            <w:r>
              <w:rPr>
                <w:b/>
                <w:bCs/>
              </w:rPr>
              <w:t xml:space="preserve">14–16</w:t>
            </w:r>
          </w:p>
        </w:tc>
        <w:tc>
          <w:tcPr/>
          <w:p>
            <w:pPr>
              <w:pStyle w:val="Compact"/>
            </w:pPr>
            <w:r>
              <w:t xml:space="preserve">Beyond this, the project starts counting aliases, variants, and culturally mismatched categories as separate figures</w:t>
            </w:r>
          </w:p>
        </w:tc>
      </w:tr>
    </w:tbl>
    <w:p>
      <w:pPr>
        <w:pStyle w:val="BodyText"/>
      </w:pPr>
      <w:r>
        <w:t xml:space="preserve">A conservative</w:t>
      </w:r>
      <w:r>
        <w:t xml:space="preserve"> </w:t>
      </w:r>
      <w:r>
        <w:rPr>
          <w:b/>
          <w:bCs/>
        </w:rPr>
        <w:t xml:space="preserve">v1 recommendation</w:t>
      </w:r>
      <w:r>
        <w:t xml:space="preserve"> </w:t>
      </w:r>
      <w:r>
        <w:t xml:space="preserve">would be: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Recommended v1 composition</w:t>
            </w:r>
          </w:p>
        </w:tc>
        <w:tc>
          <w:tcPr/>
          <w:p>
            <w:pPr>
              <w:pStyle w:val="Compact"/>
              <w:jc w:val="right"/>
            </w:pPr>
            <w:r>
              <w:t xml:space="preserve">Count</w:t>
            </w:r>
          </w:p>
        </w:tc>
      </w:tr>
      <w:tr>
        <w:tc>
          <w:tcPr/>
          <w:p>
            <w:pPr>
              <w:pStyle w:val="Compact"/>
            </w:pPr>
            <w:r>
              <w:rPr>
                <w:b/>
                <w:bCs/>
              </w:rPr>
              <w:t xml:space="preserve">Included categories/clusters</w:t>
            </w:r>
          </w:p>
        </w:tc>
        <w:tc>
          <w:tcPr/>
          <w:p>
            <w:pPr>
              <w:pStyle w:val="Compact"/>
              <w:jc w:val="right"/>
            </w:pPr>
            <w:r>
              <w:rPr>
                <w:b/>
                <w:bCs/>
              </w:rPr>
              <w:t xml:space="preserve">9</w:t>
            </w:r>
          </w:p>
        </w:tc>
      </w:tr>
      <w:tr>
        <w:tc>
          <w:tcPr/>
          <w:p>
            <w:pPr>
              <w:pStyle w:val="Compact"/>
            </w:pPr>
            <w:r>
              <w:rPr>
                <w:b/>
                <w:bCs/>
              </w:rPr>
              <w:t xml:space="preserve">Validation candidates / alias families</w:t>
            </w:r>
          </w:p>
        </w:tc>
        <w:tc>
          <w:tcPr/>
          <w:p>
            <w:pPr>
              <w:pStyle w:val="Compact"/>
              <w:jc w:val="right"/>
            </w:pPr>
            <w:r>
              <w:rPr>
                <w:b/>
                <w:bCs/>
              </w:rPr>
              <w:t xml:space="preserve">7</w:t>
            </w:r>
          </w:p>
        </w:tc>
      </w:tr>
      <w:tr>
        <w:tc>
          <w:tcPr/>
          <w:p>
            <w:pPr>
              <w:pStyle w:val="Compact"/>
            </w:pPr>
            <w:r>
              <w:rPr>
                <w:b/>
                <w:bCs/>
              </w:rPr>
              <w:t xml:space="preserve">Controls / excluded terms</w:t>
            </w:r>
          </w:p>
        </w:tc>
        <w:tc>
          <w:tcPr/>
          <w:p>
            <w:pPr>
              <w:pStyle w:val="Compact"/>
              <w:jc w:val="right"/>
            </w:pPr>
            <w:r>
              <w:rPr>
                <w:b/>
                <w:bCs/>
              </w:rPr>
              <w:t xml:space="preserve">6</w:t>
            </w:r>
          </w:p>
        </w:tc>
      </w:tr>
    </w:tbl>
    <w:p>
      <w:pPr>
        <w:pStyle w:val="BodyText"/>
      </w:pPr>
      <w:r>
        <w:t xml:space="preserve">Those nine included categories/clusters would be, in my judgment:</w:t>
      </w:r>
      <w:r>
        <w:t xml:space="preserve"> </w:t>
      </w:r>
      <w:r>
        <w:rPr>
          <w:b/>
          <w:bCs/>
        </w:rPr>
        <w:t xml:space="preserve">Yowie/Yahoo</w:t>
      </w:r>
      <w:r>
        <w:t xml:space="preserve">,</w:t>
      </w:r>
      <w:r>
        <w:t xml:space="preserve"> </w:t>
      </w:r>
      <w:r>
        <w:rPr>
          <w:b/>
          <w:bCs/>
        </w:rPr>
        <w:t xml:space="preserve">Yaroma/Yara-ma-yha-who</w:t>
      </w:r>
      <w:r>
        <w:t xml:space="preserve">,</w:t>
      </w:r>
      <w:r>
        <w:t xml:space="preserve"> </w:t>
      </w:r>
      <w:r>
        <w:rPr>
          <w:b/>
          <w:bCs/>
        </w:rPr>
        <w:t xml:space="preserve">Mimih/Mimi</w:t>
      </w:r>
      <w:r>
        <w:t xml:space="preserve">,</w:t>
      </w:r>
      <w:r>
        <w:t xml:space="preserve"> </w:t>
      </w:r>
      <w:r>
        <w:rPr>
          <w:b/>
          <w:bCs/>
        </w:rPr>
        <w:t xml:space="preserve">Quinkan/Quinkin</w:t>
      </w:r>
      <w:r>
        <w:t xml:space="preserve">,</w:t>
      </w:r>
      <w:r>
        <w:t xml:space="preserve"> </w:t>
      </w:r>
      <w:r>
        <w:rPr>
          <w:b/>
          <w:bCs/>
        </w:rPr>
        <w:t xml:space="preserve">Nargun</w:t>
      </w:r>
      <w:r>
        <w:t xml:space="preserve">,</w:t>
      </w:r>
      <w:r>
        <w:t xml:space="preserve"> </w:t>
      </w:r>
      <w:r>
        <w:rPr>
          <w:b/>
          <w:bCs/>
        </w:rPr>
        <w:t xml:space="preserve">Garkain</w:t>
      </w:r>
      <w:r>
        <w:t xml:space="preserve">,</w:t>
      </w:r>
      <w:r>
        <w:t xml:space="preserve"> </w:t>
      </w:r>
      <w:r>
        <w:rPr>
          <w:b/>
          <w:bCs/>
        </w:rPr>
        <w:t xml:space="preserve">Mokoi</w:t>
      </w:r>
      <w:r>
        <w:t xml:space="preserve">,</w:t>
      </w:r>
      <w:r>
        <w:t xml:space="preserve"> </w:t>
      </w:r>
      <w:r>
        <w:rPr>
          <w:b/>
          <w:bCs/>
        </w:rPr>
        <w:t xml:space="preserve">Pangkarlangu</w:t>
      </w:r>
      <w:r>
        <w:t xml:space="preserve">, and one final slot reserved either for a very carefully bounded</w:t>
      </w:r>
      <w:r>
        <w:t xml:space="preserve"> </w:t>
      </w:r>
      <w:r>
        <w:rPr>
          <w:b/>
          <w:bCs/>
        </w:rPr>
        <w:t xml:space="preserve">Mamu</w:t>
      </w:r>
      <w:r>
        <w:t xml:space="preserve"> </w:t>
      </w:r>
      <w:r>
        <w:t xml:space="preserve">or left empty until validation improves. That is narrower than the current seed list, but much more defensible. This is my judgment, supported by the public-source pattern above.</w:t>
      </w:r>
      <w:r>
        <w:t xml:space="preserve"> </w:t>
      </w:r>
      <w:hyperlink r:id="rId31">
        <w:r>
          <w:rPr>
            <w:rStyle w:val="Hyperlink"/>
          </w:rPr>
          <w:t xml:space="preserve">[43]</w:t>
        </w:r>
      </w:hyperlink>
    </w:p>
    <w:bookmarkEnd w:id="51"/>
    <w:bookmarkStart w:id="55" w:name="recommendations"/>
    <w:p>
      <w:pPr>
        <w:pStyle w:val="Heading2"/>
      </w:pPr>
      <w:r>
        <w:t xml:space="preserve">Recommendations</w:t>
      </w:r>
    </w:p>
    <w:p>
      <w:pPr>
        <w:pStyle w:val="FirstParagraph"/>
      </w:pPr>
      <w:r>
        <w:t xml:space="preserve">The short diagnosis is straightforward. The repository is</w:t>
      </w:r>
      <w:r>
        <w:t xml:space="preserve"> </w:t>
      </w:r>
      <w:r>
        <w:rPr>
          <w:b/>
          <w:bCs/>
        </w:rPr>
        <w:t xml:space="preserve">well-designed as a cautious seed-collection and review system</w:t>
      </w:r>
      <w:r>
        <w:t xml:space="preserve">. It is</w:t>
      </w:r>
      <w:r>
        <w:t xml:space="preserve"> </w:t>
      </w:r>
      <w:r>
        <w:rPr>
          <w:b/>
          <w:bCs/>
        </w:rPr>
        <w:t xml:space="preserve">not yet a balanced Australian corpus</w:t>
      </w:r>
      <w:r>
        <w:t xml:space="preserve">. Its data model, ethics framing, source planning, and review exports are already comparatively mature; its live record layer is not. Right now, what exists is best described as an</w:t>
      </w:r>
      <w:r>
        <w:t xml:space="preserve"> </w:t>
      </w:r>
      <w:r>
        <w:rPr>
          <w:b/>
          <w:bCs/>
        </w:rPr>
        <w:t xml:space="preserve">AYR-heavy Yowie review archive with strong planning scaffolding for something better</w:t>
      </w:r>
      <w:r>
        <w:t xml:space="preserve">.</w:t>
      </w:r>
      <w:r>
        <w:t xml:space="preserve"> </w:t>
      </w:r>
      <w:hyperlink r:id="rId21">
        <w:r>
          <w:rPr>
            <w:rStyle w:val="Hyperlink"/>
          </w:rPr>
          <w:t xml:space="preserve">[12]</w:t>
        </w:r>
      </w:hyperlink>
    </w:p>
    <w:bookmarkStart w:id="53" w:name="recommended-corpus-size-targets"/>
    <w:p>
      <w:pPr>
        <w:pStyle w:val="Heading3"/>
      </w:pPr>
      <w:r>
        <w:t xml:space="preserve">Recommended corpus-size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jc w:val="right"/>
            </w:pPr>
            <w:r>
              <w:t xml:space="preserve">Recommended target</w:t>
            </w:r>
          </w:p>
        </w:tc>
        <w:tc>
          <w:tcPr/>
          <w:p>
            <w:pPr>
              <w:pStyle w:val="Compact"/>
            </w:pPr>
            <w:r>
              <w:t xml:space="preserve">Conditions</w:t>
            </w:r>
          </w:p>
        </w:tc>
      </w:tr>
      <w:tr>
        <w:tc>
          <w:tcPr/>
          <w:p>
            <w:pPr>
              <w:pStyle w:val="Compact"/>
            </w:pPr>
            <w:r>
              <w:rPr>
                <w:b/>
                <w:bCs/>
              </w:rPr>
              <w:t xml:space="preserve">Prototype</w:t>
            </w:r>
          </w:p>
        </w:tc>
        <w:tc>
          <w:tcPr/>
          <w:p>
            <w:pPr>
              <w:pStyle w:val="Compact"/>
              <w:jc w:val="right"/>
            </w:pPr>
            <w:r>
              <w:rPr>
                <w:b/>
                <w:bCs/>
              </w:rPr>
              <w:t xml:space="preserve">150–300</w:t>
            </w:r>
            <w:r>
              <w:t xml:space="preserve"> </w:t>
            </w:r>
            <w:r>
              <w:t xml:space="preserve">reviewed rows</w:t>
            </w:r>
          </w:p>
        </w:tc>
        <w:tc>
          <w:tcPr/>
          <w:p>
            <w:pPr>
              <w:pStyle w:val="Compact"/>
            </w:pPr>
            <w:r>
              <w:t xml:space="preserve">Fine if used for interface, workflow, and provenance demonstration only</w:t>
            </w:r>
          </w:p>
        </w:tc>
      </w:tr>
      <w:tr>
        <w:tc>
          <w:tcPr/>
          <w:p>
            <w:pPr>
              <w:pStyle w:val="Compact"/>
            </w:pPr>
            <w:r>
              <w:rPr>
                <w:b/>
                <w:bCs/>
              </w:rPr>
              <w:t xml:space="preserve">Pilot</w:t>
            </w:r>
          </w:p>
        </w:tc>
        <w:tc>
          <w:tcPr/>
          <w:p>
            <w:pPr>
              <w:pStyle w:val="Compact"/>
              <w:jc w:val="right"/>
            </w:pPr>
            <w:r>
              <w:rPr>
                <w:b/>
                <w:bCs/>
              </w:rPr>
              <w:t xml:space="preserve">300–400</w:t>
            </w:r>
            <w:r>
              <w:t xml:space="preserve"> </w:t>
            </w:r>
            <w:r>
              <w:t xml:space="preserve">rows</w:t>
            </w:r>
          </w:p>
        </w:tc>
        <w:tc>
          <w:tcPr/>
          <w:p>
            <w:pPr>
              <w:pStyle w:val="Compact"/>
            </w:pPr>
            <w:r>
              <w:t xml:space="preserve">Must include several source types and a meaningful non-AYR share</w:t>
            </w:r>
          </w:p>
        </w:tc>
      </w:tr>
      <w:tr>
        <w:tc>
          <w:tcPr/>
          <w:p>
            <w:pPr>
              <w:pStyle w:val="Compact"/>
            </w:pPr>
            <w:r>
              <w:rPr>
                <w:b/>
                <w:bCs/>
              </w:rPr>
              <w:t xml:space="preserve">Publishable v1</w:t>
            </w:r>
          </w:p>
        </w:tc>
        <w:tc>
          <w:tcPr/>
          <w:p>
            <w:pPr>
              <w:pStyle w:val="Compact"/>
              <w:jc w:val="right"/>
            </w:pPr>
            <w:r>
              <w:rPr>
                <w:b/>
                <w:bCs/>
              </w:rPr>
              <w:t xml:space="preserve">500+</w:t>
            </w:r>
            <w:r>
              <w:t xml:space="preserve"> </w:t>
            </w:r>
            <w:r>
              <w:t xml:space="preserve">rows</w:t>
            </w:r>
          </w:p>
        </w:tc>
        <w:tc>
          <w:tcPr/>
          <w:p>
            <w:pPr>
              <w:pStyle w:val="Compact"/>
            </w:pPr>
            <w:r>
              <w:t xml:space="preserve">Must be source-diversified, deduped, and manually reviewed before interpretation</w:t>
            </w:r>
          </w:p>
        </w:tc>
      </w:tr>
    </w:tbl>
    <w:p>
      <w:pPr>
        <w:pStyle w:val="BodyText"/>
      </w:pPr>
      <w:r>
        <w:t xml:space="preserve">The most useful next changes for Codex are concrete and limited. The repo should add an explicit</w:t>
      </w:r>
      <w:r>
        <w:t xml:space="preserve"> </w:t>
      </w:r>
      <w:r>
        <w:rPr>
          <w:b/>
          <w:bCs/>
        </w:rPr>
        <w:t xml:space="preserve">record-health field</w:t>
      </w:r>
      <w:r>
        <w:t xml:space="preserve"> </w:t>
      </w:r>
      <w:r>
        <w:t xml:space="preserve">to exports; export</w:t>
      </w:r>
      <w:r>
        <w:t xml:space="preserve"> </w:t>
      </w:r>
      <w:r>
        <w:rPr>
          <w:b/>
          <w:bCs/>
        </w:rPr>
        <w:t xml:space="preserve">source_name</w:t>
      </w:r>
      <w:r>
        <w:t xml:space="preserve">,</w:t>
      </w:r>
      <w:r>
        <w:t xml:space="preserve"> </w:t>
      </w:r>
      <w:r>
        <w:rPr>
          <w:b/>
          <w:bCs/>
        </w:rPr>
        <w:t xml:space="preserve">source_type</w:t>
      </w:r>
      <w:r>
        <w:t xml:space="preserve">, and</w:t>
      </w:r>
      <w:r>
        <w:t xml:space="preserve"> </w:t>
      </w:r>
      <w:r>
        <w:rPr>
          <w:b/>
          <w:bCs/>
        </w:rPr>
        <w:t xml:space="preserve">external_id</w:t>
      </w:r>
      <w:r>
        <w:t xml:space="preserve"> </w:t>
      </w:r>
      <w:r>
        <w:t xml:space="preserve">into</w:t>
      </w:r>
      <w:r>
        <w:t xml:space="preserve"> </w:t>
      </w:r>
      <w:r>
        <w:rPr>
          <w:rStyle w:val="VerbatimChar"/>
        </w:rPr>
        <w:t xml:space="preserve">records_review.csv</w:t>
      </w:r>
      <w:r>
        <w:t xml:space="preserve">; add explicit</w:t>
      </w:r>
      <w:r>
        <w:t xml:space="preserve"> </w:t>
      </w:r>
      <w:r>
        <w:rPr>
          <w:b/>
          <w:bCs/>
        </w:rPr>
        <w:t xml:space="preserve">dedupe_status</w:t>
      </w:r>
      <w:r>
        <w:t xml:space="preserve"> </w:t>
      </w:r>
      <w:r>
        <w:t xml:space="preserve">and</w:t>
      </w:r>
      <w:r>
        <w:t xml:space="preserve"> </w:t>
      </w:r>
      <w:r>
        <w:rPr>
          <w:b/>
          <w:bCs/>
        </w:rPr>
        <w:t xml:space="preserve">review_status</w:t>
      </w:r>
      <w:r>
        <w:t xml:space="preserve"> </w:t>
      </w:r>
      <w:r>
        <w:t xml:space="preserve">columns; mark</w:t>
      </w:r>
      <w:r>
        <w:t xml:space="preserve"> </w:t>
      </w:r>
      <w:r>
        <w:rPr>
          <w:b/>
          <w:bCs/>
        </w:rPr>
        <w:t xml:space="preserve">historical-secondary recensions</w:t>
      </w:r>
      <w:r>
        <w:t xml:space="preserve"> </w:t>
      </w:r>
      <w:r>
        <w:t xml:space="preserve">as lead-quality unless article-level verified; split</w:t>
      </w:r>
      <w:r>
        <w:t xml:space="preserve"> </w:t>
      </w:r>
      <w:r>
        <w:rPr>
          <w:b/>
          <w:bCs/>
        </w:rPr>
        <w:t xml:space="preserve">figure string</w:t>
      </w:r>
      <w:r>
        <w:t xml:space="preserve"> </w:t>
      </w:r>
      <w:r>
        <w:t xml:space="preserve">from</w:t>
      </w:r>
      <w:r>
        <w:t xml:space="preserve"> </w:t>
      </w:r>
      <w:r>
        <w:rPr>
          <w:b/>
          <w:bCs/>
        </w:rPr>
        <w:t xml:space="preserve">figure cluster</w:t>
      </w:r>
      <w:r>
        <w:t xml:space="preserve">; and separate</w:t>
      </w:r>
      <w:r>
        <w:t xml:space="preserve"> </w:t>
      </w:r>
      <w:r>
        <w:rPr>
          <w:b/>
          <w:bCs/>
        </w:rPr>
        <w:t xml:space="preserve">catalogue metadata leads</w:t>
      </w:r>
      <w:r>
        <w:t xml:space="preserve"> </w:t>
      </w:r>
      <w:r>
        <w:t xml:space="preserve">from</w:t>
      </w:r>
      <w:r>
        <w:t xml:space="preserve"> </w:t>
      </w:r>
      <w:r>
        <w:rPr>
          <w:b/>
          <w:bCs/>
        </w:rPr>
        <w:t xml:space="preserve">source-text records</w:t>
      </w:r>
      <w:r>
        <w:t xml:space="preserve"> </w:t>
      </w:r>
      <w:r>
        <w:t xml:space="preserve">at the schema and frontend levels. Those changes follow directly from the current export design and the README’s own logic about review cards, metadata leads, and human review.</w:t>
      </w:r>
      <w:r>
        <w:t xml:space="preserve"> </w:t>
      </w:r>
      <w:hyperlink r:id="rId24">
        <w:r>
          <w:rPr>
            <w:rStyle w:val="Hyperlink"/>
          </w:rPr>
          <w:t xml:space="preserve">[44]</w:t>
        </w:r>
      </w:hyperlink>
    </w:p>
    <w:p>
      <w:pPr>
        <w:pStyle w:val="BodyText"/>
      </w:pPr>
      <w:r>
        <w:t xml:space="preserve">The sources to prioritize next are also clear. The next record-building round should focus on</w:t>
      </w:r>
      <w:r>
        <w:t xml:space="preserve"> </w:t>
      </w:r>
      <w:r>
        <w:rPr>
          <w:b/>
          <w:bCs/>
        </w:rPr>
        <w:t xml:space="preserve">Trove article-level verification</w:t>
      </w:r>
      <w:r>
        <w:t xml:space="preserve">, especially for the pre-1970 AYR historical rows; then</w:t>
      </w:r>
      <w:r>
        <w:t xml:space="preserve"> </w:t>
      </w:r>
      <w:r>
        <w:rPr>
          <w:b/>
          <w:bCs/>
        </w:rPr>
        <w:t xml:space="preserve">public institutional pages</w:t>
      </w:r>
      <w:r>
        <w:t xml:space="preserve"> </w:t>
      </w:r>
      <w:r>
        <w:t xml:space="preserve">from AIATSIS, museums, galleries, and heritage bodies for figure classes like Quinkan, Mimih, Nargun, Garkain, Mokoi, and Pangkarlangu; then carefully marked</w:t>
      </w:r>
      <w:r>
        <w:t xml:space="preserve"> </w:t>
      </w:r>
      <w:r>
        <w:rPr>
          <w:b/>
          <w:bCs/>
        </w:rPr>
        <w:t xml:space="preserve">catalogue metadata leads</w:t>
      </w:r>
      <w:r>
        <w:t xml:space="preserve"> </w:t>
      </w:r>
      <w:r>
        <w:t xml:space="preserve">from NLA and AIATSIS; and only then more AYR expansion. The current Round 002 audit already points in that direction.</w:t>
      </w:r>
      <w:r>
        <w:t xml:space="preserve"> </w:t>
      </w:r>
      <w:hyperlink r:id="rId52">
        <w:r>
          <w:rPr>
            <w:rStyle w:val="Hyperlink"/>
          </w:rPr>
          <w:t xml:space="preserve">[45]</w:t>
        </w:r>
      </w:hyperlink>
    </w:p>
    <w:p>
      <w:pPr>
        <w:pStyle w:val="BodyText"/>
      </w:pPr>
      <w:r>
        <w:t xml:space="preserve">The project should</w:t>
      </w:r>
      <w:r>
        <w:t xml:space="preserve"> </w:t>
      </w:r>
      <w:r>
        <w:rPr>
          <w:b/>
          <w:bCs/>
        </w:rPr>
        <w:t xml:space="preserve">not</w:t>
      </w:r>
      <w:r>
        <w:t xml:space="preserve"> </w:t>
      </w:r>
      <w:r>
        <w:t xml:space="preserve">yet claim any of the following: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Claim to avoid for now</w:t>
            </w:r>
          </w:p>
        </w:tc>
        <w:tc>
          <w:tcPr/>
          <w:p>
            <w:pPr>
              <w:pStyle w:val="Compact"/>
            </w:pPr>
            <w:r>
              <w:t xml:space="preserve">Why it is premature</w:t>
            </w:r>
          </w:p>
        </w:tc>
      </w:tr>
      <w:tr>
        <w:tc>
          <w:tcPr/>
          <w:p>
            <w:pPr>
              <w:pStyle w:val="Compact"/>
            </w:pPr>
            <w:r>
              <w:t xml:space="preserve">“This corpus represents Australian public discourse.”</w:t>
            </w:r>
          </w:p>
        </w:tc>
        <w:tc>
          <w:tcPr/>
          <w:p>
            <w:pPr>
              <w:pStyle w:val="Compact"/>
            </w:pPr>
            <w:r>
              <w:t xml:space="preserve">The current records are almost entirely AYR/Yowie.</w:t>
            </w:r>
            <w:r>
              <w:t xml:space="preserve"> </w:t>
            </w:r>
            <w:hyperlink r:id="rId22">
              <w:r>
                <w:rPr>
                  <w:rStyle w:val="Hyperlink"/>
                </w:rPr>
                <w:t xml:space="preserve">[2]</w:t>
              </w:r>
            </w:hyperlink>
          </w:p>
        </w:tc>
      </w:tr>
      <w:tr>
        <w:tc>
          <w:tcPr/>
          <w:p>
            <w:pPr>
              <w:pStyle w:val="Compact"/>
            </w:pPr>
            <w:r>
              <w:t xml:space="preserve">“Figure frequencies indicate national prominence.”</w:t>
            </w:r>
          </w:p>
        </w:tc>
        <w:tc>
          <w:tcPr/>
          <w:p>
            <w:pPr>
              <w:pStyle w:val="Compact"/>
            </w:pPr>
            <w:r>
              <w:t xml:space="preserve">Figure counts are dominated by seed-source choice, not balanced collection.</w:t>
            </w:r>
            <w:r>
              <w:t xml:space="preserve"> </w:t>
            </w:r>
            <w:hyperlink r:id="rId22">
              <w:r>
                <w:rPr>
                  <w:rStyle w:val="Hyperlink"/>
                </w:rPr>
                <w:t xml:space="preserve">[46]</w:t>
              </w:r>
            </w:hyperlink>
          </w:p>
        </w:tc>
      </w:tr>
      <w:tr>
        <w:tc>
          <w:tcPr/>
          <w:p>
            <w:pPr>
              <w:pStyle w:val="Compact"/>
            </w:pPr>
            <w:r>
              <w:t xml:space="preserve">“Historical trends are established from 1831 onward.”</w:t>
            </w:r>
          </w:p>
        </w:tc>
        <w:tc>
          <w:tcPr/>
          <w:p>
            <w:pPr>
              <w:pStyle w:val="Compact"/>
            </w:pPr>
            <w:r>
              <w:t xml:space="preserve">Historical rows are often mediated AYR recensions, not article-level verified Trove texts.</w:t>
            </w:r>
            <w:r>
              <w:t xml:space="preserve"> </w:t>
            </w:r>
            <w:hyperlink r:id="rId21">
              <w:r>
                <w:rPr>
                  <w:rStyle w:val="Hyperlink"/>
                </w:rPr>
                <w:t xml:space="preserve">[13]</w:t>
              </w:r>
            </w:hyperlink>
          </w:p>
        </w:tc>
      </w:tr>
      <w:tr>
        <w:tc>
          <w:tcPr/>
          <w:p>
            <w:pPr>
              <w:pStyle w:val="Compact"/>
            </w:pPr>
            <w:r>
              <w:t xml:space="preserve">“The project maps exact encounter locations.”</w:t>
            </w:r>
          </w:p>
        </w:tc>
        <w:tc>
          <w:tcPr/>
          <w:p>
            <w:pPr>
              <w:pStyle w:val="Compact"/>
            </w:pPr>
            <w:r>
              <w:t xml:space="preserve">Location evidence is explicitly for review, not final geocoding truth.</w:t>
            </w:r>
            <w:r>
              <w:t xml:space="preserve"> </w:t>
            </w:r>
            <w:hyperlink r:id="rId21">
              <w:r>
                <w:rPr>
                  <w:rStyle w:val="Hyperlink"/>
                </w:rPr>
                <w:t xml:space="preserve">[47]</w:t>
              </w:r>
            </w:hyperlink>
          </w:p>
        </w:tc>
      </w:tr>
      <w:tr>
        <w:tc>
          <w:tcPr/>
          <w:p>
            <w:pPr>
              <w:pStyle w:val="Compact"/>
            </w:pPr>
            <w:r>
              <w:t xml:space="preserve">“Indigenous figures are safely normalized into one folklore inventory.”</w:t>
            </w:r>
          </w:p>
        </w:tc>
        <w:tc>
          <w:tcPr/>
          <w:p>
            <w:pPr>
              <w:pStyle w:val="Compact"/>
            </w:pPr>
            <w:r>
              <w:t xml:space="preserve">Public institutional guidance and the repo’s own ethics framing both reject that flattening.</w:t>
            </w:r>
            <w:r>
              <w:t xml:space="preserve"> </w:t>
            </w:r>
            <w:hyperlink r:id="rId21">
              <w:r>
                <w:rPr>
                  <w:rStyle w:val="Hyperlink"/>
                </w:rPr>
                <w:t xml:space="preserve">[48]</w:t>
              </w:r>
            </w:hyperlink>
          </w:p>
        </w:tc>
      </w:tr>
    </w:tbl>
    <w:bookmarkEnd w:id="53"/>
    <w:bookmarkStart w:id="54" w:name="open-questions-and-limitations"/>
    <w:p>
      <w:pPr>
        <w:pStyle w:val="Heading3"/>
      </w:pPr>
      <w:r>
        <w:t xml:space="preserve">Open questions and limitations</w:t>
      </w:r>
    </w:p>
    <w:p>
      <w:pPr>
        <w:pStyle w:val="FirstParagraph"/>
      </w:pPr>
      <w:r>
        <w:t xml:space="preserve">Some figure-level judgments remain provisional because several validation terms surfaced mainly in derivative Yowie reference chains rather than in strong public institutional sources during this audit. That is why I have kept them in a validation queue rather than trying to force a larger figure count. The most important unresolved terms are</w:t>
      </w:r>
      <w:r>
        <w:t xml:space="preserve"> </w:t>
      </w:r>
      <w:r>
        <w:rPr>
          <w:b/>
          <w:bCs/>
        </w:rPr>
        <w:t xml:space="preserve">Joogabinna, Ghindaring, Jurrawarra, Myngawin, Noocoonah, Wawee, and Jimbra</w:t>
      </w:r>
      <w:r>
        <w:t xml:space="preserve">. A careful next pass should test those against article-level Trove, public institutional catalogues, and language-specific/community-authorized public sources before they are counted as independent categories.</w:t>
      </w:r>
    </w:p>
    <w:bookmarkEnd w:id="54"/>
    <w:bookmarkEnd w:id="55"/>
    <w:bookmarkEnd w:id="56"/>
    <w:bookmarkEnd w:id="57"/>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[6]</w:t>
        </w:r>
      </w:hyperlink>
      <w:r>
        <w:t xml:space="preserve"> </w:t>
      </w:r>
      <w:hyperlink r:id="rId21">
        <w:r>
          <w:rPr>
            <w:rStyle w:val="Hyperlink"/>
          </w:rPr>
          <w:t xml:space="preserve">[9]</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[14]</w:t>
        </w:r>
      </w:hyperlink>
      <w:r>
        <w:t xml:space="preserve"> </w:t>
      </w:r>
      <w:hyperlink r:id="rId21">
        <w:r>
          <w:rPr>
            <w:rStyle w:val="Hyperlink"/>
          </w:rPr>
          <w:t xml:space="preserve">[15]</w:t>
        </w:r>
      </w:hyperlink>
      <w:r>
        <w:t xml:space="preserve"> </w:t>
      </w:r>
      <w:hyperlink r:id="rId21">
        <w:r>
          <w:rPr>
            <w:rStyle w:val="Hyperlink"/>
          </w:rPr>
          <w:t xml:space="preserve">[16]</w:t>
        </w:r>
      </w:hyperlink>
      <w:r>
        <w:t xml:space="preserve"> </w:t>
      </w:r>
      <w:hyperlink r:id="rId21">
        <w:r>
          <w:rPr>
            <w:rStyle w:val="Hyperlink"/>
          </w:rPr>
          <w:t xml:space="preserve">[17]</w:t>
        </w:r>
      </w:hyperlink>
      <w:r>
        <w:t xml:space="preserve"> </w:t>
      </w:r>
      <w:hyperlink r:id="rId21">
        <w:r>
          <w:rPr>
            <w:rStyle w:val="Hyperlink"/>
          </w:rPr>
          <w:t xml:space="preserve">[47]</w:t>
        </w:r>
      </w:hyperlink>
      <w:r>
        <w:t xml:space="preserve"> </w:t>
      </w:r>
      <w:hyperlink r:id="rId21">
        <w:r>
          <w:rPr>
            <w:rStyle w:val="Hyperlink"/>
          </w:rPr>
          <w:t xml:space="preserve">[48]</w:t>
        </w:r>
      </w:hyperlink>
      <w:r>
        <w:t xml:space="preserve"> </w:t>
      </w:r>
      <w:r>
        <w:t xml:space="preserve">raw.githubusercontent.com</w:t>
      </w:r>
    </w:p>
    <w:p>
      <w:pPr>
        <w:pStyle w:val="BodyText"/>
      </w:pPr>
      <w:hyperlink r:id="rId21">
        <w:r>
          <w:rPr>
            <w:rStyle w:val="Hyperlink"/>
          </w:rPr>
          <w:t xml:space="preserve">https://raw.githubusercontent.com/dpan538/australian-humanoid-supernatural-texts/main/README.md</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[7]</w:t>
        </w:r>
      </w:hyperlink>
      <w:r>
        <w:t xml:space="preserve"> </w:t>
      </w:r>
      <w:hyperlink r:id="rId22">
        <w:r>
          <w:rPr>
            <w:rStyle w:val="Hyperlink"/>
          </w:rPr>
          <w:t xml:space="preserve">[8]</w:t>
        </w:r>
      </w:hyperlink>
      <w:r>
        <w:t xml:space="preserve"> </w:t>
      </w:r>
      <w:hyperlink r:id="rId22">
        <w:r>
          <w:rPr>
            <w:rStyle w:val="Hyperlink"/>
          </w:rPr>
          <w:t xml:space="preserve">[10]</w:t>
        </w:r>
      </w:hyperlink>
      <w:r>
        <w:t xml:space="preserve"> </w:t>
      </w:r>
      <w:hyperlink r:id="rId22">
        <w:r>
          <w:rPr>
            <w:rStyle w:val="Hyperlink"/>
          </w:rPr>
          <w:t xml:space="preserve">[41]</w:t>
        </w:r>
      </w:hyperlink>
      <w:r>
        <w:t xml:space="preserve"> </w:t>
      </w:r>
      <w:hyperlink r:id="rId22">
        <w:r>
          <w:rPr>
            <w:rStyle w:val="Hyperlink"/>
          </w:rPr>
          <w:t xml:space="preserve">[46]</w:t>
        </w:r>
      </w:hyperlink>
      <w:r>
        <w:t xml:space="preserve"> </w:t>
      </w:r>
      <w:r>
        <w:t xml:space="preserve">raw.githubusercontent.com</w:t>
      </w:r>
    </w:p>
    <w:p>
      <w:pPr>
        <w:pStyle w:val="BodyText"/>
      </w:pPr>
      <w:hyperlink r:id="rId22">
        <w:r>
          <w:rPr>
            <w:rStyle w:val="Hyperlink"/>
          </w:rPr>
          <w:t xml:space="preserve">https://raw.githubusercontent.com/dpan538/australian-humanoid-supernatural-texts/main/public/data/frontend-data.json</w:t>
        </w:r>
      </w:hyperlink>
    </w:p>
    <w:p>
      <w:pPr>
        <w:pStyle w:val="BodyText"/>
      </w:pPr>
      <w:hyperlink r:id="rId24">
        <w:r>
          <w:rPr>
            <w:rStyle w:val="Hyperlink"/>
          </w:rPr>
          <w:t xml:space="preserve">[4]</w:t>
        </w:r>
      </w:hyperlink>
      <w:r>
        <w:t xml:space="preserve"> </w:t>
      </w:r>
      <w:hyperlink r:id="rId24">
        <w:r>
          <w:rPr>
            <w:rStyle w:val="Hyperlink"/>
          </w:rPr>
          <w:t xml:space="preserve">[44]</w:t>
        </w:r>
      </w:hyperlink>
      <w:r>
        <w:t xml:space="preserve"> </w:t>
      </w:r>
      <w:r>
        <w:t xml:space="preserve">australian-humanoid-supernatural-texts/scripts/export_dataset.py at main · dpan538/australian-humanoid-supernatural-texts · GitHub</w:t>
      </w:r>
    </w:p>
    <w:p>
      <w:pPr>
        <w:pStyle w:val="BodyText"/>
      </w:pPr>
      <w:hyperlink r:id="rId24">
        <w:r>
          <w:rPr>
            <w:rStyle w:val="Hyperlink"/>
          </w:rPr>
          <w:t xml:space="preserve">https://github.com/dpan538/australian-humanoid-supernatural-texts/blob/main/scripts/export_dataset.py</w:t>
        </w:r>
      </w:hyperlink>
    </w:p>
    <w:p>
      <w:pPr>
        <w:pStyle w:val="BodyText"/>
      </w:pPr>
      <w:hyperlink r:id="rId26">
        <w:r>
          <w:rPr>
            <w:rStyle w:val="Hyperlink"/>
          </w:rPr>
          <w:t xml:space="preserve">[11]</w:t>
        </w:r>
      </w:hyperlink>
      <w:r>
        <w:t xml:space="preserve"> </w:t>
      </w:r>
      <w:r>
        <w:t xml:space="preserve">raw.githubusercontent.com</w:t>
      </w:r>
    </w:p>
    <w:p>
      <w:pPr>
        <w:pStyle w:val="BodyText"/>
      </w:pPr>
      <w:hyperlink r:id="rId26">
        <w:r>
          <w:rPr>
            <w:rStyle w:val="Hyperlink"/>
          </w:rPr>
          <w:t xml:space="preserve">https://raw.githubusercontent.com/dpan538/australian-humanoid-supernatural-texts/main/data/exports/records_review.csv</w:t>
        </w:r>
      </w:hyperlink>
    </w:p>
    <w:p>
      <w:pPr>
        <w:pStyle w:val="BodyText"/>
      </w:pPr>
      <w:hyperlink r:id="rId30">
        <w:r>
          <w:rPr>
            <w:rStyle w:val="Hyperlink"/>
          </w:rPr>
          <w:t xml:space="preserve">[18]</w:t>
        </w:r>
      </w:hyperlink>
      <w:r>
        <w:t xml:space="preserve"> </w:t>
      </w:r>
      <w:hyperlink r:id="rId30">
        <w:r>
          <w:rPr>
            <w:rStyle w:val="Hyperlink"/>
          </w:rPr>
          <w:t xml:space="preserve">[23]</w:t>
        </w:r>
      </w:hyperlink>
      <w:r>
        <w:t xml:space="preserve"> </w:t>
      </w:r>
      <w:hyperlink r:id="rId30">
        <w:r>
          <w:rPr>
            <w:rStyle w:val="Hyperlink"/>
          </w:rPr>
          <w:t xml:space="preserve">[24]</w:t>
        </w:r>
      </w:hyperlink>
      <w:r>
        <w:t xml:space="preserve"> </w:t>
      </w:r>
      <w:hyperlink r:id="rId30">
        <w:r>
          <w:rPr>
            <w:rStyle w:val="Hyperlink"/>
          </w:rPr>
          <w:t xml:space="preserve">[42]</w:t>
        </w:r>
      </w:hyperlink>
      <w:r>
        <w:t xml:space="preserve"> </w:t>
      </w:r>
      <w:r>
        <w:t xml:space="preserve">https://trove.nla.gov.au/newspaper/article/106307414</w:t>
      </w:r>
    </w:p>
    <w:p>
      <w:pPr>
        <w:pStyle w:val="BodyText"/>
      </w:pPr>
      <w:hyperlink r:id="rId30">
        <w:r>
          <w:rPr>
            <w:rStyle w:val="Hyperlink"/>
          </w:rPr>
          <w:t xml:space="preserve">https://trove.nla.gov.au/newspaper/article/106307414</w:t>
        </w:r>
      </w:hyperlink>
    </w:p>
    <w:p>
      <w:pPr>
        <w:pStyle w:val="BodyText"/>
      </w:pPr>
      <w:hyperlink r:id="rId31">
        <w:r>
          <w:rPr>
            <w:rStyle w:val="Hyperlink"/>
          </w:rPr>
          <w:t xml:space="preserve">[19]</w:t>
        </w:r>
      </w:hyperlink>
      <w:r>
        <w:t xml:space="preserve"> </w:t>
      </w:r>
      <w:hyperlink r:id="rId31">
        <w:r>
          <w:rPr>
            <w:rStyle w:val="Hyperlink"/>
          </w:rPr>
          <w:t xml:space="preserve">[28]</w:t>
        </w:r>
      </w:hyperlink>
      <w:r>
        <w:t xml:space="preserve"> </w:t>
      </w:r>
      <w:hyperlink r:id="rId31">
        <w:r>
          <w:rPr>
            <w:rStyle w:val="Hyperlink"/>
          </w:rPr>
          <w:t xml:space="preserve">[43]</w:t>
        </w:r>
      </w:hyperlink>
      <w:r>
        <w:t xml:space="preserve"> </w:t>
      </w:r>
      <w:r>
        <w:t xml:space="preserve">https://www.dcceew.gov.au/parks-heritage/heritage/places/national/quinkan-country</w:t>
      </w:r>
    </w:p>
    <w:p>
      <w:pPr>
        <w:pStyle w:val="BodyText"/>
      </w:pPr>
      <w:hyperlink r:id="rId31">
        <w:r>
          <w:rPr>
            <w:rStyle w:val="Hyperlink"/>
          </w:rPr>
          <w:t xml:space="preserve">https://www.dcceew.gov.au/parks-heritage/heritage/places/national/quinkan-country</w:t>
        </w:r>
      </w:hyperlink>
    </w:p>
    <w:p>
      <w:pPr>
        <w:pStyle w:val="BodyText"/>
      </w:pPr>
      <w:hyperlink r:id="rId32">
        <w:r>
          <w:rPr>
            <w:rStyle w:val="Hyperlink"/>
          </w:rPr>
          <w:t xml:space="preserve">[20]</w:t>
        </w:r>
      </w:hyperlink>
      <w:r>
        <w:t xml:space="preserve"> </w:t>
      </w:r>
      <w:r>
        <w:t xml:space="preserve">https://www.wipo.int/en/web/wipo-magazine/articles/safeguarding-cultural-heritage-the-case-of-the-sacred-wandjina-37917</w:t>
      </w:r>
    </w:p>
    <w:p>
      <w:pPr>
        <w:pStyle w:val="BodyText"/>
      </w:pPr>
      <w:hyperlink r:id="rId32">
        <w:r>
          <w:rPr>
            <w:rStyle w:val="Hyperlink"/>
          </w:rPr>
          <w:t xml:space="preserve">https://www.wipo.int/en/web/wipo-magazine/articles/safeguarding-cultural-heritage-the-case-of-the-sacred-wandjina-37917</w:t>
        </w:r>
      </w:hyperlink>
    </w:p>
    <w:p>
      <w:pPr>
        <w:pStyle w:val="BodyText"/>
      </w:pPr>
      <w:hyperlink r:id="rId33">
        <w:r>
          <w:rPr>
            <w:rStyle w:val="Hyperlink"/>
          </w:rPr>
          <w:t xml:space="preserve">[21]</w:t>
        </w:r>
      </w:hyperlink>
      <w:r>
        <w:t xml:space="preserve"> </w:t>
      </w:r>
      <w:hyperlink r:id="rId33">
        <w:r>
          <w:rPr>
            <w:rStyle w:val="Hyperlink"/>
          </w:rPr>
          <w:t xml:space="preserve">[37]</w:t>
        </w:r>
      </w:hyperlink>
      <w:r>
        <w:t xml:space="preserve"> </w:t>
      </w:r>
      <w:r>
        <w:t xml:space="preserve">https://australian.museum/learn/animals/mammals/drop-bear/</w:t>
      </w:r>
    </w:p>
    <w:p>
      <w:pPr>
        <w:pStyle w:val="BodyText"/>
      </w:pPr>
      <w:hyperlink r:id="rId33">
        <w:r>
          <w:rPr>
            <w:rStyle w:val="Hyperlink"/>
          </w:rPr>
          <w:t xml:space="preserve">https://australian.museum/learn/animals/mammals/drop-bear/</w:t>
        </w:r>
      </w:hyperlink>
    </w:p>
    <w:p>
      <w:pPr>
        <w:pStyle w:val="BodyText"/>
      </w:pPr>
      <w:hyperlink r:id="rId34">
        <w:r>
          <w:rPr>
            <w:rStyle w:val="Hyperlink"/>
          </w:rPr>
          <w:t xml:space="preserve">[22]</w:t>
        </w:r>
      </w:hyperlink>
      <w:r>
        <w:t xml:space="preserve"> </w:t>
      </w:r>
      <w:r>
        <w:t xml:space="preserve">https://trove.nla.gov.au/newspaper/article/70605854</w:t>
      </w:r>
    </w:p>
    <w:p>
      <w:pPr>
        <w:pStyle w:val="BodyText"/>
      </w:pPr>
      <w:hyperlink r:id="rId34">
        <w:r>
          <w:rPr>
            <w:rStyle w:val="Hyperlink"/>
          </w:rPr>
          <w:t xml:space="preserve">https://trove.nla.gov.au/newspaper/article/70605854</w:t>
        </w:r>
      </w:hyperlink>
    </w:p>
    <w:p>
      <w:pPr>
        <w:pStyle w:val="BodyText"/>
      </w:pPr>
      <w:hyperlink r:id="rId35">
        <w:r>
          <w:rPr>
            <w:rStyle w:val="Hyperlink"/>
          </w:rPr>
          <w:t xml:space="preserve">[25]</w:t>
        </w:r>
      </w:hyperlink>
      <w:r>
        <w:t xml:space="preserve"> </w:t>
      </w:r>
      <w:r>
        <w:t xml:space="preserve">https://aiatsis.gov.au/sites/default/files/e_access/r_serial/miranen/myth.htm</w:t>
      </w:r>
    </w:p>
    <w:p>
      <w:pPr>
        <w:pStyle w:val="BodyText"/>
      </w:pPr>
      <w:hyperlink r:id="rId35">
        <w:r>
          <w:rPr>
            <w:rStyle w:val="Hyperlink"/>
          </w:rPr>
          <w:t xml:space="preserve">https://aiatsis.gov.au/sites/default/files/e_access/r_serial/miranen/myth.htm</w:t>
        </w:r>
      </w:hyperlink>
    </w:p>
    <w:p>
      <w:pPr>
        <w:pStyle w:val="BodyText"/>
      </w:pPr>
      <w:hyperlink r:id="rId36">
        <w:r>
          <w:rPr>
            <w:rStyle w:val="Hyperlink"/>
          </w:rPr>
          <w:t xml:space="preserve">[26]</w:t>
        </w:r>
      </w:hyperlink>
      <w:r>
        <w:t xml:space="preserve"> </w:t>
      </w:r>
      <w:r>
        <w:t xml:space="preserve">https://catalogue.nla.gov.au/catalog/3579016</w:t>
      </w:r>
    </w:p>
    <w:p>
      <w:pPr>
        <w:pStyle w:val="BodyText"/>
      </w:pPr>
      <w:hyperlink r:id="rId36">
        <w:r>
          <w:rPr>
            <w:rStyle w:val="Hyperlink"/>
          </w:rPr>
          <w:t xml:space="preserve">https://catalogue.nla.gov.au/catalog/3579016</w:t>
        </w:r>
      </w:hyperlink>
    </w:p>
    <w:p>
      <w:pPr>
        <w:pStyle w:val="BodyText"/>
      </w:pPr>
      <w:hyperlink r:id="rId37">
        <w:r>
          <w:rPr>
            <w:rStyle w:val="Hyperlink"/>
          </w:rPr>
          <w:t xml:space="preserve">[27]</w:t>
        </w:r>
      </w:hyperlink>
      <w:r>
        <w:t xml:space="preserve"> </w:t>
      </w:r>
      <w:r>
        <w:t xml:space="preserve">https://aiatsis.gov.au/sites/default/files/research_pub/power-of-knowledge-sample.pdf</w:t>
      </w:r>
    </w:p>
    <w:p>
      <w:pPr>
        <w:pStyle w:val="BodyText"/>
      </w:pPr>
      <w:hyperlink r:id="rId37">
        <w:r>
          <w:rPr>
            <w:rStyle w:val="Hyperlink"/>
          </w:rPr>
          <w:t xml:space="preserve">https://aiatsis.gov.au/sites/default/files/research_pub/power-of-knowledge-sample.pdf</w:t>
        </w:r>
      </w:hyperlink>
    </w:p>
    <w:p>
      <w:pPr>
        <w:pStyle w:val="BodyText"/>
      </w:pPr>
      <w:hyperlink r:id="rId38">
        <w:r>
          <w:rPr>
            <w:rStyle w:val="Hyperlink"/>
          </w:rPr>
          <w:t xml:space="preserve">[29]</w:t>
        </w:r>
      </w:hyperlink>
      <w:r>
        <w:t xml:space="preserve"> </w:t>
      </w:r>
      <w:r>
        <w:t xml:space="preserve">https://gunaikurnai.org/our-country/joint-management/mitchell-river-national-park/</w:t>
      </w:r>
    </w:p>
    <w:p>
      <w:pPr>
        <w:pStyle w:val="BodyText"/>
      </w:pPr>
      <w:hyperlink r:id="rId38">
        <w:r>
          <w:rPr>
            <w:rStyle w:val="Hyperlink"/>
          </w:rPr>
          <w:t xml:space="preserve">https://gunaikurnai.org/our-country/joint-management/mitchell-river-national-park/</w:t>
        </w:r>
      </w:hyperlink>
    </w:p>
    <w:p>
      <w:pPr>
        <w:pStyle w:val="BodyText"/>
      </w:pPr>
      <w:hyperlink r:id="rId39">
        <w:r>
          <w:rPr>
            <w:rStyle w:val="Hyperlink"/>
          </w:rPr>
          <w:t xml:space="preserve">[30]</w:t>
        </w:r>
      </w:hyperlink>
      <w:r>
        <w:t xml:space="preserve"> </w:t>
      </w:r>
      <w:r>
        <w:t xml:space="preserve">https://www.agsa.sa.gov.au/collection-publications/collection/works/garkain/35721/</w:t>
      </w:r>
    </w:p>
    <w:p>
      <w:pPr>
        <w:pStyle w:val="BodyText"/>
      </w:pPr>
      <w:hyperlink r:id="rId39">
        <w:r>
          <w:rPr>
            <w:rStyle w:val="Hyperlink"/>
          </w:rPr>
          <w:t xml:space="preserve">https://www.agsa.sa.gov.au/collection-publications/collection/works/garkain/35721/</w:t>
        </w:r>
      </w:hyperlink>
    </w:p>
    <w:p>
      <w:pPr>
        <w:pStyle w:val="BodyText"/>
      </w:pPr>
      <w:hyperlink r:id="rId40">
        <w:r>
          <w:rPr>
            <w:rStyle w:val="Hyperlink"/>
          </w:rPr>
          <w:t xml:space="preserve">[31]</w:t>
        </w:r>
      </w:hyperlink>
      <w:r>
        <w:t xml:space="preserve"> </w:t>
      </w:r>
      <w:r>
        <w:t xml:space="preserve">https://aiatsis.gov.au/sites/default/files/catalogue_resources/hoff.j1.cs.htm</w:t>
      </w:r>
    </w:p>
    <w:p>
      <w:pPr>
        <w:pStyle w:val="BodyText"/>
      </w:pPr>
      <w:hyperlink r:id="rId40">
        <w:r>
          <w:rPr>
            <w:rStyle w:val="Hyperlink"/>
          </w:rPr>
          <w:t xml:space="preserve">https://aiatsis.gov.au/sites/default/files/catalogue_resources/hoff.j1.cs.htm</w:t>
        </w:r>
      </w:hyperlink>
    </w:p>
    <w:p>
      <w:pPr>
        <w:pStyle w:val="BodyText"/>
      </w:pPr>
      <w:hyperlink r:id="rId41">
        <w:r>
          <w:rPr>
            <w:rStyle w:val="Hyperlink"/>
          </w:rPr>
          <w:t xml:space="preserve">[32]</w:t>
        </w:r>
      </w:hyperlink>
      <w:r>
        <w:t xml:space="preserve"> </w:t>
      </w:r>
      <w:r>
        <w:t xml:space="preserve">https://www.acmi.net.au/works/70070--mamu-a/</w:t>
      </w:r>
    </w:p>
    <w:p>
      <w:pPr>
        <w:pStyle w:val="BodyText"/>
      </w:pPr>
      <w:hyperlink r:id="rId41">
        <w:r>
          <w:rPr>
            <w:rStyle w:val="Hyperlink"/>
          </w:rPr>
          <w:t xml:space="preserve">https://www.acmi.net.au/works/70070--mamu-a/</w:t>
        </w:r>
      </w:hyperlink>
    </w:p>
    <w:p>
      <w:pPr>
        <w:pStyle w:val="BodyText"/>
      </w:pPr>
      <w:hyperlink r:id="rId42">
        <w:r>
          <w:rPr>
            <w:rStyle w:val="Hyperlink"/>
          </w:rPr>
          <w:t xml:space="preserve">[33]</w:t>
        </w:r>
      </w:hyperlink>
      <w:r>
        <w:t xml:space="preserve"> </w:t>
      </w:r>
      <w:r>
        <w:t xml:space="preserve">https://researchportalplus.anu.edu.au/en/publications/pangkarlangu-wonder-extinction/</w:t>
      </w:r>
    </w:p>
    <w:p>
      <w:pPr>
        <w:pStyle w:val="BodyText"/>
      </w:pPr>
      <w:hyperlink r:id="rId42">
        <w:r>
          <w:rPr>
            <w:rStyle w:val="Hyperlink"/>
          </w:rPr>
          <w:t xml:space="preserve">https://researchportalplus.anu.edu.au/en/publications/pangkarlangu-wonder-extinction/</w:t>
        </w:r>
      </w:hyperlink>
    </w:p>
    <w:p>
      <w:pPr>
        <w:pStyle w:val="BodyText"/>
      </w:pPr>
      <w:hyperlink r:id="rId43">
        <w:r>
          <w:rPr>
            <w:rStyle w:val="Hyperlink"/>
          </w:rPr>
          <w:t xml:space="preserve">[34]</w:t>
        </w:r>
      </w:hyperlink>
      <w:r>
        <w:t xml:space="preserve"> </w:t>
      </w:r>
      <w:r>
        <w:t xml:space="preserve">https://hunterlivinghistories.com/2020/06/17/puttikan/</w:t>
      </w:r>
    </w:p>
    <w:p>
      <w:pPr>
        <w:pStyle w:val="BodyText"/>
      </w:pPr>
      <w:hyperlink r:id="rId43">
        <w:r>
          <w:rPr>
            <w:rStyle w:val="Hyperlink"/>
          </w:rPr>
          <w:t xml:space="preserve">https://hunterlivinghistories.com/2020/06/17/puttikan/</w:t>
        </w:r>
      </w:hyperlink>
    </w:p>
    <w:p>
      <w:pPr>
        <w:pStyle w:val="BodyText"/>
      </w:pPr>
      <w:hyperlink r:id="rId44">
        <w:r>
          <w:rPr>
            <w:rStyle w:val="Hyperlink"/>
          </w:rPr>
          <w:t xml:space="preserve">[35]</w:t>
        </w:r>
      </w:hyperlink>
      <w:r>
        <w:t xml:space="preserve"> </w:t>
      </w:r>
      <w:r>
        <w:t xml:space="preserve">https://trove.nla.gov.au/newspaper/article/17182454</w:t>
      </w:r>
    </w:p>
    <w:p>
      <w:pPr>
        <w:pStyle w:val="BodyText"/>
      </w:pPr>
      <w:hyperlink r:id="rId44">
        <w:r>
          <w:rPr>
            <w:rStyle w:val="Hyperlink"/>
          </w:rPr>
          <w:t xml:space="preserve">https://trove.nla.gov.au/newspaper/article/17182454</w:t>
        </w:r>
      </w:hyperlink>
    </w:p>
    <w:p>
      <w:pPr>
        <w:pStyle w:val="BodyText"/>
      </w:pPr>
      <w:hyperlink r:id="rId45">
        <w:r>
          <w:rPr>
            <w:rStyle w:val="Hyperlink"/>
          </w:rPr>
          <w:t xml:space="preserve">[36]</w:t>
        </w:r>
      </w:hyperlink>
      <w:r>
        <w:t xml:space="preserve"> </w:t>
      </w:r>
      <w:r>
        <w:t xml:space="preserve">https://www.ictv.com.au/video/5501-our-bedtime-stories-episode-15-nora-davidson-tjangara-the-giant-story</w:t>
      </w:r>
    </w:p>
    <w:p>
      <w:pPr>
        <w:pStyle w:val="BodyText"/>
      </w:pPr>
      <w:hyperlink r:id="rId45">
        <w:r>
          <w:rPr>
            <w:rStyle w:val="Hyperlink"/>
          </w:rPr>
          <w:t xml:space="preserve">https://www.ictv.com.au/video/5501-our-bedtime-stories-episode-15-nora-davidson-tjangara-the-giant-story</w:t>
        </w:r>
      </w:hyperlink>
    </w:p>
    <w:p>
      <w:pPr>
        <w:pStyle w:val="BodyText"/>
      </w:pPr>
      <w:hyperlink r:id="rId46">
        <w:r>
          <w:rPr>
            <w:rStyle w:val="Hyperlink"/>
          </w:rPr>
          <w:t xml:space="preserve">[38]</w:t>
        </w:r>
      </w:hyperlink>
      <w:r>
        <w:t xml:space="preserve"> </w:t>
      </w:r>
      <w:r>
        <w:t xml:space="preserve">The Rainbow Serpent / by David M. Welch</w:t>
      </w:r>
    </w:p>
    <w:p>
      <w:pPr>
        <w:pStyle w:val="BodyText"/>
      </w:pPr>
      <w:hyperlink r:id="rId46">
        <w:r>
          <w:rPr>
            <w:rStyle w:val="Hyperlink"/>
          </w:rPr>
          <w:t xml:space="preserve">https://aiatsis.gov.au/collections/item/i9780648068235?utm_source=chatgpt.com</w:t>
        </w:r>
      </w:hyperlink>
    </w:p>
    <w:p>
      <w:pPr>
        <w:pStyle w:val="BodyText"/>
      </w:pPr>
      <w:hyperlink r:id="rId47">
        <w:r>
          <w:rPr>
            <w:rStyle w:val="Hyperlink"/>
          </w:rPr>
          <w:t xml:space="preserve">[39]</w:t>
        </w:r>
      </w:hyperlink>
      <w:r>
        <w:t xml:space="preserve"> </w:t>
      </w:r>
      <w:r>
        <w:t xml:space="preserve">BATES_B01 Sound recordings collected by William ( ...</w:t>
      </w:r>
    </w:p>
    <w:p>
      <w:pPr>
        <w:pStyle w:val="BodyText"/>
      </w:pPr>
      <w:hyperlink r:id="rId47">
        <w:r>
          <w:rPr>
            <w:rStyle w:val="Hyperlink"/>
          </w:rPr>
          <w:t xml:space="preserve">https://aiatsis.gov.au/sites/default/files/catalogue_resources/bates_b01_interim_finding_aid.pdf?utm_source=chatgpt.com</w:t>
        </w:r>
      </w:hyperlink>
    </w:p>
    <w:p>
      <w:pPr>
        <w:pStyle w:val="BodyText"/>
      </w:pPr>
      <w:hyperlink r:id="rId48">
        <w:r>
          <w:rPr>
            <w:rStyle w:val="Hyperlink"/>
          </w:rPr>
          <w:t xml:space="preserve">[40]</w:t>
        </w:r>
      </w:hyperlink>
      <w:r>
        <w:t xml:space="preserve"> </w:t>
      </w:r>
      <w:r>
        <w:t xml:space="preserve">https://aiatsis.gov.au/sites/default/files/catalogue_resources/breen_g20_finding_aid.pdf</w:t>
      </w:r>
    </w:p>
    <w:p>
      <w:pPr>
        <w:pStyle w:val="BodyText"/>
      </w:pPr>
      <w:hyperlink r:id="rId48">
        <w:r>
          <w:rPr>
            <w:rStyle w:val="Hyperlink"/>
          </w:rPr>
          <w:t xml:space="preserve">https://aiatsis.gov.au/sites/default/files/catalogue_resources/breen_g20_finding_aid.pdf</w:t>
        </w:r>
      </w:hyperlink>
    </w:p>
    <w:p>
      <w:pPr>
        <w:pStyle w:val="BodyText"/>
      </w:pPr>
      <w:hyperlink r:id="rId52">
        <w:r>
          <w:rPr>
            <w:rStyle w:val="Hyperlink"/>
          </w:rPr>
          <w:t xml:space="preserve">[45]</w:t>
        </w:r>
      </w:hyperlink>
      <w:r>
        <w:t xml:space="preserve"> </w:t>
      </w:r>
      <w:r>
        <w:t xml:space="preserve">raw.githubusercontent.com</w:t>
      </w:r>
    </w:p>
    <w:p>
      <w:pPr>
        <w:pStyle w:val="BodyText"/>
      </w:pPr>
      <w:hyperlink r:id="rId52">
        <w:r>
          <w:rPr>
            <w:rStyle w:val="Hyperlink"/>
          </w:rPr>
          <w:t xml:space="preserve">https://raw.githubusercontent.com/dpan538/australian-humanoid-supernatural-texts/main/data/processed/public_round_002_coverage_audit.md</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aiatsis.gov.au/collections/item/i9780648068235?utm_source=chatgpt.com" TargetMode="External" /><Relationship Type="http://schemas.openxmlformats.org/officeDocument/2006/relationships/hyperlink" Id="rId47" Target="https://aiatsis.gov.au/sites/default/files/catalogue_resources/bates_b01_interim_finding_aid.pdf?utm_source=chatgpt.com" TargetMode="External" /><Relationship Type="http://schemas.openxmlformats.org/officeDocument/2006/relationships/hyperlink" Id="rId48" Target="https://aiatsis.gov.au/sites/default/files/catalogue_resources/breen_g20_finding_aid.pdf" TargetMode="External" /><Relationship Type="http://schemas.openxmlformats.org/officeDocument/2006/relationships/hyperlink" Id="rId40" Target="https://aiatsis.gov.au/sites/default/files/catalogue_resources/hoff.j1.cs.htm" TargetMode="External" /><Relationship Type="http://schemas.openxmlformats.org/officeDocument/2006/relationships/hyperlink" Id="rId35" Target="https://aiatsis.gov.au/sites/default/files/e_access/r_serial/miranen/myth.htm" TargetMode="External" /><Relationship Type="http://schemas.openxmlformats.org/officeDocument/2006/relationships/hyperlink" Id="rId37" Target="https://aiatsis.gov.au/sites/default/files/research_pub/power-of-knowledge-sample.pdf" TargetMode="External" /><Relationship Type="http://schemas.openxmlformats.org/officeDocument/2006/relationships/hyperlink" Id="rId33" Target="https://australian.museum/learn/animals/mammals/drop-bear/" TargetMode="External" /><Relationship Type="http://schemas.openxmlformats.org/officeDocument/2006/relationships/hyperlink" Id="rId36" Target="https://catalogue.nla.gov.au/catalog/3579016" TargetMode="External" /><Relationship Type="http://schemas.openxmlformats.org/officeDocument/2006/relationships/hyperlink" Id="rId24" Target="https://github.com/dpan538/australian-humanoid-supernatural-texts/blob/main/scripts/export_dataset.py" TargetMode="External" /><Relationship Type="http://schemas.openxmlformats.org/officeDocument/2006/relationships/hyperlink" Id="rId38" Target="https://gunaikurnai.org/our-country/joint-management/mitchell-river-national-park/" TargetMode="External" /><Relationship Type="http://schemas.openxmlformats.org/officeDocument/2006/relationships/hyperlink" Id="rId43" Target="https://hunterlivinghistories.com/2020/06/17/puttikan/" TargetMode="External" /><Relationship Type="http://schemas.openxmlformats.org/officeDocument/2006/relationships/hyperlink" Id="rId21" Target="https://raw.githubusercontent.com/dpan538/australian-humanoid-supernatural-texts/main/README.md" TargetMode="External" /><Relationship Type="http://schemas.openxmlformats.org/officeDocument/2006/relationships/hyperlink" Id="rId26" Target="https://raw.githubusercontent.com/dpan538/australian-humanoid-supernatural-texts/main/data/exports/records_review.csv" TargetMode="External" /><Relationship Type="http://schemas.openxmlformats.org/officeDocument/2006/relationships/hyperlink" Id="rId52" Target="https://raw.githubusercontent.com/dpan538/australian-humanoid-supernatural-texts/main/data/processed/public_round_002_coverage_audit.md" TargetMode="External" /><Relationship Type="http://schemas.openxmlformats.org/officeDocument/2006/relationships/hyperlink" Id="rId22" Target="https://raw.githubusercontent.com/dpan538/australian-humanoid-supernatural-texts/main/public/data/frontend-data.json" TargetMode="External" /><Relationship Type="http://schemas.openxmlformats.org/officeDocument/2006/relationships/hyperlink" Id="rId42" Target="https://researchportalplus.anu.edu.au/en/publications/pangkarlangu-wonder-extinction/" TargetMode="External" /><Relationship Type="http://schemas.openxmlformats.org/officeDocument/2006/relationships/hyperlink" Id="rId30" Target="https://trove.nla.gov.au/newspaper/article/106307414" TargetMode="External" /><Relationship Type="http://schemas.openxmlformats.org/officeDocument/2006/relationships/hyperlink" Id="rId44" Target="https://trove.nla.gov.au/newspaper/article/17182454" TargetMode="External" /><Relationship Type="http://schemas.openxmlformats.org/officeDocument/2006/relationships/hyperlink" Id="rId34" Target="https://trove.nla.gov.au/newspaper/article/70605854" TargetMode="External" /><Relationship Type="http://schemas.openxmlformats.org/officeDocument/2006/relationships/hyperlink" Id="rId41" Target="https://www.acmi.net.au/works/70070--mamu-a/" TargetMode="External" /><Relationship Type="http://schemas.openxmlformats.org/officeDocument/2006/relationships/hyperlink" Id="rId39" Target="https://www.agsa.sa.gov.au/collection-publications/collection/works/garkain/35721/" TargetMode="External" /><Relationship Type="http://schemas.openxmlformats.org/officeDocument/2006/relationships/hyperlink" Id="rId31" Target="https://www.dcceew.gov.au/parks-heritage/heritage/places/national/quinkan-country" TargetMode="External" /><Relationship Type="http://schemas.openxmlformats.org/officeDocument/2006/relationships/hyperlink" Id="rId45" Target="https://www.ictv.com.au/video/5501-our-bedtime-stories-episode-15-nora-davidson-tjangara-the-giant-story" TargetMode="External" /><Relationship Type="http://schemas.openxmlformats.org/officeDocument/2006/relationships/hyperlink" Id="rId32" Target="https://www.wipo.int/en/web/wipo-magazine/articles/safeguarding-cultural-heritage-the-case-of-the-sacred-wandjina-37917" TargetMode="External" /></Relationships>
</file>

<file path=word/_rels/footnotes.xml.rels><?xml version="1.0" encoding="UTF-8"?><Relationships xmlns="http://schemas.openxmlformats.org/package/2006/relationships"><Relationship Type="http://schemas.openxmlformats.org/officeDocument/2006/relationships/hyperlink" Id="rId46" Target="https://aiatsis.gov.au/collections/item/i9780648068235?utm_source=chatgpt.com" TargetMode="External" /><Relationship Type="http://schemas.openxmlformats.org/officeDocument/2006/relationships/hyperlink" Id="rId47" Target="https://aiatsis.gov.au/sites/default/files/catalogue_resources/bates_b01_interim_finding_aid.pdf?utm_source=chatgpt.com" TargetMode="External" /><Relationship Type="http://schemas.openxmlformats.org/officeDocument/2006/relationships/hyperlink" Id="rId48" Target="https://aiatsis.gov.au/sites/default/files/catalogue_resources/breen_g20_finding_aid.pdf" TargetMode="External" /><Relationship Type="http://schemas.openxmlformats.org/officeDocument/2006/relationships/hyperlink" Id="rId40" Target="https://aiatsis.gov.au/sites/default/files/catalogue_resources/hoff.j1.cs.htm" TargetMode="External" /><Relationship Type="http://schemas.openxmlformats.org/officeDocument/2006/relationships/hyperlink" Id="rId35" Target="https://aiatsis.gov.au/sites/default/files/e_access/r_serial/miranen/myth.htm" TargetMode="External" /><Relationship Type="http://schemas.openxmlformats.org/officeDocument/2006/relationships/hyperlink" Id="rId37" Target="https://aiatsis.gov.au/sites/default/files/research_pub/power-of-knowledge-sample.pdf" TargetMode="External" /><Relationship Type="http://schemas.openxmlformats.org/officeDocument/2006/relationships/hyperlink" Id="rId33" Target="https://australian.museum/learn/animals/mammals/drop-bear/" TargetMode="External" /><Relationship Type="http://schemas.openxmlformats.org/officeDocument/2006/relationships/hyperlink" Id="rId36" Target="https://catalogue.nla.gov.au/catalog/3579016" TargetMode="External" /><Relationship Type="http://schemas.openxmlformats.org/officeDocument/2006/relationships/hyperlink" Id="rId24" Target="https://github.com/dpan538/australian-humanoid-supernatural-texts/blob/main/scripts/export_dataset.py" TargetMode="External" /><Relationship Type="http://schemas.openxmlformats.org/officeDocument/2006/relationships/hyperlink" Id="rId38" Target="https://gunaikurnai.org/our-country/joint-management/mitchell-river-national-park/" TargetMode="External" /><Relationship Type="http://schemas.openxmlformats.org/officeDocument/2006/relationships/hyperlink" Id="rId43" Target="https://hunterlivinghistories.com/2020/06/17/puttikan/" TargetMode="External" /><Relationship Type="http://schemas.openxmlformats.org/officeDocument/2006/relationships/hyperlink" Id="rId21" Target="https://raw.githubusercontent.com/dpan538/australian-humanoid-supernatural-texts/main/README.md" TargetMode="External" /><Relationship Type="http://schemas.openxmlformats.org/officeDocument/2006/relationships/hyperlink" Id="rId26" Target="https://raw.githubusercontent.com/dpan538/australian-humanoid-supernatural-texts/main/data/exports/records_review.csv" TargetMode="External" /><Relationship Type="http://schemas.openxmlformats.org/officeDocument/2006/relationships/hyperlink" Id="rId52" Target="https://raw.githubusercontent.com/dpan538/australian-humanoid-supernatural-texts/main/data/processed/public_round_002_coverage_audit.md" TargetMode="External" /><Relationship Type="http://schemas.openxmlformats.org/officeDocument/2006/relationships/hyperlink" Id="rId22" Target="https://raw.githubusercontent.com/dpan538/australian-humanoid-supernatural-texts/main/public/data/frontend-data.json" TargetMode="External" /><Relationship Type="http://schemas.openxmlformats.org/officeDocument/2006/relationships/hyperlink" Id="rId42" Target="https://researchportalplus.anu.edu.au/en/publications/pangkarlangu-wonder-extinction/" TargetMode="External" /><Relationship Type="http://schemas.openxmlformats.org/officeDocument/2006/relationships/hyperlink" Id="rId30" Target="https://trove.nla.gov.au/newspaper/article/106307414" TargetMode="External" /><Relationship Type="http://schemas.openxmlformats.org/officeDocument/2006/relationships/hyperlink" Id="rId44" Target="https://trove.nla.gov.au/newspaper/article/17182454" TargetMode="External" /><Relationship Type="http://schemas.openxmlformats.org/officeDocument/2006/relationships/hyperlink" Id="rId34" Target="https://trove.nla.gov.au/newspaper/article/70605854" TargetMode="External" /><Relationship Type="http://schemas.openxmlformats.org/officeDocument/2006/relationships/hyperlink" Id="rId41" Target="https://www.acmi.net.au/works/70070--mamu-a/" TargetMode="External" /><Relationship Type="http://schemas.openxmlformats.org/officeDocument/2006/relationships/hyperlink" Id="rId39" Target="https://www.agsa.sa.gov.au/collection-publications/collection/works/garkain/35721/" TargetMode="External" /><Relationship Type="http://schemas.openxmlformats.org/officeDocument/2006/relationships/hyperlink" Id="rId31" Target="https://www.dcceew.gov.au/parks-heritage/heritage/places/national/quinkan-country" TargetMode="External" /><Relationship Type="http://schemas.openxmlformats.org/officeDocument/2006/relationships/hyperlink" Id="rId45" Target="https://www.ictv.com.au/video/5501-our-bedtime-stories-episode-15-nora-davidson-tjangara-the-giant-story" TargetMode="External" /><Relationship Type="http://schemas.openxmlformats.org/officeDocument/2006/relationships/hyperlink" Id="rId32" Target="https://www.wipo.int/en/web/wipo-magazine/articles/safeguarding-cultural-heritage-the-case-of-the-sacred-wandjina-379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2026-06-19T16:56:28Z</dcterms:created>
  <dcterms:modified xsi:type="dcterms:W3CDTF">2026-06-19T16:56:28Z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