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bookmarkStart w:id="81" w:name="X9900805bc52c5d47a2948efc714ea760623944a"/>
    <w:p>
      <w:pPr>
        <w:pStyle w:val="Heading1"/>
      </w:pPr>
      <w:r>
        <w:t xml:space="preserve">Literature Positioning Report for Hybrid Answer Lanes in Browser-Local Small-Model RAG</w:t>
      </w:r>
    </w:p>
    <w:bookmarkStart w:id="24" w:name="executive-summary"/>
    <w:p>
      <w:pPr>
        <w:pStyle w:val="Heading2"/>
      </w:pPr>
      <w:r>
        <w:t xml:space="preserve">Executive Summary</w:t>
      </w:r>
    </w:p>
    <w:p>
      <w:pPr>
        <w:pStyle w:val="FirstParagraph"/>
      </w:pPr>
      <w:r>
        <w:t xml:space="preserve">This memo evaluates whether</w:t>
      </w:r>
      <w:r>
        <w:t xml:space="preserve"> </w:t>
      </w:r>
      <w:r>
        <w:rPr>
          <w:b/>
          <w:bCs/>
        </w:rPr>
        <w:t xml:space="preserve">“hybrid answer lanes for browser-local small-model RAG”</w:t>
      </w:r>
      <w:r>
        <w:t xml:space="preserve"> </w:t>
      </w:r>
      <w:r>
        <w:t xml:space="preserve">is truly an independent paper idea, or whether it collapses into existing work on extractive QA, abstention, guardrails, model routing, or templating. The short answer is that the idea</w:t>
      </w:r>
      <w:r>
        <w:t xml:space="preserve"> </w:t>
      </w:r>
      <w:r>
        <w:rPr>
          <w:b/>
          <w:bCs/>
        </w:rPr>
        <w:t xml:space="preserve">survives</w:t>
      </w:r>
      <w:r>
        <w:t xml:space="preserve">, but only under a</w:t>
      </w:r>
      <w:r>
        <w:t xml:space="preserve"> </w:t>
      </w:r>
      <w:r>
        <w:rPr>
          <w:b/>
          <w:bCs/>
        </w:rPr>
        <w:t xml:space="preserve">narrower and more disciplined framing</w:t>
      </w:r>
      <w:r>
        <w:t xml:space="preserve"> </w:t>
      </w:r>
      <w:r>
        <w:t xml:space="preserve">than the current broad thesis suggests. The most defensible claim is not “we improve RAG in general,” and not “we solve grounding,” but rather:</w:t>
      </w:r>
      <w:r>
        <w:t xml:space="preserve"> </w:t>
      </w:r>
      <w:r>
        <w:rPr>
          <w:b/>
          <w:bCs/>
        </w:rPr>
        <w:t xml:space="preserve">in browser-local small-model RAG, some answer components should be treated as first-class non-generative outputs</w:t>
      </w:r>
      <w:r>
        <w:t xml:space="preserve"> </w:t>
      </w:r>
      <w:r>
        <w:t xml:space="preserve">and evaluated as such. That is where the literature is noticeably thinner.</w:t>
      </w:r>
      <w:r>
        <w:t xml:space="preserve"> </w:t>
      </w:r>
      <w:hyperlink r:id="rId21">
        <w:r>
          <w:rPr>
            <w:rStyle w:val="Hyperlink"/>
          </w:rPr>
          <w:t xml:space="preserve">[1]</w:t>
        </w:r>
      </w:hyperlink>
    </w:p>
    <w:p>
      <w:pPr>
        <w:pStyle w:val="BodyText"/>
      </w:pPr>
      <w:r>
        <w:rPr>
          <w:b/>
          <w:bCs/>
        </w:rPr>
        <w:t xml:space="preserve">Important scope note.</w:t>
      </w:r>
      <w:r>
        <w:t xml:space="preserve"> </w:t>
      </w:r>
      <w:r>
        <w:t xml:space="preserve">The repository documents named in the prompt were not attached or otherwise accessible in this environment, so this report treats the prompt text as the internal project specification and the papers, official documentation, and standards below as the external evidence base.</w:t>
      </w:r>
    </w:p>
    <w:p>
      <w:pPr>
        <w:pStyle w:val="BodyText"/>
      </w:pPr>
      <w:r>
        <w:rPr>
          <w:b/>
          <w:bCs/>
        </w:rPr>
        <w:t xml:space="preserve">Bottom-line novelty verdict.</w:t>
      </w:r>
      <w:r>
        <w:br/>
      </w:r>
      <w:r>
        <w:t xml:space="preserve">If framed as</w:t>
      </w:r>
      <w:r>
        <w:t xml:space="preserve"> </w:t>
      </w:r>
      <w:r>
        <w:rPr>
          <w:b/>
          <w:bCs/>
        </w:rPr>
        <w:t xml:space="preserve">“a new general method for RAG reliability”</w:t>
      </w:r>
      <w:r>
        <w:t xml:space="preserve">, the idea is weak and vulnerable: adjacent literatures already cover retrieval robustness, citation evaluation, abstention, constrained generation, and routing. If framed as</w:t>
      </w:r>
      <w:r>
        <w:t xml:space="preserve"> </w:t>
      </w:r>
      <w:r>
        <w:rPr>
          <w:b/>
          <w:bCs/>
        </w:rPr>
        <w:t xml:space="preserve">“execution-mode allocation in browser-local small-model RAG, with deterministic evidence-field rendering and deterministic insufficient-evidence refusal as first-class lanes”</w:t>
      </w:r>
      <w:r>
        <w:t xml:space="preserve">, it becomes a</w:t>
      </w:r>
      <w:r>
        <w:t xml:space="preserve"> </w:t>
      </w:r>
      <w:r>
        <w:rPr>
          <w:b/>
          <w:bCs/>
        </w:rPr>
        <w:t xml:space="preserve">moderately distinct systems/HCI/applied-IR paper idea</w:t>
      </w:r>
      <w:r>
        <w:t xml:space="preserve">. The most original part is not the presence of rules, but the claim that</w:t>
      </w:r>
      <w:r>
        <w:t xml:space="preserve"> </w:t>
      </w:r>
      <w:r>
        <w:rPr>
          <w:b/>
          <w:bCs/>
        </w:rPr>
        <w:t xml:space="preserve">non-generation is itself a measurable answer mode</w:t>
      </w:r>
      <w:r>
        <w:t xml:space="preserve"> </w:t>
      </w:r>
      <w:r>
        <w:t xml:space="preserve">and should sometimes be preferred to generation for exact, contract-bearing, provenance-bearing, or insufficiency-bearing outputs.</w:t>
      </w:r>
      <w:r>
        <w:t xml:space="preserve"> </w:t>
      </w:r>
      <w:hyperlink r:id="rId22">
        <w:r>
          <w:rPr>
            <w:rStyle w:val="Hyperlink"/>
          </w:rPr>
          <w:t xml:space="preserve">[2]</w:t>
        </w:r>
      </w:hyperlink>
    </w:p>
    <w:p>
      <w:pPr>
        <w:pStyle w:val="BodyText"/>
      </w:pPr>
      <w:r>
        <w:rPr>
          <w:b/>
          <w:bCs/>
        </w:rPr>
        <w:t xml:space="preserve">Recommended paper framing.</w:t>
      </w:r>
      <w:r>
        <w:br/>
      </w:r>
      <w:r>
        <w:t xml:space="preserve">The strongest framing is a hybrid of Framing A and Framing C from the prompt:</w:t>
      </w:r>
    </w:p>
    <w:p>
      <w:pPr>
        <w:pStyle w:val="BlockText"/>
      </w:pPr>
      <w:r>
        <w:rPr>
          <w:b/>
          <w:bCs/>
        </w:rPr>
        <w:t xml:space="preserve">Browser-local small-model RAG needs an execution policy for deciding what should not be generated.</w:t>
      </w:r>
      <w:r>
        <w:br/>
      </w:r>
      <w:r>
        <w:t xml:space="preserve">Small browser-local models should be reserved for bounded synthesis, while deterministic runtime logic should render exact evidence-bearing fields and issue deterministic insufficient-evidence refusals when the evidence contract does not support generation.</w:t>
      </w:r>
    </w:p>
    <w:p>
      <w:pPr>
        <w:pStyle w:val="FirstParagraph"/>
      </w:pPr>
      <w:r>
        <w:t xml:space="preserve">This is stronger than a pure “rights-aware archive RAG” framing because it generalizes across private data and rights-aware corpora, while still using rights/provenance metadata as the</w:t>
      </w:r>
      <w:r>
        <w:t xml:space="preserve"> </w:t>
      </w:r>
      <w:r>
        <w:rPr>
          <w:b/>
          <w:bCs/>
        </w:rPr>
        <w:t xml:space="preserve">stress-test domain</w:t>
      </w:r>
      <w:r>
        <w:t xml:space="preserve"> </w:t>
      </w:r>
      <w:r>
        <w:t xml:space="preserve">where generation is especially risky. It is also stronger than a generic HCI framing because it yields a concrete, testable RAG policy with measurable outputs and baselines.</w:t>
      </w:r>
      <w:r>
        <w:t xml:space="preserve"> </w:t>
      </w:r>
      <w:hyperlink r:id="rId21">
        <w:r>
          <w:rPr>
            <w:rStyle w:val="Hyperlink"/>
          </w:rPr>
          <w:t xml:space="preserve">[3]</w:t>
        </w:r>
      </w:hyperlink>
    </w:p>
    <w:p>
      <w:pPr>
        <w:pStyle w:val="BodyText"/>
      </w:pPr>
      <w:r>
        <w:rPr>
          <w:b/>
          <w:bCs/>
        </w:rPr>
        <w:t xml:space="preserve">What the paper should not claim.</w:t>
      </w:r>
      <w:r>
        <w:br/>
      </w:r>
      <w:r>
        <w:t xml:space="preserve">The paper should not claim a new retrieval algorithm, a new abstention model, a learned router, legal correctness of rights metadata, semantic correctness of deterministic outputs, or general superiority for cloud-scale RAG. Deterministic rendering can maximize</w:t>
      </w:r>
      <w:r>
        <w:t xml:space="preserve"> </w:t>
      </w:r>
      <w:r>
        <w:rPr>
          <w:b/>
          <w:bCs/>
        </w:rPr>
        <w:t xml:space="preserve">field fidelity to source metadata</w:t>
      </w:r>
      <w:r>
        <w:t xml:space="preserve">, but that is different from saying the metadata is legally or semantically correct. RightsStatements.org explicitly positions its statements as standardized summaries associated with digital objects, and Europeana’s EDM requires rights URIs and encourages per-resource rights assignment; neither source says deterministic replay guarantees legal truth.</w:t>
      </w:r>
      <w:r>
        <w:t xml:space="preserve"> </w:t>
      </w:r>
      <w:hyperlink r:id="rId23">
        <w:r>
          <w:rPr>
            <w:rStyle w:val="Hyperlink"/>
          </w:rPr>
          <w:t xml:space="preserve">[4]</w:t>
        </w:r>
      </w:hyperlink>
    </w:p>
    <w:bookmarkEnd w:id="24"/>
    <w:bookmarkStart w:id="34" w:name="literature-map-by-category"/>
    <w:p>
      <w:pPr>
        <w:pStyle w:val="Heading2"/>
      </w:pPr>
      <w:r>
        <w:t xml:space="preserve">Literature Map by Category</w:t>
      </w:r>
    </w:p>
    <w:p>
      <w:pPr>
        <w:pStyle w:val="FirstParagraph"/>
      </w:pPr>
      <w:r>
        <w:rPr>
          <w:b/>
          <w:bCs/>
        </w:rPr>
        <w:t xml:space="preserve">Browser-local LLM inference.</w:t>
      </w:r>
      <w:r>
        <w:br/>
      </w:r>
      <w:r>
        <w:t xml:space="preserve">WebLLM is now a strong anchor source: it establishes that high-performance LLM inference can run entirely inside web browsers, using WebGPU for local GPU acceleration and WebAssembly for CPU computation, with up to 80% of native performance on the same device. Official WebLLM documentation and repository materials emphasize in-browser execution, no server dependence, privacy, and an OpenAI-style API surface. Google’s on-device Web LLM Inference guide similarly shows that fully on-device generative inference for Web apps is now a supported design point. What these sources do</w:t>
      </w:r>
      <w:r>
        <w:t xml:space="preserve"> </w:t>
      </w:r>
      <w:r>
        <w:rPr>
          <w:b/>
          <w:bCs/>
        </w:rPr>
        <w:t xml:space="preserve">not</w:t>
      </w:r>
      <w:r>
        <w:t xml:space="preserve"> </w:t>
      </w:r>
      <w:r>
        <w:t xml:space="preserve">foreground is answer-level allocation or explicit decisions not to generate. Their contribution is feasibility, performance, portability, and privacy, not output-lane policy.</w:t>
      </w:r>
      <w:r>
        <w:t xml:space="preserve"> </w:t>
      </w:r>
      <w:hyperlink r:id="rId21">
        <w:r>
          <w:rPr>
            <w:rStyle w:val="Hyperlink"/>
          </w:rPr>
          <w:t xml:space="preserve">[5]</w:t>
        </w:r>
      </w:hyperlink>
    </w:p>
    <w:p>
      <w:pPr>
        <w:pStyle w:val="BodyText"/>
      </w:pPr>
      <w:r>
        <w:rPr>
          <w:b/>
          <w:bCs/>
        </w:rPr>
        <w:t xml:space="preserve">Browser-local retrieval and private RAG.</w:t>
      </w:r>
      <w:r>
        <w:br/>
      </w:r>
      <w:r>
        <w:t xml:space="preserve">MeMemo is the clearest primary source here. It introduces client-side dense retrieval in the browser, using IndexedDB and Web Workers to support scalable vector search for private and personalized text generation. Its project page and paper frame the motivation as privacy-preserving, personalized, on-device RAG. This is adjacent and important, but it still treats retrieval augmentation as support for text generation, not as a reason to create separate deterministic versus generative answer lanes. The closest adjacent system I found conceptually is</w:t>
      </w:r>
      <w:r>
        <w:t xml:space="preserve"> </w:t>
      </w:r>
      <w:r>
        <w:rPr>
          <w:i/>
          <w:iCs/>
        </w:rPr>
        <w:t xml:space="preserve">In-Browser Agents for Search Assistance</w:t>
      </w:r>
      <w:r>
        <w:t xml:space="preserve">, which combines a local probabilistic model with an in-browser small language model and explicitly refrains from generating suggestions in some states. That is a real nearby literature signal, but it is about</w:t>
      </w:r>
      <w:r>
        <w:t xml:space="preserve"> </w:t>
      </w:r>
      <w:r>
        <w:rPr>
          <w:b/>
          <w:bCs/>
        </w:rPr>
        <w:t xml:space="preserve">proactive search assistance</w:t>
      </w:r>
      <w:r>
        <w:t xml:space="preserve">, not</w:t>
      </w:r>
      <w:r>
        <w:t xml:space="preserve"> </w:t>
      </w:r>
      <w:r>
        <w:rPr>
          <w:b/>
          <w:bCs/>
        </w:rPr>
        <w:t xml:space="preserve">RAG answer execution policies over exact metadata, refusal, and compound outputs</w:t>
      </w:r>
      <w:r>
        <w:t xml:space="preserve">.</w:t>
      </w:r>
      <w:r>
        <w:t xml:space="preserve"> </w:t>
      </w:r>
      <w:hyperlink r:id="rId25">
        <w:r>
          <w:rPr>
            <w:rStyle w:val="Hyperlink"/>
          </w:rPr>
          <w:t xml:space="preserve">[6]</w:t>
        </w:r>
      </w:hyperlink>
    </w:p>
    <w:p>
      <w:pPr>
        <w:pStyle w:val="BodyText"/>
      </w:pPr>
      <w:r>
        <w:rPr>
          <w:b/>
          <w:bCs/>
        </w:rPr>
        <w:t xml:space="preserve">Grounding, attribution, citation faithfulness, provenance.</w:t>
      </w:r>
      <w:r>
        <w:br/>
      </w:r>
      <w:r>
        <w:t xml:space="preserve">The AIS framework argues that externally grounded generation should be verifiable against identified sources. ALCE turns that into benchmarkable citation evaluation, measuring fluency, correctness, and citation quality for generated answers with citations. Self-RAG and CRAG adapt retrieval behavior and critique mechanisms to improve generated responses; Self-RAG can skip retrieval and CRAG can correct poor retrieval, but both remain fundamentally</w:t>
      </w:r>
      <w:r>
        <w:t xml:space="preserve"> </w:t>
      </w:r>
      <w:r>
        <w:rPr>
          <w:b/>
          <w:bCs/>
        </w:rPr>
        <w:t xml:space="preserve">generation-centric</w:t>
      </w:r>
      <w:r>
        <w:t xml:space="preserve">. Recent work on RAG attribution has also sharpened the distinction between correctness and citation faithfulness. Across this cluster, the answer is still assumed to be something the model primarily</w:t>
      </w:r>
      <w:r>
        <w:t xml:space="preserve"> </w:t>
      </w:r>
      <w:r>
        <w:rPr>
          <w:b/>
          <w:bCs/>
        </w:rPr>
        <w:t xml:space="preserve">writes</w:t>
      </w:r>
      <w:r>
        <w:t xml:space="preserve">; the core question is whether the writing is well grounded. That is adjacent, but it is meaningfully different from the question in this project:</w:t>
      </w:r>
      <w:r>
        <w:t xml:space="preserve"> </w:t>
      </w:r>
      <w:r>
        <w:rPr>
          <w:b/>
          <w:bCs/>
        </w:rPr>
        <w:t xml:space="preserve">when should the system avoid generation entirely and instead render evidence fields or refuse deterministically?</w:t>
      </w:r>
      <w:r>
        <w:t xml:space="preserve"> </w:t>
      </w:r>
      <w:hyperlink r:id="rId26">
        <w:r>
          <w:rPr>
            <w:rStyle w:val="Hyperlink"/>
          </w:rPr>
          <w:t xml:space="preserve">[7]</w:t>
        </w:r>
      </w:hyperlink>
    </w:p>
    <w:p>
      <w:pPr>
        <w:pStyle w:val="BodyText"/>
      </w:pPr>
      <w:r>
        <w:rPr>
          <w:b/>
          <w:bCs/>
        </w:rPr>
        <w:t xml:space="preserve">RAG abstention, refusal, and evidence sufficiency.</w:t>
      </w:r>
      <w:r>
        <w:br/>
      </w:r>
      <w:r>
        <w:t xml:space="preserve">This is one of the densest adjacent literatures.</w:t>
      </w:r>
      <w:r>
        <w:t xml:space="preserve"> </w:t>
      </w:r>
      <w:r>
        <w:rPr>
          <w:i/>
          <w:iCs/>
        </w:rPr>
        <w:t xml:space="preserve">Sufficient Context</w:t>
      </w:r>
      <w:r>
        <w:t xml:space="preserve"> </w:t>
      </w:r>
      <w:r>
        <w:t xml:space="preserve">shows that context sufficiency is a distinct variable in RAG and proposes selective generation guided by sufficiency signals, improving the fraction of correct answers among answered cases.</w:t>
      </w:r>
      <w:r>
        <w:t xml:space="preserve"> </w:t>
      </w:r>
      <w:r>
        <w:rPr>
          <w:i/>
          <w:iCs/>
        </w:rPr>
        <w:t xml:space="preserve">Characterizing LLM Abstention Behavior in Science QA with Context Perturbations</w:t>
      </w:r>
      <w:r>
        <w:t xml:space="preserve"> </w:t>
      </w:r>
      <w:r>
        <w:t xml:space="preserve">shows that abstention behavior varies strongly by model and question type and is surprisingly sensitive to irrelevant context.</w:t>
      </w:r>
      <w:r>
        <w:t xml:space="preserve"> </w:t>
      </w:r>
      <w:r>
        <w:rPr>
          <w:i/>
          <w:iCs/>
        </w:rPr>
        <w:t xml:space="preserve">Do Retrieval-Augmented Language Models Know When They Don’t Know?</w:t>
      </w:r>
      <w:r>
        <w:t xml:space="preserve"> </w:t>
      </w:r>
      <w:r>
        <w:t xml:space="preserve">adds an especially relevant warning: retrieval-augmented models can exhibit</w:t>
      </w:r>
      <w:r>
        <w:t xml:space="preserve"> </w:t>
      </w:r>
      <w:r>
        <w:rPr>
          <w:b/>
          <w:bCs/>
        </w:rPr>
        <w:t xml:space="preserve">over-refusal</w:t>
      </w:r>
      <w:r>
        <w:t xml:space="preserve">, and mitigation of over-refusal does not automatically imply better calibration or accuracy. This literature strongly supports one lane in the proposed paper — deterministic insufficient-evidence refusal — but it does</w:t>
      </w:r>
      <w:r>
        <w:t xml:space="preserve"> </w:t>
      </w:r>
      <w:r>
        <w:rPr>
          <w:b/>
          <w:bCs/>
        </w:rPr>
        <w:t xml:space="preserve">not</w:t>
      </w:r>
      <w:r>
        <w:t xml:space="preserve"> </w:t>
      </w:r>
      <w:r>
        <w:t xml:space="preserve">by itself cover exact evidence-field rendering or compound deterministic-plus-generative answers as coequal answer modes.</w:t>
      </w:r>
      <w:r>
        <w:t xml:space="preserve"> </w:t>
      </w:r>
      <w:hyperlink r:id="rId22">
        <w:r>
          <w:rPr>
            <w:rStyle w:val="Hyperlink"/>
          </w:rPr>
          <w:t xml:space="preserve">[8]</w:t>
        </w:r>
      </w:hyperlink>
    </w:p>
    <w:p>
      <w:pPr>
        <w:pStyle w:val="BodyText"/>
      </w:pPr>
      <w:r>
        <w:rPr>
          <w:b/>
          <w:bCs/>
        </w:rPr>
        <w:t xml:space="preserve">Extractive QA, span selection, table QA, and metadata rendering.</w:t>
      </w:r>
      <w:r>
        <w:br/>
      </w:r>
      <w:r>
        <w:t xml:space="preserve">SQuAD defines reading comprehension where the answer is a text span from a passage. WikiTableQuestions and related semantic-parsing work ask questions over semi-structured tables. TAPAS predicts denotations by selecting cells and optional aggregation operators. HybridQA and OTT-QA combine text and tables. These sources make the reviewer objection “this is just extractive QA” very plausible. But they also clarify the distinction. Extractive QA and table QA are primarily about</w:t>
      </w:r>
      <w:r>
        <w:t xml:space="preserve"> </w:t>
      </w:r>
      <w:r>
        <w:rPr>
          <w:b/>
          <w:bCs/>
        </w:rPr>
        <w:t xml:space="preserve">learning to recover an answer from semi-structured evidence</w:t>
      </w:r>
      <w:r>
        <w:t xml:space="preserve">. The proposed project, as described in the prompt, is not a learned span or cell-selection model. It is a</w:t>
      </w:r>
      <w:r>
        <w:t xml:space="preserve"> </w:t>
      </w:r>
      <w:r>
        <w:rPr>
          <w:b/>
          <w:bCs/>
        </w:rPr>
        <w:t xml:space="preserve">policy over execution modes</w:t>
      </w:r>
      <w:r>
        <w:t xml:space="preserve"> </w:t>
      </w:r>
      <w:r>
        <w:t xml:space="preserve">conditioned on query intent and evidence state. ToTTo is also useful here: even controlled table-to-text generation still hallucinates unsupported phrasing, which supports the narrower argument that some exact fields should be rendered rather than paraphrased.</w:t>
      </w:r>
      <w:r>
        <w:t xml:space="preserve"> </w:t>
      </w:r>
      <w:hyperlink r:id="rId27">
        <w:r>
          <w:rPr>
            <w:rStyle w:val="Hyperlink"/>
          </w:rPr>
          <w:t xml:space="preserve">[9]</w:t>
        </w:r>
      </w:hyperlink>
    </w:p>
    <w:p>
      <w:pPr>
        <w:pStyle w:val="BodyText"/>
      </w:pPr>
      <w:r>
        <w:rPr>
          <w:b/>
          <w:bCs/>
        </w:rPr>
        <w:t xml:space="preserve">Guardrails, structured generation, and neuro-symbolic systems.</w:t>
      </w:r>
      <w:r>
        <w:br/>
      </w:r>
      <w:r>
        <w:t xml:space="preserve">MRKL, LMQL, SGLang, and NeMo Guardrails collectively show that language-model applications are already widely decomposed into modular, constrained, or routed workflows. NeMo Guardrails is especially relevant because its official docs explicitly recognize input, retrieval, dialog, execution, and output rails, and its runtime intercepts inputs and outputs and can block or modify content based on policies. This makes the reviewer objection “this is just guardrails” highly plausible. The project survives that objection only if it is careful: guardrails mostly treat non-generation as a</w:t>
      </w:r>
      <w:r>
        <w:t xml:space="preserve"> </w:t>
      </w:r>
      <w:r>
        <w:rPr>
          <w:b/>
          <w:bCs/>
        </w:rPr>
        <w:t xml:space="preserve">control mechanism around LLM behavior</w:t>
      </w:r>
      <w:r>
        <w:t xml:space="preserve">; the proposed paper must instead treat non-generation as a</w:t>
      </w:r>
      <w:r>
        <w:t xml:space="preserve"> </w:t>
      </w:r>
      <w:r>
        <w:rPr>
          <w:b/>
          <w:bCs/>
        </w:rPr>
        <w:t xml:space="preserve">first-class answer mode with its own evaluation</w:t>
      </w:r>
      <w:r>
        <w:t xml:space="preserve">, especially fidelity-to-evidence and latency accounting.</w:t>
      </w:r>
      <w:r>
        <w:t xml:space="preserve"> </w:t>
      </w:r>
      <w:hyperlink r:id="rId28">
        <w:r>
          <w:rPr>
            <w:rStyle w:val="Hyperlink"/>
          </w:rPr>
          <w:t xml:space="preserve">[10]</w:t>
        </w:r>
      </w:hyperlink>
    </w:p>
    <w:p>
      <w:pPr>
        <w:pStyle w:val="BodyText"/>
      </w:pPr>
      <w:r>
        <w:rPr>
          <w:b/>
          <w:bCs/>
        </w:rPr>
        <w:t xml:space="preserve">Model routing, cascades, and cost-aware AI systems.</w:t>
      </w:r>
      <w:r>
        <w:br/>
      </w:r>
      <w:r>
        <w:t xml:space="preserve">FrugalGPT, RouteLLM, and Hybrid LLM all study how to route queries across different models to optimize quality, cost, or latency. xRouter goes further by allowing a learned router either to answer directly or invoke one or more external models. This means the general idea of “don’t always call the big model” is already covered. What is not well covered is</w:t>
      </w:r>
      <w:r>
        <w:t xml:space="preserve"> </w:t>
      </w:r>
      <w:r>
        <w:rPr>
          <w:b/>
          <w:bCs/>
        </w:rPr>
        <w:t xml:space="preserve">routing between answer execution modes</w:t>
      </w:r>
      <w:r>
        <w:t xml:space="preserve"> </w:t>
      </w:r>
      <w:r>
        <w:t xml:space="preserve">where the alternatives are not “model A versus model B,” but rather “deterministic evidence rendering versus deterministic refusal versus bounded local generation versus a compound answer.” That reframing — from</w:t>
      </w:r>
      <w:r>
        <w:t xml:space="preserve"> </w:t>
      </w:r>
      <w:r>
        <w:rPr>
          <w:b/>
          <w:bCs/>
        </w:rPr>
        <w:t xml:space="preserve">model routing</w:t>
      </w:r>
      <w:r>
        <w:t xml:space="preserve"> </w:t>
      </w:r>
      <w:r>
        <w:t xml:space="preserve">to</w:t>
      </w:r>
      <w:r>
        <w:t xml:space="preserve"> </w:t>
      </w:r>
      <w:r>
        <w:rPr>
          <w:b/>
          <w:bCs/>
        </w:rPr>
        <w:t xml:space="preserve">execution-mode routing</w:t>
      </w:r>
      <w:r>
        <w:t xml:space="preserve"> </w:t>
      </w:r>
      <w:r>
        <w:t xml:space="preserve">— is probably the cleanest way to separate the paper from this cluster.</w:t>
      </w:r>
      <w:r>
        <w:t xml:space="preserve"> </w:t>
      </w:r>
      <w:hyperlink r:id="rId29">
        <w:r>
          <w:rPr>
            <w:rStyle w:val="Hyperlink"/>
          </w:rPr>
          <w:t xml:space="preserve">[11]</w:t>
        </w:r>
      </w:hyperlink>
    </w:p>
    <w:p>
      <w:pPr>
        <w:pStyle w:val="BodyText"/>
      </w:pPr>
      <w:r>
        <w:rPr>
          <w:b/>
          <w:bCs/>
        </w:rPr>
        <w:t xml:space="preserve">UI/runtime-mediated AI and mixed initiative.</w:t>
      </w:r>
      <w:r>
        <w:br/>
      </w:r>
      <w:r>
        <w:t xml:space="preserve">Horvitz’s mixed-initiative principles explicitly argue for coupling automation with direct manipulation rather than assuming one monolithic automated agent. Microsoft’s Human-AI Interaction Guidelines argue for systems that manage expectations, support graceful failure, and behave appropriately when wrong. AI Chains shows that chaining and exposing intermediate steps can improve transparency, controllability, and perceived collaboration. The trust-in-automation literature adds the key design target:</w:t>
      </w:r>
      <w:r>
        <w:t xml:space="preserve"> </w:t>
      </w:r>
      <w:r>
        <w:rPr>
          <w:b/>
          <w:bCs/>
        </w:rPr>
        <w:t xml:space="preserve">appropriate reliance</w:t>
      </w:r>
      <w:r>
        <w:t xml:space="preserve">. This cluster is very useful for justifying the idea that an answer need not be “a single model string.” It also gives cover for compound answers that visibly combine deterministic and generative parts. The gap is that HCI literature does not usually give a RAG-specific answer-lane taxonomy or fidelity metric. That is where this project can contribute if it is empirical and disciplined.</w:t>
      </w:r>
      <w:r>
        <w:t xml:space="preserve"> </w:t>
      </w:r>
      <w:hyperlink r:id="rId30">
        <w:r>
          <w:rPr>
            <w:rStyle w:val="Hyperlink"/>
          </w:rPr>
          <w:t xml:space="preserve">[12]</w:t>
        </w:r>
      </w:hyperlink>
    </w:p>
    <w:p>
      <w:pPr>
        <w:pStyle w:val="BodyText"/>
      </w:pPr>
      <w:r>
        <w:rPr>
          <w:b/>
          <w:bCs/>
        </w:rPr>
        <w:t xml:space="preserve">Latency accounting.</w:t>
      </w:r>
      <w:r>
        <w:br/>
      </w:r>
      <w:r>
        <w:t xml:space="preserve">Serving papers already separate prefill and decode, and DistServe explicitly centers TTFT and TPOT as separate latency objectives. vLLM/PagedAttention likewise frames quality-preserving throughput gains against latency. Browser-side inference papers add another relevant fact: model loading and warm-up can dominate user-visible delay, and QoE for in-browser inference needs metrics beyond page load time. These sources support the paper’s instinct to distinguish model-generation latency from broader system latency, but the terminology in the prompt — for example, “qwen_generation_latency versus hybrid_system_latency” — is not standard literature vocabulary. The safe move is to align with existing metrics and define any new paper terms as</w:t>
      </w:r>
      <w:r>
        <w:t xml:space="preserve"> </w:t>
      </w:r>
      <w:r>
        <w:rPr>
          <w:b/>
          <w:bCs/>
        </w:rPr>
        <w:t xml:space="preserve">reporting conventions</w:t>
      </w:r>
      <w:r>
        <w:t xml:space="preserve">, not contributions in themselves.</w:t>
      </w:r>
      <w:r>
        <w:t xml:space="preserve"> </w:t>
      </w:r>
      <w:hyperlink r:id="rId31">
        <w:r>
          <w:rPr>
            <w:rStyle w:val="Hyperlink"/>
          </w:rPr>
          <w:t xml:space="preserve">[13]</w:t>
        </w:r>
      </w:hyperlink>
    </w:p>
    <w:p>
      <w:pPr>
        <w:pStyle w:val="BodyText"/>
      </w:pPr>
      <w:r>
        <w:rPr>
          <w:b/>
          <w:bCs/>
        </w:rPr>
        <w:t xml:space="preserve">Rights-aware archives and cultural heritage metadata.</w:t>
      </w:r>
      <w:r>
        <w:br/>
      </w:r>
      <w:r>
        <w:t xml:space="preserve">This is where the idea becomes most concrete. RightsStatements.org provides standardized rights statements with unique URIs and recommends storing those URIs in metadata fields such as</w:t>
      </w:r>
      <w:r>
        <w:t xml:space="preserve"> </w:t>
      </w:r>
      <w:r>
        <w:rPr>
          <w:rStyle w:val="VerbatimChar"/>
        </w:rPr>
        <w:t xml:space="preserve">dc:rights</w:t>
      </w:r>
      <w:r>
        <w:t xml:space="preserve"> </w:t>
      </w:r>
      <w:r>
        <w:t xml:space="preserve">or</w:t>
      </w:r>
      <w:r>
        <w:t xml:space="preserve"> </w:t>
      </w:r>
      <w:r>
        <w:rPr>
          <w:rStyle w:val="VerbatimChar"/>
        </w:rPr>
        <w:t xml:space="preserve">edm:rights</w:t>
      </w:r>
      <w:r>
        <w:t xml:space="preserve">, while displaying the statement name and link near the object; it explicitly discourages modified or partial renderings. Europeana’s Publishing Framework treats rights statements, direct links, display, and metadata quality as part of how objects can be surfaced and reused. Europeana’s EDM Mapping Guidelines make</w:t>
      </w:r>
      <w:r>
        <w:t xml:space="preserve"> </w:t>
      </w:r>
      <w:r>
        <w:rPr>
          <w:rStyle w:val="VerbatimChar"/>
        </w:rPr>
        <w:t xml:space="preserve">edm:rights</w:t>
      </w:r>
      <w:r>
        <w:t xml:space="preserve"> </w:t>
      </w:r>
      <w:r>
        <w:t xml:space="preserve">mandatory at the aggregation level, specify that the value should be a URI from the allowed rights statements, and encourage separate rights statements for individual web resources when rights differ by representation. Europeana’s rights extensions further show that different views can carry different rights statements and even expiry dates. This cluster gives the strongest external justification for the claim that some archive-facing answers are best treated as</w:t>
      </w:r>
      <w:r>
        <w:t xml:space="preserve"> </w:t>
      </w:r>
      <w:r>
        <w:rPr>
          <w:b/>
          <w:bCs/>
        </w:rPr>
        <w:t xml:space="preserve">exact evidence-bearing fields</w:t>
      </w:r>
      <w:r>
        <w:t xml:space="preserve">, not generated paraphrases. But again, the claim must be</w:t>
      </w:r>
      <w:r>
        <w:t xml:space="preserve"> </w:t>
      </w:r>
      <w:r>
        <w:rPr>
          <w:b/>
          <w:bCs/>
        </w:rPr>
        <w:t xml:space="preserve">fidelity to source fields</w:t>
      </w:r>
      <w:r>
        <w:t xml:space="preserve">, not legal correctness.</w:t>
      </w:r>
      <w:r>
        <w:t xml:space="preserve"> </w:t>
      </w:r>
      <w:hyperlink r:id="rId32">
        <w:r>
          <w:rPr>
            <w:rStyle w:val="Hyperlink"/>
          </w:rPr>
          <w:t xml:space="preserve">[14]</w:t>
        </w:r>
      </w:hyperlink>
    </w:p>
    <w:p>
      <w:pPr>
        <w:pStyle w:val="BodyText"/>
      </w:pPr>
      <w:r>
        <w:rPr>
          <w:b/>
          <w:bCs/>
        </w:rPr>
        <w:t xml:space="preserve">Compressed source matrix.</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Source cluster</w:t>
            </w:r>
          </w:p>
        </w:tc>
        <w:tc>
          <w:tcPr/>
          <w:p>
            <w:pPr>
              <w:pStyle w:val="Compact"/>
            </w:pPr>
            <w:r>
              <w:t xml:space="preserve">What it studies</w:t>
            </w:r>
          </w:p>
        </w:tc>
        <w:tc>
          <w:tcPr/>
          <w:p>
            <w:pPr>
              <w:pStyle w:val="Compact"/>
            </w:pPr>
            <w:r>
              <w:t xml:space="preserve">Unit of control</w:t>
            </w:r>
          </w:p>
        </w:tc>
        <w:tc>
          <w:tcPr/>
          <w:p>
            <w:pPr>
              <w:pStyle w:val="Compact"/>
            </w:pPr>
            <w:r>
              <w:t xml:space="preserve">What is routed or constrained</w:t>
            </w:r>
          </w:p>
        </w:tc>
        <w:tc>
          <w:tcPr/>
          <w:p>
            <w:pPr>
              <w:pStyle w:val="Compact"/>
            </w:pPr>
            <w:r>
              <w:t xml:space="preserve">Assumes generated answer?</w:t>
            </w:r>
          </w:p>
        </w:tc>
        <w:tc>
          <w:tcPr/>
          <w:p>
            <w:pPr>
              <w:pStyle w:val="Compact"/>
            </w:pPr>
            <w:r>
              <w:t xml:space="preserve">Deterministic rendering?</w:t>
            </w:r>
          </w:p>
        </w:tc>
        <w:tc>
          <w:tcPr/>
          <w:p>
            <w:pPr>
              <w:pStyle w:val="Compact"/>
            </w:pPr>
            <w:r>
              <w:t xml:space="preserve">Deterministic refusal?</w:t>
            </w:r>
          </w:p>
        </w:tc>
        <w:tc>
          <w:tcPr/>
          <w:p>
            <w:pPr>
              <w:pStyle w:val="Compact"/>
            </w:pPr>
            <w:r>
              <w:t xml:space="preserve">Compound answers?</w:t>
            </w:r>
          </w:p>
        </w:tc>
        <w:tc>
          <w:tcPr/>
          <w:p>
            <w:pPr>
              <w:pStyle w:val="Compact"/>
            </w:pPr>
            <w:r>
              <w:t xml:space="preserve">Browser-local?</w:t>
            </w:r>
          </w:p>
        </w:tc>
        <w:tc>
          <w:tcPr/>
          <w:p>
            <w:pPr>
              <w:pStyle w:val="Compact"/>
            </w:pPr>
            <w:r>
              <w:t xml:space="preserve">Rights/provenance fields?</w:t>
            </w:r>
          </w:p>
        </w:tc>
        <w:tc>
          <w:tcPr/>
          <w:p>
            <w:pPr>
              <w:pStyle w:val="Compact"/>
            </w:pPr>
            <w:r>
              <w:t xml:space="preserve">Separate generation vs non-generation latency?</w:t>
            </w:r>
          </w:p>
        </w:tc>
        <w:tc>
          <w:tcPr/>
          <w:p>
            <w:pPr>
              <w:pStyle w:val="Compact"/>
            </w:pPr>
            <w:r>
              <w:t xml:space="preserve">Why adjacent</w:t>
            </w:r>
          </w:p>
        </w:tc>
        <w:tc>
          <w:tcPr/>
          <w:p>
            <w:pPr>
              <w:pStyle w:val="Compact"/>
            </w:pPr>
            <w:r>
              <w:t xml:space="preserve">Why this project is still distinct</w:t>
            </w:r>
          </w:p>
        </w:tc>
      </w:tr>
      <w:tr>
        <w:tc>
          <w:tcPr/>
          <w:p>
            <w:pPr>
              <w:pStyle w:val="Compact"/>
            </w:pPr>
            <w:r>
              <w:t xml:space="preserve">Browser-local inference</w:t>
            </w:r>
            <w:r>
              <w:t xml:space="preserve"> </w:t>
            </w:r>
            <w:hyperlink r:id="rId21">
              <w:r>
                <w:rPr>
                  <w:rStyle w:val="Hyperlink"/>
                </w:rPr>
                <w:t xml:space="preserve">[15]</w:t>
              </w:r>
            </w:hyperlink>
          </w:p>
        </w:tc>
        <w:tc>
          <w:tcPr/>
          <w:p>
            <w:pPr>
              <w:pStyle w:val="Compact"/>
            </w:pPr>
            <w:r>
              <w:t xml:space="preserve">In-browser feasibility, performance, privacy</w:t>
            </w:r>
          </w:p>
        </w:tc>
        <w:tc>
          <w:tcPr/>
          <w:p>
            <w:pPr>
              <w:pStyle w:val="Compact"/>
            </w:pPr>
            <w:r>
              <w:t xml:space="preserve">Runtime / compiler / deployment stack</w:t>
            </w:r>
          </w:p>
        </w:tc>
        <w:tc>
          <w:tcPr/>
          <w:p>
            <w:pPr>
              <w:pStyle w:val="Compact"/>
            </w:pPr>
            <w:r>
              <w:t xml:space="preserve">Compute kernels, workers, model execution</w:t>
            </w:r>
          </w:p>
        </w:tc>
        <w:tc>
          <w:tcPr/>
          <w:p>
            <w:pPr>
              <w:pStyle w:val="Compact"/>
            </w:pPr>
            <w:r>
              <w:t xml:space="preserve">Yes, primarily</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Partly</w:t>
            </w:r>
          </w:p>
        </w:tc>
        <w:tc>
          <w:tcPr/>
          <w:p>
            <w:pPr>
              <w:pStyle w:val="Compact"/>
            </w:pPr>
            <w:r>
              <w:t xml:space="preserve">Establishes feasibility of local LLMs</w:t>
            </w:r>
          </w:p>
        </w:tc>
        <w:tc>
          <w:tcPr/>
          <w:p>
            <w:pPr>
              <w:pStyle w:val="Compact"/>
            </w:pPr>
            <w:r>
              <w:t xml:space="preserve">Does not decide when not to generate</w:t>
            </w:r>
          </w:p>
        </w:tc>
      </w:tr>
      <w:tr>
        <w:tc>
          <w:tcPr/>
          <w:p>
            <w:pPr>
              <w:pStyle w:val="Compact"/>
            </w:pPr>
            <w:r>
              <w:t xml:space="preserve">Browser-local retrieval / private RAG</w:t>
            </w:r>
            <w:r>
              <w:t xml:space="preserve"> </w:t>
            </w:r>
            <w:hyperlink r:id="rId25">
              <w:r>
                <w:rPr>
                  <w:rStyle w:val="Hyperlink"/>
                </w:rPr>
                <w:t xml:space="preserve">[16]</w:t>
              </w:r>
            </w:hyperlink>
          </w:p>
        </w:tc>
        <w:tc>
          <w:tcPr/>
          <w:p>
            <w:pPr>
              <w:pStyle w:val="Compact"/>
            </w:pPr>
            <w:r>
              <w:t xml:space="preserve">Local vector search, private personalization, client-side assistance</w:t>
            </w:r>
          </w:p>
        </w:tc>
        <w:tc>
          <w:tcPr/>
          <w:p>
            <w:pPr>
              <w:pStyle w:val="Compact"/>
            </w:pPr>
            <w:r>
              <w:t xml:space="preserve">Retrieval engine / assistant architecture</w:t>
            </w:r>
          </w:p>
        </w:tc>
        <w:tc>
          <w:tcPr/>
          <w:p>
            <w:pPr>
              <w:pStyle w:val="Compact"/>
            </w:pPr>
            <w:r>
              <w:t xml:space="preserve">Retrieval, personalization, advice generation</w:t>
            </w:r>
          </w:p>
        </w:tc>
        <w:tc>
          <w:tcPr/>
          <w:p>
            <w:pPr>
              <w:pStyle w:val="Compact"/>
            </w:pPr>
            <w:r>
              <w:t xml:space="preserve">Yes, primarily</w:t>
            </w:r>
          </w:p>
        </w:tc>
        <w:tc>
          <w:tcPr/>
          <w:p>
            <w:pPr>
              <w:pStyle w:val="Compact"/>
            </w:pPr>
            <w:r>
              <w:t xml:space="preserve">No</w:t>
            </w:r>
          </w:p>
        </w:tc>
        <w:tc>
          <w:tcPr/>
          <w:p>
            <w:pPr>
              <w:pStyle w:val="Compact"/>
            </w:pPr>
            <w:r>
              <w:t xml:space="preserve">Partial</w:t>
            </w:r>
          </w:p>
        </w:tc>
        <w:tc>
          <w:tcPr/>
          <w:p>
            <w:pPr>
              <w:pStyle w:val="Compact"/>
            </w:pPr>
            <w:r>
              <w:t xml:space="preserve">Partial</w:t>
            </w:r>
          </w:p>
        </w:tc>
        <w:tc>
          <w:tcPr/>
          <w:p>
            <w:pPr>
              <w:pStyle w:val="Compact"/>
            </w:pPr>
            <w:r>
              <w:t xml:space="preserve">Yes</w:t>
            </w:r>
          </w:p>
        </w:tc>
        <w:tc>
          <w:tcPr/>
          <w:p>
            <w:pPr>
              <w:pStyle w:val="Compact"/>
            </w:pPr>
            <w:r>
              <w:t xml:space="preserve">No</w:t>
            </w:r>
          </w:p>
        </w:tc>
        <w:tc>
          <w:tcPr/>
          <w:p>
            <w:pPr>
              <w:pStyle w:val="Compact"/>
            </w:pPr>
            <w:r>
              <w:t xml:space="preserve">Limited</w:t>
            </w:r>
          </w:p>
        </w:tc>
        <w:tc>
          <w:tcPr/>
          <w:p>
            <w:pPr>
              <w:pStyle w:val="Compact"/>
            </w:pPr>
            <w:r>
              <w:t xml:space="preserve">Closest client-side RAG neighbor</w:t>
            </w:r>
          </w:p>
        </w:tc>
        <w:tc>
          <w:tcPr/>
          <w:p>
            <w:pPr>
              <w:pStyle w:val="Compact"/>
            </w:pPr>
            <w:r>
              <w:t xml:space="preserve">Still not a four-lane answer policy</w:t>
            </w:r>
          </w:p>
        </w:tc>
      </w:tr>
      <w:tr>
        <w:tc>
          <w:tcPr/>
          <w:p>
            <w:pPr>
              <w:pStyle w:val="Compact"/>
            </w:pPr>
            <w:r>
              <w:t xml:space="preserve">Grounding / citations / provenance</w:t>
            </w:r>
            <w:r>
              <w:t xml:space="preserve"> </w:t>
            </w:r>
            <w:hyperlink r:id="rId26">
              <w:r>
                <w:rPr>
                  <w:rStyle w:val="Hyperlink"/>
                </w:rPr>
                <w:t xml:space="preserve">[17]</w:t>
              </w:r>
            </w:hyperlink>
          </w:p>
        </w:tc>
        <w:tc>
          <w:tcPr/>
          <w:p>
            <w:pPr>
              <w:pStyle w:val="Compact"/>
            </w:pPr>
            <w:r>
              <w:t xml:space="preserve">Faithfulness, citations, attributable generation</w:t>
            </w:r>
          </w:p>
        </w:tc>
        <w:tc>
          <w:tcPr/>
          <w:p>
            <w:pPr>
              <w:pStyle w:val="Compact"/>
            </w:pPr>
            <w:r>
              <w:t xml:space="preserve">Model behavior / evaluation</w:t>
            </w:r>
          </w:p>
        </w:tc>
        <w:tc>
          <w:tcPr/>
          <w:p>
            <w:pPr>
              <w:pStyle w:val="Compact"/>
            </w:pPr>
            <w:r>
              <w:t xml:space="preserve">Retrieval use, citations, critique</w:t>
            </w:r>
          </w:p>
        </w:tc>
        <w:tc>
          <w:tcPr/>
          <w:p>
            <w:pPr>
              <w:pStyle w:val="Compact"/>
            </w:pPr>
            <w:r>
              <w:t xml:space="preserve">Yes</w:t>
            </w:r>
          </w:p>
        </w:tc>
        <w:tc>
          <w:tcPr/>
          <w:p>
            <w:pPr>
              <w:pStyle w:val="Compact"/>
            </w:pPr>
            <w:r>
              <w:t xml:space="preserve">Rarely</w:t>
            </w:r>
          </w:p>
        </w:tc>
        <w:tc>
          <w:tcPr/>
          <w:p>
            <w:pPr>
              <w:pStyle w:val="Compact"/>
            </w:pPr>
            <w:r>
              <w:t xml:space="preserve">Partial</w:t>
            </w:r>
          </w:p>
        </w:tc>
        <w:tc>
          <w:tcPr/>
          <w:p>
            <w:pPr>
              <w:pStyle w:val="Compact"/>
            </w:pPr>
            <w:r>
              <w:t xml:space="preserve">Partial</w:t>
            </w:r>
          </w:p>
        </w:tc>
        <w:tc>
          <w:tcPr/>
          <w:p>
            <w:pPr>
              <w:pStyle w:val="Compact"/>
            </w:pPr>
            <w:r>
              <w:t xml:space="preserve">No</w:t>
            </w:r>
          </w:p>
        </w:tc>
        <w:tc>
          <w:tcPr/>
          <w:p>
            <w:pPr>
              <w:pStyle w:val="Compact"/>
            </w:pPr>
            <w:r>
              <w:t xml:space="preserve">Source support, not exact field replay</w:t>
            </w:r>
          </w:p>
        </w:tc>
        <w:tc>
          <w:tcPr/>
          <w:p>
            <w:pPr>
              <w:pStyle w:val="Compact"/>
            </w:pPr>
            <w:r>
              <w:t xml:space="preserve">No</w:t>
            </w:r>
          </w:p>
        </w:tc>
        <w:tc>
          <w:tcPr/>
          <w:p>
            <w:pPr>
              <w:pStyle w:val="Compact"/>
            </w:pPr>
            <w:r>
              <w:t xml:space="preserve">Same reliability problem family</w:t>
            </w:r>
          </w:p>
        </w:tc>
        <w:tc>
          <w:tcPr/>
          <w:p>
            <w:pPr>
              <w:pStyle w:val="Compact"/>
            </w:pPr>
            <w:r>
              <w:t xml:space="preserve">Still asks if generated claims are supported, not whether they should be generated</w:t>
            </w:r>
          </w:p>
        </w:tc>
      </w:tr>
      <w:tr>
        <w:tc>
          <w:tcPr/>
          <w:p>
            <w:pPr>
              <w:pStyle w:val="Compact"/>
            </w:pPr>
            <w:r>
              <w:t xml:space="preserve">Abstention / sufficiency</w:t>
            </w:r>
            <w:r>
              <w:t xml:space="preserve"> </w:t>
            </w:r>
            <w:hyperlink r:id="rId22">
              <w:r>
                <w:rPr>
                  <w:rStyle w:val="Hyperlink"/>
                </w:rPr>
                <w:t xml:space="preserve">[18]</w:t>
              </w:r>
            </w:hyperlink>
          </w:p>
        </w:tc>
        <w:tc>
          <w:tcPr/>
          <w:p>
            <w:pPr>
              <w:pStyle w:val="Compact"/>
            </w:pPr>
            <w:r>
              <w:t xml:space="preserve">When to abstain or answer</w:t>
            </w:r>
          </w:p>
        </w:tc>
        <w:tc>
          <w:tcPr/>
          <w:p>
            <w:pPr>
              <w:pStyle w:val="Compact"/>
            </w:pPr>
            <w:r>
              <w:t xml:space="preserve">Model confidence / sufficiency signal</w:t>
            </w:r>
          </w:p>
        </w:tc>
        <w:tc>
          <w:tcPr/>
          <w:p>
            <w:pPr>
              <w:pStyle w:val="Compact"/>
            </w:pPr>
            <w:r>
              <w:t xml:space="preserve">Refusal threshold</w:t>
            </w:r>
          </w:p>
        </w:tc>
        <w:tc>
          <w:tcPr/>
          <w:p>
            <w:pPr>
              <w:pStyle w:val="Compact"/>
            </w:pPr>
            <w:r>
              <w:t xml:space="preserve">Yes, except on abstention</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Mostly No</w:t>
            </w:r>
          </w:p>
        </w:tc>
        <w:tc>
          <w:tcPr/>
          <w:p>
            <w:pPr>
              <w:pStyle w:val="Compact"/>
            </w:pPr>
            <w:r>
              <w:t xml:space="preserve">No</w:t>
            </w:r>
          </w:p>
        </w:tc>
        <w:tc>
          <w:tcPr/>
          <w:p>
            <w:pPr>
              <w:pStyle w:val="Compact"/>
            </w:pPr>
            <w:r>
              <w:t xml:space="preserve">No</w:t>
            </w:r>
          </w:p>
        </w:tc>
        <w:tc>
          <w:tcPr/>
          <w:p>
            <w:pPr>
              <w:pStyle w:val="Compact"/>
            </w:pPr>
            <w:r>
              <w:t xml:space="preserve">Covers one proposed lane</w:t>
            </w:r>
          </w:p>
        </w:tc>
        <w:tc>
          <w:tcPr/>
          <w:p>
            <w:pPr>
              <w:pStyle w:val="Compact"/>
            </w:pPr>
            <w:r>
              <w:t xml:space="preserve">Does not cover deterministic field rendering or compound outputs</w:t>
            </w:r>
          </w:p>
        </w:tc>
      </w:tr>
      <w:tr>
        <w:tc>
          <w:tcPr/>
          <w:p>
            <w:pPr>
              <w:pStyle w:val="Compact"/>
            </w:pPr>
            <w:r>
              <w:t xml:space="preserve">Extractive / table QA</w:t>
            </w:r>
            <w:r>
              <w:t xml:space="preserve"> </w:t>
            </w:r>
            <w:hyperlink r:id="rId33">
              <w:r>
                <w:rPr>
                  <w:rStyle w:val="Hyperlink"/>
                </w:rPr>
                <w:t xml:space="preserve">[19]</w:t>
              </w:r>
            </w:hyperlink>
          </w:p>
        </w:tc>
        <w:tc>
          <w:tcPr/>
          <w:p>
            <w:pPr>
              <w:pStyle w:val="Compact"/>
            </w:pPr>
            <w:r>
              <w:t xml:space="preserve">Spans, denotations, cell selection, controlled table-to-text</w:t>
            </w:r>
          </w:p>
        </w:tc>
        <w:tc>
          <w:tcPr/>
          <w:p>
            <w:pPr>
              <w:pStyle w:val="Compact"/>
            </w:pPr>
            <w:r>
              <w:t xml:space="preserve">Learned reader / parser</w:t>
            </w:r>
          </w:p>
        </w:tc>
        <w:tc>
          <w:tcPr/>
          <w:p>
            <w:pPr>
              <w:pStyle w:val="Compact"/>
            </w:pPr>
            <w:r>
              <w:t xml:space="preserve">Span/cell/logical-form recovery</w:t>
            </w:r>
          </w:p>
        </w:tc>
        <w:tc>
          <w:tcPr/>
          <w:p>
            <w:pPr>
              <w:pStyle w:val="Compact"/>
            </w:pPr>
            <w:r>
              <w:t xml:space="preserve">Sometimes no, sometimes controlled generation</w:t>
            </w:r>
          </w:p>
        </w:tc>
        <w:tc>
          <w:tcPr/>
          <w:p>
            <w:pPr>
              <w:pStyle w:val="Compact"/>
            </w:pPr>
            <w:r>
              <w:t xml:space="preserve">Effectively yes</w:t>
            </w:r>
          </w:p>
        </w:tc>
        <w:tc>
          <w:tcPr/>
          <w:p>
            <w:pPr>
              <w:pStyle w:val="Compact"/>
            </w:pPr>
            <w:r>
              <w:t xml:space="preserve">No</w:t>
            </w:r>
          </w:p>
        </w:tc>
        <w:tc>
          <w:tcPr/>
          <w:p>
            <w:pPr>
              <w:pStyle w:val="Compact"/>
            </w:pPr>
            <w:r>
              <w:t xml:space="preserve">Limited</w:t>
            </w:r>
          </w:p>
        </w:tc>
        <w:tc>
          <w:tcPr/>
          <w:p>
            <w:pPr>
              <w:pStyle w:val="Compact"/>
            </w:pPr>
            <w:r>
              <w:t xml:space="preserve">No</w:t>
            </w:r>
          </w:p>
        </w:tc>
        <w:tc>
          <w:tcPr/>
          <w:p>
            <w:pPr>
              <w:pStyle w:val="Compact"/>
            </w:pPr>
            <w:r>
              <w:t xml:space="preserve">Structured data yes, rights rarely</w:t>
            </w:r>
          </w:p>
        </w:tc>
        <w:tc>
          <w:tcPr/>
          <w:p>
            <w:pPr>
              <w:pStyle w:val="Compact"/>
            </w:pPr>
            <w:r>
              <w:t xml:space="preserve">No</w:t>
            </w:r>
          </w:p>
        </w:tc>
        <w:tc>
          <w:tcPr/>
          <w:p>
            <w:pPr>
              <w:pStyle w:val="Compact"/>
            </w:pPr>
            <w:r>
              <w:t xml:space="preserve">Makes “just extractive QA” objection plausible</w:t>
            </w:r>
          </w:p>
        </w:tc>
        <w:tc>
          <w:tcPr/>
          <w:p>
            <w:pPr>
              <w:pStyle w:val="Compact"/>
            </w:pPr>
            <w:r>
              <w:t xml:space="preserve">Your unit of contribution is policy over answer modes, not a reader model</w:t>
            </w:r>
          </w:p>
        </w:tc>
      </w:tr>
      <w:tr>
        <w:tc>
          <w:tcPr/>
          <w:p>
            <w:pPr>
              <w:pStyle w:val="Compact"/>
            </w:pPr>
            <w:r>
              <w:t xml:space="preserve">Guardrails / neuro-symbolic / structured generation</w:t>
            </w:r>
            <w:r>
              <w:t xml:space="preserve"> </w:t>
            </w:r>
            <w:hyperlink r:id="rId28">
              <w:r>
                <w:rPr>
                  <w:rStyle w:val="Hyperlink"/>
                </w:rPr>
                <w:t xml:space="preserve">[20]</w:t>
              </w:r>
            </w:hyperlink>
          </w:p>
        </w:tc>
        <w:tc>
          <w:tcPr/>
          <w:p>
            <w:pPr>
              <w:pStyle w:val="Compact"/>
            </w:pPr>
            <w:r>
              <w:t xml:space="preserve">Constraining LLM workflows</w:t>
            </w:r>
          </w:p>
        </w:tc>
        <w:tc>
          <w:tcPr/>
          <w:p>
            <w:pPr>
              <w:pStyle w:val="Compact"/>
            </w:pPr>
            <w:r>
              <w:t xml:space="preserve">Rails / modules / prompt program</w:t>
            </w:r>
          </w:p>
        </w:tc>
        <w:tc>
          <w:tcPr/>
          <w:p>
            <w:pPr>
              <w:pStyle w:val="Compact"/>
            </w:pPr>
            <w:r>
              <w:t xml:space="preserve">Inputs, outputs, tools, dialog, structure</w:t>
            </w:r>
          </w:p>
        </w:tc>
        <w:tc>
          <w:tcPr/>
          <w:p>
            <w:pPr>
              <w:pStyle w:val="Compact"/>
            </w:pPr>
            <w:r>
              <w:t xml:space="preserve">Usually yes</w:t>
            </w:r>
          </w:p>
        </w:tc>
        <w:tc>
          <w:tcPr/>
          <w:p>
            <w:pPr>
              <w:pStyle w:val="Compact"/>
            </w:pPr>
            <w:r>
              <w:t xml:space="preserve">Partial</w:t>
            </w:r>
          </w:p>
        </w:tc>
        <w:tc>
          <w:tcPr/>
          <w:p>
            <w:pPr>
              <w:pStyle w:val="Compact"/>
            </w:pPr>
            <w:r>
              <w:t xml:space="preserve">Partial</w:t>
            </w:r>
          </w:p>
        </w:tc>
        <w:tc>
          <w:tcPr/>
          <w:p>
            <w:pPr>
              <w:pStyle w:val="Compact"/>
            </w:pPr>
            <w:r>
              <w:t xml:space="preserve">Yes</w:t>
            </w:r>
          </w:p>
        </w:tc>
        <w:tc>
          <w:tcPr/>
          <w:p>
            <w:pPr>
              <w:pStyle w:val="Compact"/>
            </w:pPr>
            <w:r>
              <w:t xml:space="preserve">Usually No</w:t>
            </w:r>
          </w:p>
        </w:tc>
        <w:tc>
          <w:tcPr/>
          <w:p>
            <w:pPr>
              <w:pStyle w:val="Compact"/>
            </w:pPr>
            <w:r>
              <w:t xml:space="preserve">No</w:t>
            </w:r>
          </w:p>
        </w:tc>
        <w:tc>
          <w:tcPr/>
          <w:p>
            <w:pPr>
              <w:pStyle w:val="Compact"/>
            </w:pPr>
            <w:r>
              <w:t xml:space="preserve">No</w:t>
            </w:r>
          </w:p>
        </w:tc>
        <w:tc>
          <w:tcPr/>
          <w:p>
            <w:pPr>
              <w:pStyle w:val="Compact"/>
            </w:pPr>
            <w:r>
              <w:t xml:space="preserve">Similar architecture vocabulary</w:t>
            </w:r>
          </w:p>
        </w:tc>
        <w:tc>
          <w:tcPr/>
          <w:p>
            <w:pPr>
              <w:pStyle w:val="Compact"/>
            </w:pPr>
            <w:r>
              <w:t xml:space="preserve">Must show non-generation is an evaluated answer lane, not just control logic</w:t>
            </w:r>
          </w:p>
        </w:tc>
      </w:tr>
      <w:tr>
        <w:tc>
          <w:tcPr/>
          <w:p>
            <w:pPr>
              <w:pStyle w:val="Compact"/>
            </w:pPr>
            <w:r>
              <w:t xml:space="preserve">Model routing / cascades</w:t>
            </w:r>
            <w:r>
              <w:t xml:space="preserve"> </w:t>
            </w:r>
            <w:hyperlink r:id="rId29">
              <w:r>
                <w:rPr>
                  <w:rStyle w:val="Hyperlink"/>
                </w:rPr>
                <w:t xml:space="preserve">[11]</w:t>
              </w:r>
            </w:hyperlink>
          </w:p>
        </w:tc>
        <w:tc>
          <w:tcPr/>
          <w:p>
            <w:pPr>
              <w:pStyle w:val="Compact"/>
            </w:pPr>
            <w:r>
              <w:t xml:space="preserve">Choosing cheap/strong/tool-using models</w:t>
            </w:r>
          </w:p>
        </w:tc>
        <w:tc>
          <w:tcPr/>
          <w:p>
            <w:pPr>
              <w:pStyle w:val="Compact"/>
            </w:pPr>
            <w:r>
              <w:t xml:space="preserve">Router</w:t>
            </w:r>
          </w:p>
        </w:tc>
        <w:tc>
          <w:tcPr/>
          <w:p>
            <w:pPr>
              <w:pStyle w:val="Compact"/>
            </w:pPr>
            <w:r>
              <w:t xml:space="preserve">Model or tool selection</w:t>
            </w:r>
          </w:p>
        </w:tc>
        <w:tc>
          <w:tcPr/>
          <w:p>
            <w:pPr>
              <w:pStyle w:val="Compact"/>
            </w:pPr>
            <w:r>
              <w:t xml:space="preserve">Yes, usually</w:t>
            </w:r>
          </w:p>
        </w:tc>
        <w:tc>
          <w:tcPr/>
          <w:p>
            <w:pPr>
              <w:pStyle w:val="Compact"/>
            </w:pPr>
            <w:r>
              <w:t xml:space="preserve">No</w:t>
            </w:r>
          </w:p>
        </w:tc>
        <w:tc>
          <w:tcPr/>
          <w:p>
            <w:pPr>
              <w:pStyle w:val="Compact"/>
            </w:pPr>
            <w:r>
              <w:t xml:space="preserve">Rarely</w:t>
            </w:r>
          </w:p>
        </w:tc>
        <w:tc>
          <w:tcPr/>
          <w:p>
            <w:pPr>
              <w:pStyle w:val="Compact"/>
            </w:pPr>
            <w:r>
              <w:t xml:space="preserve">Partial</w:t>
            </w:r>
          </w:p>
        </w:tc>
        <w:tc>
          <w:tcPr/>
          <w:p>
            <w:pPr>
              <w:pStyle w:val="Compact"/>
            </w:pPr>
            <w:r>
              <w:t xml:space="preserve">No</w:t>
            </w:r>
          </w:p>
        </w:tc>
        <w:tc>
          <w:tcPr/>
          <w:p>
            <w:pPr>
              <w:pStyle w:val="Compact"/>
            </w:pPr>
            <w:r>
              <w:t xml:space="preserve">No</w:t>
            </w:r>
          </w:p>
        </w:tc>
        <w:tc>
          <w:tcPr/>
          <w:p>
            <w:pPr>
              <w:pStyle w:val="Compact"/>
            </w:pPr>
            <w:r>
              <w:t xml:space="preserve">Yes, for cost/latency</w:t>
            </w:r>
          </w:p>
        </w:tc>
        <w:tc>
          <w:tcPr/>
          <w:p>
            <w:pPr>
              <w:pStyle w:val="Compact"/>
            </w:pPr>
            <w:r>
              <w:t xml:space="preserve">Very close “don’t always call the same model” precedent</w:t>
            </w:r>
          </w:p>
        </w:tc>
        <w:tc>
          <w:tcPr/>
          <w:p>
            <w:pPr>
              <w:pStyle w:val="Compact"/>
            </w:pPr>
            <w:r>
              <w:t xml:space="preserve">Your novelty lives in routing</w:t>
            </w:r>
            <w:r>
              <w:t xml:space="preserve"> </w:t>
            </w:r>
            <w:r>
              <w:rPr>
                <w:b/>
                <w:bCs/>
              </w:rPr>
              <w:t xml:space="preserve">execution modes</w:t>
            </w:r>
            <w:r>
              <w:t xml:space="preserve">, not just models</w:t>
            </w:r>
          </w:p>
        </w:tc>
      </w:tr>
      <w:tr>
        <w:tc>
          <w:tcPr/>
          <w:p>
            <w:pPr>
              <w:pStyle w:val="Compact"/>
            </w:pPr>
            <w:r>
              <w:t xml:space="preserve">HCI / mixed initiative / AI chains</w:t>
            </w:r>
            <w:r>
              <w:t xml:space="preserve"> </w:t>
            </w:r>
            <w:hyperlink r:id="rId30">
              <w:r>
                <w:rPr>
                  <w:rStyle w:val="Hyperlink"/>
                </w:rPr>
                <w:t xml:space="preserve">[21]</w:t>
              </w:r>
            </w:hyperlink>
          </w:p>
        </w:tc>
        <w:tc>
          <w:tcPr/>
          <w:p>
            <w:pPr>
              <w:pStyle w:val="Compact"/>
            </w:pPr>
            <w:r>
              <w:t xml:space="preserve">Runtime mediation, transparency, appropriate reliance</w:t>
            </w:r>
          </w:p>
        </w:tc>
        <w:tc>
          <w:tcPr/>
          <w:p>
            <w:pPr>
              <w:pStyle w:val="Compact"/>
            </w:pPr>
            <w:r>
              <w:t xml:space="preserve">Human-AI workflow</w:t>
            </w:r>
          </w:p>
        </w:tc>
        <w:tc>
          <w:tcPr/>
          <w:p>
            <w:pPr>
              <w:pStyle w:val="Compact"/>
            </w:pPr>
            <w:r>
              <w:t xml:space="preserve">Control allocation and visible boundaries</w:t>
            </w:r>
          </w:p>
        </w:tc>
        <w:tc>
          <w:tcPr/>
          <w:p>
            <w:pPr>
              <w:pStyle w:val="Compact"/>
            </w:pPr>
            <w:r>
              <w:t xml:space="preserve">Not always</w:t>
            </w:r>
          </w:p>
        </w:tc>
        <w:tc>
          <w:tcPr/>
          <w:p>
            <w:pPr>
              <w:pStyle w:val="Compact"/>
            </w:pPr>
            <w:r>
              <w:t xml:space="preserve">Yes, in workflow sense</w:t>
            </w:r>
          </w:p>
        </w:tc>
        <w:tc>
          <w:tcPr/>
          <w:p>
            <w:pPr>
              <w:pStyle w:val="Compact"/>
            </w:pPr>
            <w:r>
              <w:t xml:space="preserve">Partial</w:t>
            </w:r>
          </w:p>
        </w:tc>
        <w:tc>
          <w:tcPr/>
          <w:p>
            <w:pPr>
              <w:pStyle w:val="Compact"/>
            </w:pPr>
            <w:r>
              <w:t xml:space="preserve">Yes</w:t>
            </w:r>
          </w:p>
        </w:tc>
        <w:tc>
          <w:tcPr/>
          <w:p>
            <w:pPr>
              <w:pStyle w:val="Compact"/>
            </w:pPr>
            <w:r>
              <w:t xml:space="preserve">Not specific</w:t>
            </w:r>
          </w:p>
        </w:tc>
        <w:tc>
          <w:tcPr/>
          <w:p>
            <w:pPr>
              <w:pStyle w:val="Compact"/>
            </w:pPr>
            <w:r>
              <w:t xml:space="preserve">No</w:t>
            </w:r>
          </w:p>
        </w:tc>
        <w:tc>
          <w:tcPr/>
          <w:p>
            <w:pPr>
              <w:pStyle w:val="Compact"/>
            </w:pPr>
            <w:r>
              <w:t xml:space="preserve">No</w:t>
            </w:r>
          </w:p>
        </w:tc>
        <w:tc>
          <w:tcPr/>
          <w:p>
            <w:pPr>
              <w:pStyle w:val="Compact"/>
            </w:pPr>
            <w:r>
              <w:t xml:space="preserve">Strong support for compound/runtime answers</w:t>
            </w:r>
          </w:p>
        </w:tc>
        <w:tc>
          <w:tcPr/>
          <w:p>
            <w:pPr>
              <w:pStyle w:val="Compact"/>
            </w:pPr>
            <w:r>
              <w:t xml:space="preserve">Needs RAG-specific operationalization and evaluation</w:t>
            </w:r>
          </w:p>
        </w:tc>
      </w:tr>
      <w:tr>
        <w:tc>
          <w:tcPr/>
          <w:p>
            <w:pPr>
              <w:pStyle w:val="Compact"/>
            </w:pPr>
            <w:r>
              <w:t xml:space="preserve">Serving / latency accounting</w:t>
            </w:r>
            <w:r>
              <w:t xml:space="preserve"> </w:t>
            </w:r>
            <w:hyperlink r:id="rId31">
              <w:r>
                <w:rPr>
                  <w:rStyle w:val="Hyperlink"/>
                </w:rPr>
                <w:t xml:space="preserve">[22]</w:t>
              </w:r>
            </w:hyperlink>
          </w:p>
        </w:tc>
        <w:tc>
          <w:tcPr/>
          <w:p>
            <w:pPr>
              <w:pStyle w:val="Compact"/>
            </w:pPr>
            <w:r>
              <w:t xml:space="preserve">TTFT, TPOT, throughput, QoE</w:t>
            </w:r>
          </w:p>
        </w:tc>
        <w:tc>
          <w:tcPr/>
          <w:p>
            <w:pPr>
              <w:pStyle w:val="Compact"/>
            </w:pPr>
            <w:r>
              <w:t xml:space="preserve">Serving stack</w:t>
            </w:r>
          </w:p>
        </w:tc>
        <w:tc>
          <w:tcPr/>
          <w:p>
            <w:pPr>
              <w:pStyle w:val="Compact"/>
            </w:pPr>
            <w:r>
              <w:t xml:space="preserve">Prefill/decode scheduling, memory</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Mixed</w:t>
            </w:r>
          </w:p>
        </w:tc>
        <w:tc>
          <w:tcPr/>
          <w:p>
            <w:pPr>
              <w:pStyle w:val="Compact"/>
            </w:pPr>
            <w:r>
              <w:t xml:space="preserve">No</w:t>
            </w:r>
          </w:p>
        </w:tc>
        <w:tc>
          <w:tcPr/>
          <w:p>
            <w:pPr>
              <w:pStyle w:val="Compact"/>
            </w:pPr>
            <w:r>
              <w:t xml:space="preserve">Yes</w:t>
            </w:r>
          </w:p>
        </w:tc>
        <w:tc>
          <w:tcPr/>
          <w:p>
            <w:pPr>
              <w:pStyle w:val="Compact"/>
            </w:pPr>
            <w:r>
              <w:t xml:space="preserve">Supports reporting vocabulary</w:t>
            </w:r>
          </w:p>
        </w:tc>
        <w:tc>
          <w:tcPr/>
          <w:p>
            <w:pPr>
              <w:pStyle w:val="Compact"/>
            </w:pPr>
            <w:r>
              <w:t xml:space="preserve">Not about “skip generation” as an answer outcome</w:t>
            </w:r>
          </w:p>
        </w:tc>
      </w:tr>
      <w:tr>
        <w:tc>
          <w:tcPr/>
          <w:p>
            <w:pPr>
              <w:pStyle w:val="Compact"/>
            </w:pPr>
            <w:r>
              <w:t xml:space="preserve">Rights-aware metadata / cultural heritage</w:t>
            </w:r>
            <w:r>
              <w:t xml:space="preserve"> </w:t>
            </w:r>
            <w:hyperlink r:id="rId32">
              <w:r>
                <w:rPr>
                  <w:rStyle w:val="Hyperlink"/>
                </w:rPr>
                <w:t xml:space="preserve">[23]</w:t>
              </w:r>
            </w:hyperlink>
          </w:p>
        </w:tc>
        <w:tc>
          <w:tcPr/>
          <w:p>
            <w:pPr>
              <w:pStyle w:val="Compact"/>
            </w:pPr>
            <w:r>
              <w:t xml:space="preserve">Standardized rights URIs, metadata obligations, view-specific rights</w:t>
            </w:r>
          </w:p>
        </w:tc>
        <w:tc>
          <w:tcPr/>
          <w:p>
            <w:pPr>
              <w:pStyle w:val="Compact"/>
            </w:pPr>
            <w:r>
              <w:t xml:space="preserve">Metadata schema / institution policy</w:t>
            </w:r>
          </w:p>
        </w:tc>
        <w:tc>
          <w:tcPr/>
          <w:p>
            <w:pPr>
              <w:pStyle w:val="Compact"/>
            </w:pPr>
            <w:r>
              <w:t xml:space="preserve">Rights labels, links, display, representation-specific metadata</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Potentially</w:t>
            </w:r>
          </w:p>
        </w:tc>
        <w:tc>
          <w:tcPr/>
          <w:p>
            <w:pPr>
              <w:pStyle w:val="Compact"/>
            </w:pPr>
            <w:r>
              <w:t xml:space="preserve">Web-facing archives yes</w:t>
            </w:r>
          </w:p>
        </w:tc>
        <w:tc>
          <w:tcPr/>
          <w:p>
            <w:pPr>
              <w:pStyle w:val="Compact"/>
            </w:pPr>
            <w:r>
              <w:t xml:space="preserve">Yes</w:t>
            </w:r>
          </w:p>
        </w:tc>
        <w:tc>
          <w:tcPr/>
          <w:p>
            <w:pPr>
              <w:pStyle w:val="Compact"/>
            </w:pPr>
            <w:r>
              <w:t xml:space="preserve">No</w:t>
            </w:r>
          </w:p>
        </w:tc>
        <w:tc>
          <w:tcPr/>
          <w:p>
            <w:pPr>
              <w:pStyle w:val="Compact"/>
            </w:pPr>
            <w:r>
              <w:t xml:space="preserve">Strong domain-specific motivation</w:t>
            </w:r>
          </w:p>
        </w:tc>
        <w:tc>
          <w:tcPr/>
          <w:p>
            <w:pPr>
              <w:pStyle w:val="Compact"/>
            </w:pPr>
            <w:r>
              <w:t xml:space="preserve">Best evidence that exact field fidelity matters more than paraphrase</w:t>
            </w:r>
          </w:p>
        </w:tc>
      </w:tr>
    </w:tbl>
    <w:bookmarkEnd w:id="34"/>
    <w:bookmarkStart w:id="37" w:name="Xf51407b227fb8c398924c47cefc5fb11a7da4a2"/>
    <w:p>
      <w:pPr>
        <w:pStyle w:val="Heading2"/>
      </w:pPr>
      <w:r>
        <w:t xml:space="preserve">What Existing Work Already Covers and What Gap Remains</w:t>
      </w:r>
    </w:p>
    <w:p>
      <w:pPr>
        <w:pStyle w:val="FirstParagraph"/>
      </w:pPr>
      <w:r>
        <w:rPr>
          <w:b/>
          <w:bCs/>
        </w:rPr>
        <w:t xml:space="preserve">What existing work already covers.</w:t>
      </w:r>
      <w:r>
        <w:br/>
      </w:r>
      <w:r>
        <w:t xml:space="preserve">The literature already covers almost every</w:t>
      </w:r>
      <w:r>
        <w:t xml:space="preserve"> </w:t>
      </w:r>
      <w:r>
        <w:rPr>
          <w:b/>
          <w:bCs/>
        </w:rPr>
        <w:t xml:space="preserve">component</w:t>
      </w:r>
      <w:r>
        <w:t xml:space="preserve"> </w:t>
      </w:r>
      <w:r>
        <w:t xml:space="preserve">of the idea. Browser-local inference is established. Browser-local retrieval and private RAG are established. Citation faithfulness and attributable generation are established. Sufficiency-aware abstention and over-refusal analysis are established. Rule-based and programmable control around LLMs is established. Cost/quality routing across models is established. Mixed-initiative UI composition is established. Rights/provenance metadata standards and obligations in digital-library ecosystems are also established. A reviewer can therefore legitimately say that the project is “mostly a composition of known ingredients.” That objection would be correct if the paper were pitched as a broad novelty claim over RAG, routing, or guardrails.</w:t>
      </w:r>
      <w:r>
        <w:t xml:space="preserve"> </w:t>
      </w:r>
      <w:hyperlink r:id="rId21">
        <w:r>
          <w:rPr>
            <w:rStyle w:val="Hyperlink"/>
          </w:rPr>
          <w:t xml:space="preserve">[24]</w:t>
        </w:r>
      </w:hyperlink>
    </w:p>
    <w:p>
      <w:pPr>
        <w:pStyle w:val="BodyText"/>
      </w:pPr>
      <w:r>
        <w:rPr>
          <w:b/>
          <w:bCs/>
        </w:rPr>
        <w:t xml:space="preserve">What gap remains.</w:t>
      </w:r>
      <w:r>
        <w:br/>
      </w:r>
      <w:r>
        <w:t xml:space="preserve">What I do not see clearly covered is the combination of the following five commitments in one paper-shaped object:</w:t>
      </w:r>
      <w:r>
        <w:br/>
      </w:r>
      <w:r>
        <w:t xml:space="preserve">first,</w:t>
      </w:r>
      <w:r>
        <w:t xml:space="preserve"> </w:t>
      </w:r>
      <w:r>
        <w:rPr>
          <w:b/>
          <w:bCs/>
        </w:rPr>
        <w:t xml:space="preserve">execution-mode allocation rather than model selection</w:t>
      </w:r>
      <w:r>
        <w:t xml:space="preserve">; second,</w:t>
      </w:r>
      <w:r>
        <w:t xml:space="preserve"> </w:t>
      </w:r>
      <w:r>
        <w:rPr>
          <w:b/>
          <w:bCs/>
        </w:rPr>
        <w:t xml:space="preserve">deterministic evidence-field rendering</w:t>
      </w:r>
      <w:r>
        <w:t xml:space="preserve"> </w:t>
      </w:r>
      <w:r>
        <w:t xml:space="preserve">as a first-class lane; third,</w:t>
      </w:r>
      <w:r>
        <w:t xml:space="preserve"> </w:t>
      </w:r>
      <w:r>
        <w:rPr>
          <w:b/>
          <w:bCs/>
        </w:rPr>
        <w:t xml:space="preserve">deterministic insufficient-evidence refusal</w:t>
      </w:r>
      <w:r>
        <w:t xml:space="preserve"> </w:t>
      </w:r>
      <w:r>
        <w:t xml:space="preserve">as a first-class lane distinct from model abstention behavior; fourth,</w:t>
      </w:r>
      <w:r>
        <w:t xml:space="preserve"> </w:t>
      </w:r>
      <w:r>
        <w:rPr>
          <w:b/>
          <w:bCs/>
        </w:rPr>
        <w:t xml:space="preserve">compound deterministic-plus-generative answers</w:t>
      </w:r>
      <w:r>
        <w:t xml:space="preserve"> </w:t>
      </w:r>
      <w:r>
        <w:t xml:space="preserve">as a formal answer type rather than an implementation accident; and fifth, an evaluation protocol that separates</w:t>
      </w:r>
      <w:r>
        <w:t xml:space="preserve"> </w:t>
      </w:r>
      <w:r>
        <w:rPr>
          <w:b/>
          <w:bCs/>
        </w:rPr>
        <w:t xml:space="preserve">evidence-field fidelity</w:t>
      </w:r>
      <w:r>
        <w:t xml:space="preserve">,</w:t>
      </w:r>
      <w:r>
        <w:t xml:space="preserve"> </w:t>
      </w:r>
      <w:r>
        <w:rPr>
          <w:b/>
          <w:bCs/>
        </w:rPr>
        <w:t xml:space="preserve">answer correctness</w:t>
      </w:r>
      <w:r>
        <w:t xml:space="preserve">,</w:t>
      </w:r>
      <w:r>
        <w:t xml:space="preserve"> </w:t>
      </w:r>
      <w:r>
        <w:rPr>
          <w:b/>
          <w:bCs/>
        </w:rPr>
        <w:t xml:space="preserve">over/under-refusal</w:t>
      </w:r>
      <w:r>
        <w:t xml:space="preserve">, and</w:t>
      </w:r>
      <w:r>
        <w:t xml:space="preserve"> </w:t>
      </w:r>
      <w:r>
        <w:rPr>
          <w:b/>
          <w:bCs/>
        </w:rPr>
        <w:t xml:space="preserve">generation-skipping latency effects</w:t>
      </w:r>
      <w:r>
        <w:t xml:space="preserve"> </w:t>
      </w:r>
      <w:r>
        <w:t xml:space="preserve">in a browser-local small-model setting. That combination is where the project appears under-covered.</w:t>
      </w:r>
      <w:r>
        <w:t xml:space="preserve"> </w:t>
      </w:r>
      <w:hyperlink r:id="rId35">
        <w:r>
          <w:rPr>
            <w:rStyle w:val="Hyperlink"/>
          </w:rPr>
          <w:t xml:space="preserve">[25]</w:t>
        </w:r>
      </w:hyperlink>
    </w:p>
    <w:p>
      <w:pPr>
        <w:pStyle w:val="BodyText"/>
      </w:pPr>
      <w:r>
        <w:rPr>
          <w:b/>
          <w:bCs/>
        </w:rPr>
        <w:t xml:space="preserve">The narrow framing that survives review.</w:t>
      </w:r>
      <w:r>
        <w:br/>
      </w:r>
      <w:r>
        <w:t xml:space="preserve">The project survives best if it says:</w:t>
      </w:r>
      <w:r>
        <w:t xml:space="preserve"> </w:t>
      </w:r>
      <w:r>
        <w:rPr>
          <w:b/>
          <w:bCs/>
        </w:rPr>
        <w:t xml:space="preserve">browser-local small-model RAG creates a generation-allocation problem that is easy to ignore in cloud LLM systems but consequential in privacy-sensitive, latency-sensitive, metadata-bearing environments.</w:t>
      </w:r>
      <w:r>
        <w:t xml:space="preserve"> </w:t>
      </w:r>
      <w:r>
        <w:t xml:space="preserve">Because the model is small and the evidence often contains exact, contract-bearing fields, the right design question is not only “how do we ground generation?” but also “which answer parts should remain non-generative?” That is a narrower and more defensible research position than claiming a new general-purpose RAG architecture.</w:t>
      </w:r>
      <w:r>
        <w:t xml:space="preserve"> </w:t>
      </w:r>
      <w:hyperlink r:id="rId21">
        <w:r>
          <w:rPr>
            <w:rStyle w:val="Hyperlink"/>
          </w:rPr>
          <w:t xml:space="preserve">[26]</w:t>
        </w:r>
      </w:hyperlink>
    </w:p>
    <w:p>
      <w:pPr>
        <w:pStyle w:val="BodyText"/>
      </w:pPr>
      <w:r>
        <w:rPr>
          <w:b/>
          <w:bCs/>
        </w:rPr>
        <w:t xml:space="preserve">Fallback framing if reviewers reject the broad one.</w:t>
      </w:r>
      <w:r>
        <w:br/>
      </w:r>
      <w:r>
        <w:t xml:space="preserve">If the broader “hybrid answer lanes” framing proves too easy to assimilate into guardrails or routing, the fallback should be:</w:t>
      </w:r>
      <w:r>
        <w:t xml:space="preserve"> </w:t>
      </w:r>
      <w:r>
        <w:rPr>
          <w:b/>
          <w:bCs/>
        </w:rPr>
        <w:t xml:space="preserve">“evidence-field fidelity in rights-aware browser-local RAG.”</w:t>
      </w:r>
      <w:r>
        <w:t xml:space="preserve"> </w:t>
      </w:r>
      <w:r>
        <w:t xml:space="preserve">This version is narrower, less glamorous, but harder to kill. It says, in effect, that when archives expose exact rights/provenance/source metadata in local RAG interfaces, deterministic field rendering is often preferable to paraphrastic generation, and that this preference can be evaluated empirically. That is likely more publishable at JCDL than a larger claim about RAG writ large.</w:t>
      </w:r>
      <w:r>
        <w:t xml:space="preserve"> </w:t>
      </w:r>
      <w:hyperlink r:id="rId36">
        <w:r>
          <w:rPr>
            <w:rStyle w:val="Hyperlink"/>
          </w:rPr>
          <w:t xml:space="preserve">[27]</w:t>
        </w:r>
      </w:hyperlink>
    </w:p>
    <w:bookmarkEnd w:id="37"/>
    <w:bookmarkStart w:id="45" w:name="reviewer-objection-map"/>
    <w:p>
      <w:pPr>
        <w:pStyle w:val="Heading2"/>
      </w:pPr>
      <w:r>
        <w:t xml:space="preserve">Reviewer Objection Map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Objection</w:t>
            </w:r>
          </w:p>
        </w:tc>
        <w:tc>
          <w:tcPr/>
          <w:p>
            <w:pPr>
              <w:pStyle w:val="Compact"/>
            </w:pPr>
            <w:r>
              <w:t xml:space="preserve">Why it is plausible</w:t>
            </w:r>
          </w:p>
        </w:tc>
        <w:tc>
          <w:tcPr/>
          <w:p>
            <w:pPr>
              <w:pStyle w:val="Compact"/>
            </w:pPr>
            <w:r>
              <w:t xml:space="preserve">Literature supporting the objection</w:t>
            </w:r>
          </w:p>
        </w:tc>
        <w:tc>
          <w:tcPr/>
          <w:p>
            <w:pPr>
              <w:pStyle w:val="Compact"/>
            </w:pPr>
            <w:r>
              <w:t xml:space="preserve">What the paper can say in response</w:t>
            </w:r>
          </w:p>
        </w:tc>
        <w:tc>
          <w:tcPr/>
          <w:p>
            <w:pPr>
              <w:pStyle w:val="Compact"/>
            </w:pPr>
            <w:r>
              <w:t xml:space="preserve">Claim language to avoid</w:t>
            </w:r>
          </w:p>
        </w:tc>
        <w:tc>
          <w:tcPr/>
          <w:p>
            <w:pPr>
              <w:pStyle w:val="Compact"/>
            </w:pPr>
            <w:r>
              <w:t xml:space="preserve">Severity</w:t>
            </w:r>
          </w:p>
        </w:tc>
      </w:tr>
      <w:tr>
        <w:tc>
          <w:tcPr/>
          <w:p>
            <w:pPr>
              <w:pStyle w:val="Compact"/>
            </w:pPr>
            <w:r>
              <w:rPr>
                <w:b/>
                <w:bCs/>
              </w:rPr>
              <w:t xml:space="preserve">This is just extractive QA.</w:t>
            </w:r>
          </w:p>
        </w:tc>
        <w:tc>
          <w:tcPr/>
          <w:p>
            <w:pPr>
              <w:pStyle w:val="Compact"/>
            </w:pPr>
            <w:r>
              <w:t xml:space="preserve">Some lanes return exact fields or evidence-like outputs.</w:t>
            </w:r>
          </w:p>
        </w:tc>
        <w:tc>
          <w:tcPr/>
          <w:p>
            <w:pPr>
              <w:pStyle w:val="Compact"/>
            </w:pPr>
            <w:r>
              <w:t xml:space="preserve">SQuAD, WikiTableQuestions, TAPAS, HybridQA.</w:t>
            </w:r>
            <w:r>
              <w:t xml:space="preserve"> </w:t>
            </w:r>
            <w:hyperlink r:id="rId33">
              <w:r>
                <w:rPr>
                  <w:rStyle w:val="Hyperlink"/>
                </w:rPr>
                <w:t xml:space="preserve">[28]</w:t>
              </w:r>
            </w:hyperlink>
          </w:p>
        </w:tc>
        <w:tc>
          <w:tcPr/>
          <w:p>
            <w:pPr>
              <w:pStyle w:val="Compact"/>
            </w:pPr>
            <w:r>
              <w:t xml:space="preserve">Emphasize that the contribution is not a reader model but an</w:t>
            </w:r>
            <w:r>
              <w:t xml:space="preserve"> </w:t>
            </w:r>
            <w:r>
              <w:rPr>
                <w:b/>
                <w:bCs/>
              </w:rPr>
              <w:t xml:space="preserve">execution policy</w:t>
            </w:r>
            <w:r>
              <w:t xml:space="preserve"> </w:t>
            </w:r>
            <w:r>
              <w:t xml:space="preserve">over deterministic render, refusal, bounded generation, and compound output. Include extractive/table baselines anyway.</w:t>
            </w:r>
          </w:p>
        </w:tc>
        <w:tc>
          <w:tcPr/>
          <w:p>
            <w:pPr>
              <w:pStyle w:val="Compact"/>
            </w:pPr>
            <w:r>
              <w:t xml:space="preserve">“We introduce a new QA method for extracting answers from evidence.”</w:t>
            </w:r>
          </w:p>
        </w:tc>
        <w:tc>
          <w:tcPr/>
          <w:p>
            <w:pPr>
              <w:pStyle w:val="Compact"/>
            </w:pPr>
            <w:r>
              <w:t xml:space="preserve">Manageable</w:t>
            </w:r>
          </w:p>
        </w:tc>
      </w:tr>
      <w:tr>
        <w:tc>
          <w:tcPr/>
          <w:p>
            <w:pPr>
              <w:pStyle w:val="Compact"/>
            </w:pPr>
            <w:r>
              <w:rPr>
                <w:b/>
                <w:bCs/>
              </w:rPr>
              <w:t xml:space="preserve">This is just a rule-based product system.</w:t>
            </w:r>
          </w:p>
        </w:tc>
        <w:tc>
          <w:tcPr/>
          <w:p>
            <w:pPr>
              <w:pStyle w:val="Compact"/>
            </w:pPr>
            <w:r>
              <w:t xml:space="preserve">The policy is a rule table over intent and evidence state.</w:t>
            </w:r>
          </w:p>
        </w:tc>
        <w:tc>
          <w:tcPr/>
          <w:p>
            <w:pPr>
              <w:pStyle w:val="Compact"/>
            </w:pPr>
            <w:r>
              <w:t xml:space="preserve">Mixed-initiative UI traditions and guardrail runtimes already use explicit control logic.</w:t>
            </w:r>
            <w:r>
              <w:t xml:space="preserve"> </w:t>
            </w:r>
            <w:hyperlink r:id="rId30">
              <w:r>
                <w:rPr>
                  <w:rStyle w:val="Hyperlink"/>
                </w:rPr>
                <w:t xml:space="preserve">[29]</w:t>
              </w:r>
            </w:hyperlink>
          </w:p>
        </w:tc>
        <w:tc>
          <w:tcPr/>
          <w:p>
            <w:pPr>
              <w:pStyle w:val="Compact"/>
            </w:pPr>
            <w:r>
              <w:t xml:space="preserve">Accept that the policy is rule-based; claim novelty in</w:t>
            </w:r>
            <w:r>
              <w:t xml:space="preserve"> </w:t>
            </w:r>
            <w:r>
              <w:rPr>
                <w:b/>
                <w:bCs/>
              </w:rPr>
              <w:t xml:space="preserve">formalizing and evaluating answer execution modes</w:t>
            </w:r>
            <w:r>
              <w:t xml:space="preserve"> </w:t>
            </w:r>
            <w:r>
              <w:t xml:space="preserve">under browser-local constraints, not in inventing rules.</w:t>
            </w:r>
          </w:p>
        </w:tc>
        <w:tc>
          <w:tcPr/>
          <w:p>
            <w:pPr>
              <w:pStyle w:val="Compact"/>
            </w:pPr>
            <w:r>
              <w:t xml:space="preserve">“Our policy engine is novel because it uses rules.”</w:t>
            </w:r>
          </w:p>
        </w:tc>
        <w:tc>
          <w:tcPr/>
          <w:p>
            <w:pPr>
              <w:pStyle w:val="Compact"/>
            </w:pPr>
            <w:r>
              <w:t xml:space="preserve">Manageable</w:t>
            </w:r>
          </w:p>
        </w:tc>
      </w:tr>
      <w:tr>
        <w:tc>
          <w:tcPr/>
          <w:p>
            <w:pPr>
              <w:pStyle w:val="Compact"/>
            </w:pPr>
            <w:r>
              <w:rPr>
                <w:b/>
                <w:bCs/>
              </w:rPr>
              <w:t xml:space="preserve">This is just guardrails.</w:t>
            </w:r>
          </w:p>
        </w:tc>
        <w:tc>
          <w:tcPr/>
          <w:p>
            <w:pPr>
              <w:pStyle w:val="Compact"/>
            </w:pPr>
            <w:r>
              <w:t xml:space="preserve">NeMo Guardrails already has rails for input, retrieval, dialog, execution, output.</w:t>
            </w:r>
          </w:p>
        </w:tc>
        <w:tc>
          <w:tcPr/>
          <w:p>
            <w:pPr>
              <w:pStyle w:val="Compact"/>
            </w:pPr>
            <w:r>
              <w:t xml:space="preserve">NeMo Guardrails paper and docs.</w:t>
            </w:r>
            <w:r>
              <w:t xml:space="preserve"> </w:t>
            </w:r>
            <w:hyperlink r:id="rId38">
              <w:r>
                <w:rPr>
                  <w:rStyle w:val="Hyperlink"/>
                </w:rPr>
                <w:t xml:space="preserve">[30]</w:t>
              </w:r>
            </w:hyperlink>
          </w:p>
        </w:tc>
        <w:tc>
          <w:tcPr/>
          <w:p>
            <w:pPr>
              <w:pStyle w:val="Compact"/>
            </w:pPr>
            <w:r>
              <w:t xml:space="preserve">Distinguish guardrails as</w:t>
            </w:r>
            <w:r>
              <w:t xml:space="preserve"> </w:t>
            </w:r>
            <w:r>
              <w:rPr>
                <w:b/>
                <w:bCs/>
              </w:rPr>
              <w:t xml:space="preserve">control over model workflows</w:t>
            </w:r>
            <w:r>
              <w:t xml:space="preserve">, versus this paper as</w:t>
            </w:r>
            <w:r>
              <w:t xml:space="preserve"> </w:t>
            </w:r>
            <w:r>
              <w:rPr>
                <w:b/>
                <w:bCs/>
              </w:rPr>
              <w:t xml:space="preserve">evaluation of non-generation as an answer outcome</w:t>
            </w:r>
            <w:r>
              <w:t xml:space="preserve">.</w:t>
            </w:r>
          </w:p>
        </w:tc>
        <w:tc>
          <w:tcPr/>
          <w:p>
            <w:pPr>
              <w:pStyle w:val="Compact"/>
            </w:pPr>
            <w:r>
              <w:t xml:space="preserve">“Unlike guardrails, we control output.”</w:t>
            </w:r>
          </w:p>
        </w:tc>
        <w:tc>
          <w:tcPr/>
          <w:p>
            <w:pPr>
              <w:pStyle w:val="Compact"/>
            </w:pPr>
            <w:r>
              <w:t xml:space="preserve">Manageable</w:t>
            </w:r>
          </w:p>
        </w:tc>
      </w:tr>
      <w:tr>
        <w:tc>
          <w:tcPr/>
          <w:p>
            <w:pPr>
              <w:pStyle w:val="Compact"/>
            </w:pPr>
            <w:r>
              <w:rPr>
                <w:b/>
                <w:bCs/>
              </w:rPr>
              <w:t xml:space="preserve">This is just RAG abstention.</w:t>
            </w:r>
          </w:p>
        </w:tc>
        <w:tc>
          <w:tcPr/>
          <w:p>
            <w:pPr>
              <w:pStyle w:val="Compact"/>
            </w:pPr>
            <w:r>
              <w:t xml:space="preserve">One proposed lane is deterministic refusal under insufficient evidence.</w:t>
            </w:r>
          </w:p>
        </w:tc>
        <w:tc>
          <w:tcPr/>
          <w:p>
            <w:pPr>
              <w:pStyle w:val="Compact"/>
            </w:pPr>
            <w:r>
              <w:t xml:space="preserve">Sufficient Context; abstention behavior work; RALM over-refusal paper.</w:t>
            </w:r>
            <w:r>
              <w:t xml:space="preserve"> </w:t>
            </w:r>
            <w:hyperlink r:id="rId22">
              <w:r>
                <w:rPr>
                  <w:rStyle w:val="Hyperlink"/>
                </w:rPr>
                <w:t xml:space="preserve">[18]</w:t>
              </w:r>
            </w:hyperlink>
          </w:p>
        </w:tc>
        <w:tc>
          <w:tcPr/>
          <w:p>
            <w:pPr>
              <w:pStyle w:val="Compact"/>
            </w:pPr>
            <w:r>
              <w:t xml:space="preserve">Say refusal is only one lane; the paper also studies deterministic rendering and compound answers. Show ablations where refusal-only is insufficient.</w:t>
            </w:r>
          </w:p>
        </w:tc>
        <w:tc>
          <w:tcPr/>
          <w:p>
            <w:pPr>
              <w:pStyle w:val="Compact"/>
            </w:pPr>
            <w:r>
              <w:t xml:space="preserve">“Our main innovation is abstention.”</w:t>
            </w:r>
          </w:p>
        </w:tc>
        <w:tc>
          <w:tcPr/>
          <w:p>
            <w:pPr>
              <w:pStyle w:val="Compact"/>
            </w:pPr>
            <w:r>
              <w:t xml:space="preserve">Manageable</w:t>
            </w:r>
          </w:p>
        </w:tc>
      </w:tr>
      <w:tr>
        <w:tc>
          <w:tcPr/>
          <w:p>
            <w:pPr>
              <w:pStyle w:val="Compact"/>
            </w:pPr>
            <w:r>
              <w:rPr>
                <w:b/>
                <w:bCs/>
              </w:rPr>
              <w:t xml:space="preserve">This is just model routing.</w:t>
            </w:r>
          </w:p>
        </w:tc>
        <w:tc>
          <w:tcPr/>
          <w:p>
            <w:pPr>
              <w:pStyle w:val="Compact"/>
            </w:pPr>
            <w:r>
              <w:t xml:space="preserve">Routing is already a large literature balancing cost and quality.</w:t>
            </w:r>
          </w:p>
        </w:tc>
        <w:tc>
          <w:tcPr/>
          <w:p>
            <w:pPr>
              <w:pStyle w:val="Compact"/>
            </w:pPr>
            <w:r>
              <w:t xml:space="preserve">FrugalGPT, RouteLLM, Hybrid LLM, xRouter.</w:t>
            </w:r>
            <w:r>
              <w:t xml:space="preserve"> </w:t>
            </w:r>
            <w:hyperlink r:id="rId29">
              <w:r>
                <w:rPr>
                  <w:rStyle w:val="Hyperlink"/>
                </w:rPr>
                <w:t xml:space="preserve">[11]</w:t>
              </w:r>
            </w:hyperlink>
          </w:p>
        </w:tc>
        <w:tc>
          <w:tcPr/>
          <w:p>
            <w:pPr>
              <w:pStyle w:val="Compact"/>
            </w:pPr>
            <w:r>
              <w:t xml:space="preserve">Reframe as</w:t>
            </w:r>
            <w:r>
              <w:t xml:space="preserve"> </w:t>
            </w:r>
            <w:r>
              <w:rPr>
                <w:b/>
                <w:bCs/>
              </w:rPr>
              <w:t xml:space="preserve">execution-mode routing</w:t>
            </w:r>
            <w:r>
              <w:t xml:space="preserve">. The targets are not just models, but deterministic rendering, refusal, generation, and composition.</w:t>
            </w:r>
          </w:p>
        </w:tc>
        <w:tc>
          <w:tcPr/>
          <w:p>
            <w:pPr>
              <w:pStyle w:val="Compact"/>
            </w:pPr>
            <w:r>
              <w:t xml:space="preserve">“We propose a new router for LLMs.”</w:t>
            </w:r>
          </w:p>
        </w:tc>
        <w:tc>
          <w:tcPr/>
          <w:p>
            <w:pPr>
              <w:pStyle w:val="Compact"/>
            </w:pPr>
            <w:r>
              <w:t xml:space="preserve">Manageable</w:t>
            </w:r>
          </w:p>
        </w:tc>
      </w:tr>
      <w:tr>
        <w:tc>
          <w:tcPr/>
          <w:p>
            <w:pPr>
              <w:pStyle w:val="Compact"/>
            </w:pPr>
            <w:r>
              <w:rPr>
                <w:b/>
                <w:bCs/>
              </w:rPr>
              <w:t xml:space="preserve">This is just templating.</w:t>
            </w:r>
          </w:p>
        </w:tc>
        <w:tc>
          <w:tcPr/>
          <w:p>
            <w:pPr>
              <w:pStyle w:val="Compact"/>
            </w:pPr>
            <w:r>
              <w:t xml:space="preserve">Deterministic rendering of fields may look like filling slots in a UI template.</w:t>
            </w:r>
          </w:p>
        </w:tc>
        <w:tc>
          <w:tcPr/>
          <w:p>
            <w:pPr>
              <w:pStyle w:val="Compact"/>
            </w:pPr>
            <w:r>
              <w:t xml:space="preserve">ToTTo and table-to-text provide strong comparators for structured outputs.</w:t>
            </w:r>
            <w:r>
              <w:t xml:space="preserve"> </w:t>
            </w:r>
            <w:hyperlink r:id="rId39">
              <w:r>
                <w:rPr>
                  <w:rStyle w:val="Hyperlink"/>
                </w:rPr>
                <w:t xml:space="preserve">[31]</w:t>
              </w:r>
            </w:hyperlink>
          </w:p>
        </w:tc>
        <w:tc>
          <w:tcPr/>
          <w:p>
            <w:pPr>
              <w:pStyle w:val="Compact"/>
            </w:pPr>
            <w:r>
              <w:t xml:space="preserve">Admit that one lane is intentionally template-like. The claim is that</w:t>
            </w:r>
            <w:r>
              <w:t xml:space="preserve"> </w:t>
            </w:r>
            <w:r>
              <w:rPr>
                <w:b/>
                <w:bCs/>
              </w:rPr>
              <w:t xml:space="preserve">templates are sometimes the correct answer surface</w:t>
            </w:r>
            <w:r>
              <w:t xml:space="preserve">, and the research question is when and how to allocate to them.</w:t>
            </w:r>
          </w:p>
        </w:tc>
        <w:tc>
          <w:tcPr/>
          <w:p>
            <w:pPr>
              <w:pStyle w:val="Compact"/>
            </w:pPr>
            <w:r>
              <w:t xml:space="preserve">“Templating is obviously better than generation.”</w:t>
            </w:r>
          </w:p>
        </w:tc>
        <w:tc>
          <w:tcPr/>
          <w:p>
            <w:pPr>
              <w:pStyle w:val="Compact"/>
            </w:pPr>
            <w:r>
              <w:t xml:space="preserve">Useful</w:t>
            </w:r>
          </w:p>
        </w:tc>
      </w:tr>
      <w:tr>
        <w:tc>
          <w:tcPr/>
          <w:p>
            <w:pPr>
              <w:pStyle w:val="Compact"/>
            </w:pPr>
            <w:r>
              <w:rPr>
                <w:b/>
                <w:bCs/>
              </w:rPr>
              <w:t xml:space="preserve">Metadata can be wrong, so deterministic answers are not accurate.</w:t>
            </w:r>
          </w:p>
        </w:tc>
        <w:tc>
          <w:tcPr/>
          <w:p>
            <w:pPr>
              <w:pStyle w:val="Compact"/>
            </w:pPr>
            <w:r>
              <w:t xml:space="preserve">Deterministic replay preserves errors too.</w:t>
            </w:r>
          </w:p>
        </w:tc>
        <w:tc>
          <w:tcPr/>
          <w:p>
            <w:pPr>
              <w:pStyle w:val="Compact"/>
            </w:pPr>
            <w:r>
              <w:t xml:space="preserve">RightsStatements and Europeana sources define representation and display obligations, not truth guarantees.</w:t>
            </w:r>
            <w:r>
              <w:t xml:space="preserve"> </w:t>
            </w:r>
            <w:hyperlink r:id="rId23">
              <w:r>
                <w:rPr>
                  <w:rStyle w:val="Hyperlink"/>
                </w:rPr>
                <w:t xml:space="preserve">[32]</w:t>
              </w:r>
            </w:hyperlink>
          </w:p>
        </w:tc>
        <w:tc>
          <w:tcPr/>
          <w:p>
            <w:pPr>
              <w:pStyle w:val="Compact"/>
            </w:pPr>
            <w:r>
              <w:t xml:space="preserve">Concede fully. Replace “accurate” with</w:t>
            </w:r>
            <w:r>
              <w:t xml:space="preserve"> </w:t>
            </w:r>
            <w:r>
              <w:rPr>
                <w:b/>
                <w:bCs/>
              </w:rPr>
              <w:t xml:space="preserve">faithful to evidence fields</w:t>
            </w:r>
            <w:r>
              <w:t xml:space="preserve"> </w:t>
            </w:r>
            <w:r>
              <w:t xml:space="preserve">or</w:t>
            </w:r>
            <w:r>
              <w:t xml:space="preserve"> </w:t>
            </w:r>
            <w:r>
              <w:rPr>
                <w:b/>
                <w:bCs/>
              </w:rPr>
              <w:t xml:space="preserve">field-fidelitous</w:t>
            </w:r>
            <w:r>
              <w:t xml:space="preserve">. Measure metadata correctness separately when ground truth exists.</w:t>
            </w:r>
          </w:p>
        </w:tc>
        <w:tc>
          <w:tcPr/>
          <w:p>
            <w:pPr>
              <w:pStyle w:val="Compact"/>
            </w:pPr>
            <w:r>
              <w:t xml:space="preserve">“Deterministic output guarantees correctness.”</w:t>
            </w:r>
          </w:p>
        </w:tc>
        <w:tc>
          <w:tcPr/>
          <w:p>
            <w:pPr>
              <w:pStyle w:val="Compact"/>
            </w:pPr>
            <w:r>
              <w:t xml:space="preserve">Critical but manageable</w:t>
            </w:r>
          </w:p>
        </w:tc>
      </w:tr>
      <w:tr>
        <w:tc>
          <w:tcPr/>
          <w:p>
            <w:pPr>
              <w:pStyle w:val="Compact"/>
            </w:pPr>
            <w:r>
              <w:rPr>
                <w:b/>
                <w:bCs/>
              </w:rPr>
              <w:t xml:space="preserve">A 0.8B browser-local model is too weak for a publishable RAG claim.</w:t>
            </w:r>
          </w:p>
        </w:tc>
        <w:tc>
          <w:tcPr/>
          <w:p>
            <w:pPr>
              <w:pStyle w:val="Compact"/>
            </w:pPr>
            <w:r>
              <w:t xml:space="preserve">Small local models are known to be weaker than large cloud models.</w:t>
            </w:r>
          </w:p>
        </w:tc>
        <w:tc>
          <w:tcPr/>
          <w:p>
            <w:pPr>
              <w:pStyle w:val="Compact"/>
            </w:pPr>
            <w:r>
              <w:t xml:space="preserve">Hybrid LLM explicitly frames small-vs-large tradeoffs; WebLLM/Google Edge show feasibility, not parity.</w:t>
            </w:r>
            <w:r>
              <w:t xml:space="preserve"> </w:t>
            </w:r>
            <w:hyperlink r:id="rId40">
              <w:r>
                <w:rPr>
                  <w:rStyle w:val="Hyperlink"/>
                </w:rPr>
                <w:t xml:space="preserve">[33]</w:t>
              </w:r>
            </w:hyperlink>
          </w:p>
        </w:tc>
        <w:tc>
          <w:tcPr/>
          <w:p>
            <w:pPr>
              <w:pStyle w:val="Compact"/>
            </w:pPr>
            <w:r>
              <w:t xml:space="preserve">Narrow the claim: because local models are weak and latency-sensitive, they should be reserved for bounded synthesis. Their weakness is part of the motivation, not a problem to hide.</w:t>
            </w:r>
          </w:p>
        </w:tc>
        <w:tc>
          <w:tcPr/>
          <w:p>
            <w:pPr>
              <w:pStyle w:val="Compact"/>
            </w:pPr>
            <w:r>
              <w:t xml:space="preserve">“Our small browser-local model is broadly competitive with larger RAG systems.”</w:t>
            </w:r>
          </w:p>
        </w:tc>
        <w:tc>
          <w:tcPr/>
          <w:p>
            <w:pPr>
              <w:pStyle w:val="Compact"/>
            </w:pPr>
            <w:r>
              <w:t xml:space="preserve">Manageable</w:t>
            </w:r>
          </w:p>
        </w:tc>
      </w:tr>
      <w:tr>
        <w:tc>
          <w:tcPr/>
          <w:p>
            <w:pPr>
              <w:pStyle w:val="Compact"/>
            </w:pPr>
            <w:r>
              <w:rPr>
                <w:b/>
                <w:bCs/>
              </w:rPr>
              <w:t xml:space="preserve">Fifty queries are not enough.</w:t>
            </w:r>
          </w:p>
        </w:tc>
        <w:tc>
          <w:tcPr/>
          <w:p>
            <w:pPr>
              <w:pStyle w:val="Compact"/>
            </w:pPr>
            <w:r>
              <w:t xml:space="preserve">That sample size is thin for a paper claiming a new policy.</w:t>
            </w:r>
          </w:p>
        </w:tc>
        <w:tc>
          <w:tcPr/>
          <w:p>
            <w:pPr>
              <w:pStyle w:val="Compact"/>
            </w:pPr>
            <w:r>
              <w:t xml:space="preserve">Benchmarking work in RAG and routing uses substantially larger evaluation sets.</w:t>
            </w:r>
            <w:r>
              <w:t xml:space="preserve"> </w:t>
            </w:r>
            <w:hyperlink r:id="rId41">
              <w:r>
                <w:rPr>
                  <w:rStyle w:val="Hyperlink"/>
                </w:rPr>
                <w:t xml:space="preserve">[34]</w:t>
              </w:r>
            </w:hyperlink>
          </w:p>
        </w:tc>
        <w:tc>
          <w:tcPr/>
          <w:p>
            <w:pPr>
              <w:pStyle w:val="Compact"/>
            </w:pPr>
            <w:r>
              <w:t xml:space="preserve">For a workshop/demo, maybe enough; for a full paper, expand. Add stratified error analysis and lane-wise confidence intervals.</w:t>
            </w:r>
          </w:p>
        </w:tc>
        <w:tc>
          <w:tcPr/>
          <w:p>
            <w:pPr>
              <w:pStyle w:val="Compact"/>
            </w:pPr>
            <w:r>
              <w:t xml:space="preserve">“Our 50-query fixture establishes generality.”</w:t>
            </w:r>
          </w:p>
        </w:tc>
        <w:tc>
          <w:tcPr/>
          <w:p>
            <w:pPr>
              <w:pStyle w:val="Compact"/>
            </w:pPr>
            <w:r>
              <w:t xml:space="preserve">Potentially fatal for a full paper</w:t>
            </w:r>
          </w:p>
        </w:tc>
      </w:tr>
      <w:tr>
        <w:tc>
          <w:tcPr/>
          <w:p>
            <w:pPr>
              <w:pStyle w:val="Compact"/>
            </w:pPr>
            <w:r>
              <w:rPr>
                <w:b/>
                <w:bCs/>
              </w:rPr>
              <w:t xml:space="preserve">The rule table will overfit the fixture.</w:t>
            </w:r>
          </w:p>
        </w:tc>
        <w:tc>
          <w:tcPr/>
          <w:p>
            <w:pPr>
              <w:pStyle w:val="Compact"/>
            </w:pPr>
            <w:r>
              <w:t xml:space="preserve">Small hand-built fixtures can make rules look better than they are.</w:t>
            </w:r>
          </w:p>
        </w:tc>
        <w:tc>
          <w:tcPr/>
          <w:p>
            <w:pPr>
              <w:pStyle w:val="Compact"/>
            </w:pPr>
            <w:r>
              <w:t xml:space="preserve">Over-refusal, retrieval robustness, and routing papers all show strong sensitivity to context distribution.</w:t>
            </w:r>
            <w:r>
              <w:t xml:space="preserve"> </w:t>
            </w:r>
            <w:hyperlink r:id="rId35">
              <w:r>
                <w:rPr>
                  <w:rStyle w:val="Hyperlink"/>
                </w:rPr>
                <w:t xml:space="preserve">[35]</w:t>
              </w:r>
            </w:hyperlink>
          </w:p>
        </w:tc>
        <w:tc>
          <w:tcPr/>
          <w:p>
            <w:pPr>
              <w:pStyle w:val="Compact"/>
            </w:pPr>
            <w:r>
              <w:t xml:space="preserve">Use held-out query sets, adversarial perturbations, and alternate metadata schemas. Show rules remain interpretable under distribution shift.</w:t>
            </w:r>
          </w:p>
        </w:tc>
        <w:tc>
          <w:tcPr/>
          <w:p>
            <w:pPr>
              <w:pStyle w:val="Compact"/>
            </w:pPr>
            <w:r>
              <w:t xml:space="preserve">“The lane table is robust by design.”</w:t>
            </w:r>
          </w:p>
        </w:tc>
        <w:tc>
          <w:tcPr/>
          <w:p>
            <w:pPr>
              <w:pStyle w:val="Compact"/>
            </w:pPr>
            <w:r>
              <w:t xml:space="preserve">Manageable</w:t>
            </w:r>
          </w:p>
        </w:tc>
      </w:tr>
      <w:tr>
        <w:tc>
          <w:tcPr/>
          <w:p>
            <w:pPr>
              <w:pStyle w:val="Compact"/>
            </w:pPr>
            <w:r>
              <w:rPr>
                <w:b/>
                <w:bCs/>
              </w:rPr>
              <w:t xml:space="preserve">Rights-aware archive RAG is too niche.</w:t>
            </w:r>
          </w:p>
        </w:tc>
        <w:tc>
          <w:tcPr/>
          <w:p>
            <w:pPr>
              <w:pStyle w:val="Compact"/>
            </w:pPr>
            <w:r>
              <w:t xml:space="preserve">Reviewers outside libraries/archives may see a narrow application domain.</w:t>
            </w:r>
          </w:p>
        </w:tc>
        <w:tc>
          <w:tcPr/>
          <w:p>
            <w:pPr>
              <w:pStyle w:val="Compact"/>
            </w:pPr>
            <w:r>
              <w:t xml:space="preserve">JCDL/Europeana/RightsStatements support the domain’s legitimacy, but SIGIR/CIKM reviewers may still see niche scope.</w:t>
            </w:r>
            <w:r>
              <w:t xml:space="preserve"> </w:t>
            </w:r>
            <w:hyperlink r:id="rId42">
              <w:r>
                <w:rPr>
                  <w:rStyle w:val="Hyperlink"/>
                </w:rPr>
                <w:t xml:space="preserve">[36]</w:t>
              </w:r>
            </w:hyperlink>
          </w:p>
        </w:tc>
        <w:tc>
          <w:tcPr/>
          <w:p>
            <w:pPr>
              <w:pStyle w:val="Compact"/>
            </w:pPr>
            <w:r>
              <w:t xml:space="preserve">Use rights-aware archives as a</w:t>
            </w:r>
            <w:r>
              <w:t xml:space="preserve"> </w:t>
            </w:r>
            <w:r>
              <w:rPr>
                <w:b/>
                <w:bCs/>
              </w:rPr>
              <w:t xml:space="preserve">stress-test domain</w:t>
            </w:r>
            <w:r>
              <w:t xml:space="preserve">, not the only target. Add at least one other metadata-heavy private domain if possible.</w:t>
            </w:r>
          </w:p>
        </w:tc>
        <w:tc>
          <w:tcPr/>
          <w:p>
            <w:pPr>
              <w:pStyle w:val="Compact"/>
            </w:pPr>
            <w:r>
              <w:t xml:space="preserve">“This paper matters because archive rights metadata is universally central to RAG.”</w:t>
            </w:r>
          </w:p>
        </w:tc>
        <w:tc>
          <w:tcPr/>
          <w:p>
            <w:pPr>
              <w:pStyle w:val="Compact"/>
            </w:pPr>
            <w:r>
              <w:t xml:space="preserve">Manageable</w:t>
            </w:r>
          </w:p>
        </w:tc>
      </w:tr>
      <w:tr>
        <w:tc>
          <w:tcPr/>
          <w:p>
            <w:pPr>
              <w:pStyle w:val="Compact"/>
            </w:pPr>
            <w:r>
              <w:rPr>
                <w:b/>
                <w:bCs/>
              </w:rPr>
              <w:t xml:space="preserve">Latency results are browser/hardware-specific.</w:t>
            </w:r>
          </w:p>
        </w:tc>
        <w:tc>
          <w:tcPr/>
          <w:p>
            <w:pPr>
              <w:pStyle w:val="Compact"/>
            </w:pPr>
            <w:r>
              <w:t xml:space="preserve">Browser-local inference varies dramatically by browser, GPU, warm-up, memory, and loading behavior.</w:t>
            </w:r>
          </w:p>
        </w:tc>
        <w:tc>
          <w:tcPr/>
          <w:p>
            <w:pPr>
              <w:pStyle w:val="Compact"/>
            </w:pPr>
            <w:r>
              <w:t xml:space="preserve">WebLLM, browser inference measurement papers, DistServe-style latency decomposition.</w:t>
            </w:r>
            <w:r>
              <w:t xml:space="preserve"> </w:t>
            </w:r>
            <w:hyperlink r:id="rId21">
              <w:r>
                <w:rPr>
                  <w:rStyle w:val="Hyperlink"/>
                </w:rPr>
                <w:t xml:space="preserve">[37]</w:t>
              </w:r>
            </w:hyperlink>
          </w:p>
        </w:tc>
        <w:tc>
          <w:tcPr/>
          <w:p>
            <w:pPr>
              <w:pStyle w:val="Compact"/>
            </w:pPr>
            <w:r>
              <w:t xml:space="preserve">Report hardware/browser details, warm/cold runs, TTFT/TPOT when applicable, and hybrid end-to-end latency. Claim</w:t>
            </w:r>
            <w:r>
              <w:t xml:space="preserve"> </w:t>
            </w:r>
            <w:r>
              <w:rPr>
                <w:b/>
                <w:bCs/>
              </w:rPr>
              <w:t xml:space="preserve">comparative within-environment</w:t>
            </w:r>
            <w:r>
              <w:t xml:space="preserve"> </w:t>
            </w:r>
            <w:r>
              <w:t xml:space="preserve">results, not universal numbers.</w:t>
            </w:r>
          </w:p>
        </w:tc>
        <w:tc>
          <w:tcPr/>
          <w:p>
            <w:pPr>
              <w:pStyle w:val="Compact"/>
            </w:pPr>
            <w:r>
              <w:t xml:space="preserve">“Our latency numbers generalize across browsers and devices.”</w:t>
            </w:r>
          </w:p>
        </w:tc>
        <w:tc>
          <w:tcPr/>
          <w:p>
            <w:pPr>
              <w:pStyle w:val="Compact"/>
            </w:pPr>
            <w:r>
              <w:t xml:space="preserve">Manageable</w:t>
            </w:r>
          </w:p>
        </w:tc>
      </w:tr>
      <w:tr>
        <w:tc>
          <w:tcPr/>
          <w:p>
            <w:pPr>
              <w:pStyle w:val="Compact"/>
            </w:pPr>
            <w:r>
              <w:rPr>
                <w:b/>
                <w:bCs/>
              </w:rPr>
              <w:t xml:space="preserve">Where is the learning contribution?</w:t>
            </w:r>
          </w:p>
        </w:tc>
        <w:tc>
          <w:tcPr/>
          <w:p>
            <w:pPr>
              <w:pStyle w:val="Compact"/>
            </w:pPr>
            <w:r>
              <w:t xml:space="preserve">Systems without learned components can look less publishable in NLP/IR venues.</w:t>
            </w:r>
          </w:p>
        </w:tc>
        <w:tc>
          <w:tcPr/>
          <w:p>
            <w:pPr>
              <w:pStyle w:val="Compact"/>
            </w:pPr>
            <w:r>
              <w:t xml:space="preserve">Many adjacent works are learned: Self-RAG, RouteLLM, xRouter.</w:t>
            </w:r>
            <w:r>
              <w:t xml:space="preserve"> </w:t>
            </w:r>
            <w:hyperlink r:id="rId43">
              <w:r>
                <w:rPr>
                  <w:rStyle w:val="Hyperlink"/>
                </w:rPr>
                <w:t xml:space="preserve">[38]</w:t>
              </w:r>
            </w:hyperlink>
          </w:p>
        </w:tc>
        <w:tc>
          <w:tcPr/>
          <w:p>
            <w:pPr>
              <w:pStyle w:val="Compact"/>
            </w:pPr>
            <w:r>
              <w:t xml:space="preserve">Position the paper as</w:t>
            </w:r>
            <w:r>
              <w:t xml:space="preserve"> </w:t>
            </w:r>
            <w:r>
              <w:rPr>
                <w:b/>
                <w:bCs/>
              </w:rPr>
              <w:t xml:space="preserve">systems/HCI/applied IR</w:t>
            </w:r>
            <w:r>
              <w:t xml:space="preserve">, not as an algorithmic-learning paper.</w:t>
            </w:r>
          </w:p>
        </w:tc>
        <w:tc>
          <w:tcPr/>
          <w:p>
            <w:pPr>
              <w:pStyle w:val="Compact"/>
            </w:pPr>
            <w:r>
              <w:t xml:space="preserve">“We advance the state of the art in model learning.”</w:t>
            </w:r>
          </w:p>
        </w:tc>
        <w:tc>
          <w:tcPr/>
          <w:p>
            <w:pPr>
              <w:pStyle w:val="Compact"/>
            </w:pPr>
            <w:r>
              <w:t xml:space="preserve">Venue-dependent</w:t>
            </w:r>
          </w:p>
        </w:tc>
      </w:tr>
      <w:tr>
        <w:tc>
          <w:tcPr/>
          <w:p>
            <w:pPr>
              <w:pStyle w:val="Compact"/>
            </w:pPr>
            <w:r>
              <w:rPr>
                <w:b/>
                <w:bCs/>
              </w:rPr>
              <w:t xml:space="preserve">Compound answers are obvious UI engineering.</w:t>
            </w:r>
          </w:p>
        </w:tc>
        <w:tc>
          <w:tcPr/>
          <w:p>
            <w:pPr>
              <w:pStyle w:val="Compact"/>
            </w:pPr>
            <w:r>
              <w:t xml:space="preserve">Many real systems already mix labels, snippets, and generated text.</w:t>
            </w:r>
          </w:p>
        </w:tc>
        <w:tc>
          <w:tcPr/>
          <w:p>
            <w:pPr>
              <w:pStyle w:val="Compact"/>
            </w:pPr>
            <w:r>
              <w:t xml:space="preserve">AI Chains and mixed-initiative work normalize multi-part outputs.</w:t>
            </w:r>
            <w:r>
              <w:t xml:space="preserve"> </w:t>
            </w:r>
            <w:hyperlink r:id="rId44">
              <w:r>
                <w:rPr>
                  <w:rStyle w:val="Hyperlink"/>
                </w:rPr>
                <w:t xml:space="preserve">[39]</w:t>
              </w:r>
            </w:hyperlink>
          </w:p>
        </w:tc>
        <w:tc>
          <w:tcPr/>
          <w:p>
            <w:pPr>
              <w:pStyle w:val="Compact"/>
            </w:pPr>
            <w:r>
              <w:t xml:space="preserve">Say the novelty is not that compound answers exist, but that they are</w:t>
            </w:r>
            <w:r>
              <w:t xml:space="preserve"> </w:t>
            </w:r>
            <w:r>
              <w:rPr>
                <w:b/>
                <w:bCs/>
              </w:rPr>
              <w:t xml:space="preserve">codified as a lane with measurable fidelity and usability criteria</w:t>
            </w:r>
            <w:r>
              <w:t xml:space="preserve">.</w:t>
            </w:r>
          </w:p>
        </w:tc>
        <w:tc>
          <w:tcPr/>
          <w:p>
            <w:pPr>
              <w:pStyle w:val="Compact"/>
            </w:pPr>
            <w:r>
              <w:t xml:space="preserve">“We invent composed answers.”</w:t>
            </w:r>
          </w:p>
        </w:tc>
        <w:tc>
          <w:tcPr/>
          <w:p>
            <w:pPr>
              <w:pStyle w:val="Compact"/>
            </w:pPr>
            <w:r>
              <w:t xml:space="preserve">Useful</w:t>
            </w:r>
          </w:p>
        </w:tc>
      </w:tr>
      <w:tr>
        <w:tc>
          <w:tcPr/>
          <w:p>
            <w:pPr>
              <w:pStyle w:val="Compact"/>
            </w:pPr>
            <w:r>
              <w:rPr>
                <w:b/>
                <w:bCs/>
              </w:rPr>
              <w:t xml:space="preserve">Why browser-local specifically?</w:t>
            </w:r>
          </w:p>
        </w:tc>
        <w:tc>
          <w:tcPr/>
          <w:p>
            <w:pPr>
              <w:pStyle w:val="Compact"/>
            </w:pPr>
            <w:r>
              <w:t xml:space="preserve">Reviewers may think the same idea applies everywhere.</w:t>
            </w:r>
          </w:p>
        </w:tc>
        <w:tc>
          <w:tcPr/>
          <w:p>
            <w:pPr>
              <w:pStyle w:val="Compact"/>
            </w:pPr>
            <w:r>
              <w:t xml:space="preserve">WebLLM, MeMemo, Google Edge, browser QoE papers all stress locality, privacy, and device constraints.</w:t>
            </w:r>
            <w:r>
              <w:t xml:space="preserve"> </w:t>
            </w:r>
            <w:hyperlink r:id="rId21">
              <w:r>
                <w:rPr>
                  <w:rStyle w:val="Hyperlink"/>
                </w:rPr>
                <w:t xml:space="preserve">[40]</w:t>
              </w:r>
            </w:hyperlink>
          </w:p>
        </w:tc>
        <w:tc>
          <w:tcPr/>
          <w:p>
            <w:pPr>
              <w:pStyle w:val="Compact"/>
            </w:pPr>
            <w:r>
              <w:t xml:space="preserve">Argue that browser-local small models make the allocation problem sharper because of weaker models, privacy goals, and user-visible latency.</w:t>
            </w:r>
          </w:p>
        </w:tc>
        <w:tc>
          <w:tcPr/>
          <w:p>
            <w:pPr>
              <w:pStyle w:val="Compact"/>
            </w:pPr>
            <w:r>
              <w:t xml:space="preserve">“This is a general property of all RAG systems.”</w:t>
            </w:r>
          </w:p>
        </w:tc>
        <w:tc>
          <w:tcPr/>
          <w:p>
            <w:pPr>
              <w:pStyle w:val="Compact"/>
            </w:pPr>
            <w:r>
              <w:t xml:space="preserve">Manageable</w:t>
            </w:r>
          </w:p>
        </w:tc>
      </w:tr>
    </w:tbl>
    <w:bookmarkEnd w:id="45"/>
    <w:bookmarkStart w:id="54" w:name="X5b53875ac738221f43218f04ac18c616a94f2af"/>
    <w:p>
      <w:pPr>
        <w:pStyle w:val="Heading2"/>
      </w:pPr>
      <w:r>
        <w:t xml:space="preserve">Contribution Wording and Venue-Fit Analysis</w:t>
      </w:r>
    </w:p>
    <w:p>
      <w:pPr>
        <w:pStyle w:val="FirstParagraph"/>
      </w:pPr>
      <w:r>
        <w:rPr>
          <w:b/>
          <w:bCs/>
        </w:rPr>
        <w:t xml:space="preserve">Contribution sharpening.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Candidate contribution</w:t>
            </w:r>
          </w:p>
        </w:tc>
        <w:tc>
          <w:tcPr/>
          <w:p>
            <w:pPr>
              <w:pStyle w:val="Compact"/>
            </w:pPr>
            <w:r>
              <w:t xml:space="preserve">Status</w:t>
            </w:r>
          </w:p>
        </w:tc>
        <w:tc>
          <w:tcPr/>
          <w:p>
            <w:pPr>
              <w:pStyle w:val="Compact"/>
            </w:pPr>
            <w:r>
              <w:t xml:space="preserve">Must cite</w:t>
            </w:r>
          </w:p>
        </w:tc>
        <w:tc>
          <w:tcPr/>
          <w:p>
            <w:pPr>
              <w:pStyle w:val="Compact"/>
            </w:pPr>
            <w:r>
              <w:t xml:space="preserve">Evidence the paper needs</w:t>
            </w:r>
          </w:p>
        </w:tc>
        <w:tc>
          <w:tcPr/>
          <w:p>
            <w:pPr>
              <w:pStyle w:val="Compact"/>
            </w:pPr>
            <w:r>
              <w:t xml:space="preserve">Safer wording</w:t>
            </w:r>
          </w:p>
        </w:tc>
      </w:tr>
      <w:tr>
        <w:tc>
          <w:tcPr/>
          <w:p>
            <w:pPr>
              <w:pStyle w:val="Compact"/>
            </w:pPr>
            <w:r>
              <w:t xml:space="preserve">Generation allocation framing for browser-local small-model RAG</w:t>
            </w:r>
          </w:p>
        </w:tc>
        <w:tc>
          <w:tcPr/>
          <w:p>
            <w:pPr>
              <w:pStyle w:val="Compact"/>
            </w:pPr>
            <w:r>
              <w:rPr>
                <w:b/>
                <w:bCs/>
              </w:rPr>
              <w:t xml:space="preserve">Incremental but under-articulated</w:t>
            </w:r>
          </w:p>
        </w:tc>
        <w:tc>
          <w:tcPr/>
          <w:p>
            <w:pPr>
              <w:pStyle w:val="Compact"/>
            </w:pPr>
            <w:r>
              <w:t xml:space="preserve">Browser-local inference, sufficiency, routing, HCI.</w:t>
            </w:r>
            <w:r>
              <w:t xml:space="preserve"> </w:t>
            </w:r>
            <w:hyperlink r:id="rId21">
              <w:r>
                <w:rPr>
                  <w:rStyle w:val="Hyperlink"/>
                </w:rPr>
                <w:t xml:space="preserve">[41]</w:t>
              </w:r>
            </w:hyperlink>
          </w:p>
        </w:tc>
        <w:tc>
          <w:tcPr/>
          <w:p>
            <w:pPr>
              <w:pStyle w:val="Compact"/>
            </w:pPr>
            <w:r>
              <w:t xml:space="preserve">Clear task taxonomy and failure cases where generation hurts</w:t>
            </w:r>
          </w:p>
        </w:tc>
        <w:tc>
          <w:tcPr/>
          <w:p>
            <w:pPr>
              <w:pStyle w:val="Compact"/>
            </w:pPr>
            <w:r>
              <w:t xml:space="preserve">“We formulate a generation-allocation problem for browser-local small-model RAG.”</w:t>
            </w:r>
          </w:p>
        </w:tc>
      </w:tr>
      <w:tr>
        <w:tc>
          <w:tcPr/>
          <w:p>
            <w:pPr>
              <w:pStyle w:val="Compact"/>
            </w:pPr>
            <w:r>
              <w:t xml:space="preserve">Hybrid answer-lane execution policy over query intent and evidence state</w:t>
            </w:r>
          </w:p>
        </w:tc>
        <w:tc>
          <w:tcPr/>
          <w:p>
            <w:pPr>
              <w:pStyle w:val="Compact"/>
            </w:pPr>
            <w:r>
              <w:rPr>
                <w:b/>
                <w:bCs/>
              </w:rPr>
              <w:t xml:space="preserve">Moderately novel as a synthesis</w:t>
            </w:r>
          </w:p>
        </w:tc>
        <w:tc>
          <w:tcPr/>
          <w:p>
            <w:pPr>
              <w:pStyle w:val="Compact"/>
            </w:pPr>
            <w:r>
              <w:t xml:space="preserve">Guardrails, routing, abstention, mixed initiative.</w:t>
            </w:r>
            <w:r>
              <w:t xml:space="preserve"> </w:t>
            </w:r>
            <w:hyperlink r:id="rId38">
              <w:r>
                <w:rPr>
                  <w:rStyle w:val="Hyperlink"/>
                </w:rPr>
                <w:t xml:space="preserve">[42]</w:t>
              </w:r>
            </w:hyperlink>
          </w:p>
        </w:tc>
        <w:tc>
          <w:tcPr/>
          <w:p>
            <w:pPr>
              <w:pStyle w:val="Compact"/>
            </w:pPr>
            <w:r>
              <w:t xml:space="preserve">Lane definitions, ablations, held-out evaluation</w:t>
            </w:r>
          </w:p>
        </w:tc>
        <w:tc>
          <w:tcPr/>
          <w:p>
            <w:pPr>
              <w:pStyle w:val="Compact"/>
            </w:pPr>
            <w:r>
              <w:t xml:space="preserve">“We operationalize answer-lane allocation as a policy over intent and evidence state.”</w:t>
            </w:r>
          </w:p>
        </w:tc>
      </w:tr>
      <w:tr>
        <w:tc>
          <w:tcPr/>
          <w:p>
            <w:pPr>
              <w:pStyle w:val="Compact"/>
            </w:pPr>
            <w:r>
              <w:t xml:space="preserve">Deterministic evidence-field rendering for contract-bearing source/rights lanes</w:t>
            </w:r>
          </w:p>
        </w:tc>
        <w:tc>
          <w:tcPr/>
          <w:p>
            <w:pPr>
              <w:pStyle w:val="Compact"/>
            </w:pPr>
            <w:r>
              <w:rPr>
                <w:b/>
                <w:bCs/>
              </w:rPr>
              <w:t xml:space="preserve">Strongest distinct claim</w:t>
            </w:r>
          </w:p>
        </w:tc>
        <w:tc>
          <w:tcPr/>
          <w:p>
            <w:pPr>
              <w:pStyle w:val="Compact"/>
            </w:pPr>
            <w:r>
              <w:t xml:space="preserve">RightsStatements, Europeana EDM, Publishing Framework.</w:t>
            </w:r>
            <w:r>
              <w:t xml:space="preserve"> </w:t>
            </w:r>
            <w:hyperlink r:id="rId32">
              <w:r>
                <w:rPr>
                  <w:rStyle w:val="Hyperlink"/>
                </w:rPr>
                <w:t xml:space="preserve">[43]</w:t>
              </w:r>
            </w:hyperlink>
          </w:p>
        </w:tc>
        <w:tc>
          <w:tcPr/>
          <w:p>
            <w:pPr>
              <w:pStyle w:val="Compact"/>
            </w:pPr>
            <w:r>
              <w:t xml:space="preserve">Queries where exact fields matter; fidelity metric; comparison against generative paraphrase</w:t>
            </w:r>
          </w:p>
        </w:tc>
        <w:tc>
          <w:tcPr/>
          <w:p>
            <w:pPr>
              <w:pStyle w:val="Compact"/>
            </w:pPr>
            <w:r>
              <w:t xml:space="preserve">“For some contract-bearing fields, deterministic rendering is preferable to generation.”</w:t>
            </w:r>
          </w:p>
        </w:tc>
      </w:tr>
      <w:tr>
        <w:tc>
          <w:tcPr/>
          <w:p>
            <w:pPr>
              <w:pStyle w:val="Compact"/>
            </w:pPr>
            <w:r>
              <w:t xml:space="preserve">Deterministic insufficient-evidence refusal as a separate lane</w:t>
            </w:r>
          </w:p>
        </w:tc>
        <w:tc>
          <w:tcPr/>
          <w:p>
            <w:pPr>
              <w:pStyle w:val="Compact"/>
            </w:pPr>
            <w:r>
              <w:rPr>
                <w:b/>
                <w:bCs/>
              </w:rPr>
              <w:t xml:space="preserve">Incremental</w:t>
            </w:r>
          </w:p>
        </w:tc>
        <w:tc>
          <w:tcPr/>
          <w:p>
            <w:pPr>
              <w:pStyle w:val="Compact"/>
            </w:pPr>
            <w:r>
              <w:t xml:space="preserve">Sufficiency and abstention papers.</w:t>
            </w:r>
            <w:r>
              <w:t xml:space="preserve"> </w:t>
            </w:r>
            <w:hyperlink r:id="rId22">
              <w:r>
                <w:rPr>
                  <w:rStyle w:val="Hyperlink"/>
                </w:rPr>
                <w:t xml:space="preserve">[18]</w:t>
              </w:r>
            </w:hyperlink>
          </w:p>
        </w:tc>
        <w:tc>
          <w:tcPr/>
          <w:p>
            <w:pPr>
              <w:pStyle w:val="Compact"/>
            </w:pPr>
            <w:r>
              <w:t xml:space="preserve">Over/under-refusal metrics and baselines</w:t>
            </w:r>
          </w:p>
        </w:tc>
        <w:tc>
          <w:tcPr/>
          <w:p>
            <w:pPr>
              <w:pStyle w:val="Compact"/>
            </w:pPr>
            <w:r>
              <w:t xml:space="preserve">“We treat insufficient-evidence refusal as a separate runtime lane.”</w:t>
            </w:r>
          </w:p>
        </w:tc>
      </w:tr>
      <w:tr>
        <w:tc>
          <w:tcPr/>
          <w:p>
            <w:pPr>
              <w:pStyle w:val="Compact"/>
            </w:pPr>
            <w:r>
              <w:t xml:space="preserve">Compound deterministic-plus-generative answers for mixed-intent queries</w:t>
            </w:r>
          </w:p>
        </w:tc>
        <w:tc>
          <w:tcPr/>
          <w:p>
            <w:pPr>
              <w:pStyle w:val="Compact"/>
            </w:pPr>
            <w:r>
              <w:rPr>
                <w:b/>
                <w:bCs/>
              </w:rPr>
              <w:t xml:space="preserve">Incremental but plausible</w:t>
            </w:r>
          </w:p>
        </w:tc>
        <w:tc>
          <w:tcPr/>
          <w:p>
            <w:pPr>
              <w:pStyle w:val="Compact"/>
            </w:pPr>
            <w:r>
              <w:t xml:space="preserve">AI Chains, mixed initiative, human-AI guidelines.</w:t>
            </w:r>
            <w:r>
              <w:t xml:space="preserve"> </w:t>
            </w:r>
            <w:hyperlink r:id="rId44">
              <w:r>
                <w:rPr>
                  <w:rStyle w:val="Hyperlink"/>
                </w:rPr>
                <w:t xml:space="preserve">[44]</w:t>
              </w:r>
            </w:hyperlink>
          </w:p>
        </w:tc>
        <w:tc>
          <w:tcPr/>
          <w:p>
            <w:pPr>
              <w:pStyle w:val="Compact"/>
            </w:pPr>
            <w:r>
              <w:t xml:space="preserve">Usability study or at least blinded preference judgments</w:t>
            </w:r>
          </w:p>
        </w:tc>
        <w:tc>
          <w:tcPr/>
          <w:p>
            <w:pPr>
              <w:pStyle w:val="Compact"/>
            </w:pPr>
            <w:r>
              <w:t xml:space="preserve">“Some mixed-intent queries are better served by compound answers than by a single generative surface.”</w:t>
            </w:r>
          </w:p>
        </w:tc>
      </w:tr>
      <w:tr>
        <w:tc>
          <w:tcPr/>
          <w:p>
            <w:pPr>
              <w:pStyle w:val="Compact"/>
            </w:pPr>
            <w:r>
              <w:t xml:space="preserve">Evaluation protocol separating field fidelity, answer correctness, latency, usability</w:t>
            </w:r>
          </w:p>
        </w:tc>
        <w:tc>
          <w:tcPr/>
          <w:p>
            <w:pPr>
              <w:pStyle w:val="Compact"/>
            </w:pPr>
            <w:r>
              <w:rPr>
                <w:b/>
                <w:bCs/>
              </w:rPr>
              <w:t xml:space="preserve">Potentially novel if done rigorously</w:t>
            </w:r>
          </w:p>
        </w:tc>
        <w:tc>
          <w:tcPr/>
          <w:p>
            <w:pPr>
              <w:pStyle w:val="Compact"/>
            </w:pPr>
            <w:r>
              <w:t xml:space="preserve">ALCE, correctness-vs-faithfulness, DistServe, trust/HCI work.</w:t>
            </w:r>
            <w:r>
              <w:t xml:space="preserve"> </w:t>
            </w:r>
            <w:hyperlink r:id="rId46">
              <w:r>
                <w:rPr>
                  <w:rStyle w:val="Hyperlink"/>
                </w:rPr>
                <w:t xml:space="preserve">[45]</w:t>
              </w:r>
            </w:hyperlink>
          </w:p>
        </w:tc>
        <w:tc>
          <w:tcPr/>
          <w:p>
            <w:pPr>
              <w:pStyle w:val="Compact"/>
            </w:pPr>
            <w:r>
              <w:t xml:space="preserve">Explicit metrics, annotation protocol, inter-rater agreement</w:t>
            </w:r>
          </w:p>
        </w:tc>
        <w:tc>
          <w:tcPr/>
          <w:p>
            <w:pPr>
              <w:pStyle w:val="Compact"/>
            </w:pPr>
            <w:r>
              <w:t xml:space="preserve">“We propose an evaluation protocol that separates fidelity, correctness, latency, and usability.”</w:t>
            </w:r>
          </w:p>
        </w:tc>
      </w:tr>
      <w:tr>
        <w:tc>
          <w:tcPr/>
          <w:p>
            <w:pPr>
              <w:pStyle w:val="Compact"/>
            </w:pPr>
            <w:r>
              <w:t xml:space="preserve">Latency vocabulary separating local generation latency from hybrid system latency</w:t>
            </w:r>
          </w:p>
        </w:tc>
        <w:tc>
          <w:tcPr/>
          <w:p>
            <w:pPr>
              <w:pStyle w:val="Compact"/>
            </w:pPr>
            <w:r>
              <w:rPr>
                <w:b/>
                <w:bCs/>
              </w:rPr>
              <w:t xml:space="preserve">Useful reporting convention, not a standalone novelty claim</w:t>
            </w:r>
          </w:p>
        </w:tc>
        <w:tc>
          <w:tcPr/>
          <w:p>
            <w:pPr>
              <w:pStyle w:val="Compact"/>
            </w:pPr>
            <w:r>
              <w:t xml:space="preserve">DistServe, browser QoE papers.</w:t>
            </w:r>
            <w:r>
              <w:t xml:space="preserve"> </w:t>
            </w:r>
            <w:hyperlink r:id="rId31">
              <w:r>
                <w:rPr>
                  <w:rStyle w:val="Hyperlink"/>
                </w:rPr>
                <w:t xml:space="preserve">[46]</w:t>
              </w:r>
            </w:hyperlink>
          </w:p>
        </w:tc>
        <w:tc>
          <w:tcPr/>
          <w:p>
            <w:pPr>
              <w:pStyle w:val="Compact"/>
            </w:pPr>
            <w:r>
              <w:t xml:space="preserve">Precise definitions aligned to TTFT/TPOT and end-to-end timings</w:t>
            </w:r>
          </w:p>
        </w:tc>
        <w:tc>
          <w:tcPr/>
          <w:p>
            <w:pPr>
              <w:pStyle w:val="Compact"/>
            </w:pPr>
            <w:r>
              <w:t xml:space="preserve">“We define reporting conventions that distinguish generation latency from hybrid end-to-end latency.”</w:t>
            </w:r>
          </w:p>
        </w:tc>
      </w:tr>
    </w:tbl>
    <w:p>
      <w:pPr>
        <w:pStyle w:val="BodyText"/>
      </w:pPr>
      <w:r>
        <w:rPr>
          <w:b/>
          <w:bCs/>
        </w:rPr>
        <w:t xml:space="preserve">Strong, safe, and forbidden claim language.</w:t>
      </w:r>
      <w:r>
        <w:br/>
      </w:r>
      <w:r>
        <w:t xml:space="preserve">A</w:t>
      </w:r>
      <w:r>
        <w:t xml:space="preserve"> </w:t>
      </w:r>
      <w:r>
        <w:rPr>
          <w:b/>
          <w:bCs/>
        </w:rPr>
        <w:t xml:space="preserve">strong but defensible</w:t>
      </w:r>
      <w:r>
        <w:t xml:space="preserve"> </w:t>
      </w:r>
      <w:r>
        <w:t xml:space="preserve">claim is:</w:t>
      </w:r>
      <w:r>
        <w:t xml:space="preserve"> </w:t>
      </w:r>
      <w:r>
        <w:rPr>
          <w:b/>
          <w:bCs/>
        </w:rPr>
        <w:t xml:space="preserve">“In browser-local small-model RAG, some answer components are better served as deterministic evidence or refusal lanes than as generated text.”</w:t>
      </w:r>
      <w:r>
        <w:t xml:space="preserve"> </w:t>
      </w:r>
      <w:r>
        <w:t xml:space="preserve">A</w:t>
      </w:r>
      <w:r>
        <w:t xml:space="preserve"> </w:t>
      </w:r>
      <w:r>
        <w:rPr>
          <w:b/>
          <w:bCs/>
        </w:rPr>
        <w:t xml:space="preserve">safer</w:t>
      </w:r>
      <w:r>
        <w:t xml:space="preserve"> </w:t>
      </w:r>
      <w:r>
        <w:t xml:space="preserve">claim is:</w:t>
      </w:r>
      <w:r>
        <w:t xml:space="preserve"> </w:t>
      </w:r>
      <w:r>
        <w:rPr>
          <w:b/>
          <w:bCs/>
        </w:rPr>
        <w:t xml:space="preserve">“We show that a hybrid answer policy can improve evidence-field fidelity and reduce unsupported outputs in a browser-local setting.”</w:t>
      </w:r>
      <w:r>
        <w:t xml:space="preserve"> </w:t>
      </w:r>
      <w:r>
        <w:t xml:space="preserve">A</w:t>
      </w:r>
      <w:r>
        <w:t xml:space="preserve"> </w:t>
      </w:r>
      <w:r>
        <w:rPr>
          <w:b/>
          <w:bCs/>
        </w:rPr>
        <w:t xml:space="preserve">forbidden</w:t>
      </w:r>
      <w:r>
        <w:t xml:space="preserve"> </w:t>
      </w:r>
      <w:r>
        <w:t xml:space="preserve">claim is:</w:t>
      </w:r>
      <w:r>
        <w:t xml:space="preserve"> </w:t>
      </w:r>
      <w:r>
        <w:rPr>
          <w:b/>
          <w:bCs/>
        </w:rPr>
        <w:t xml:space="preserve">“Deterministic lanes make archive RAG accurate and legally correct.”</w:t>
      </w:r>
      <w:r>
        <w:t xml:space="preserve"> </w:t>
      </w:r>
      <w:r>
        <w:t xml:space="preserve">The last sentence is too strong on both semantic and legal grounds.</w:t>
      </w:r>
      <w:r>
        <w:t xml:space="preserve"> </w:t>
      </w:r>
      <w:hyperlink r:id="rId47">
        <w:r>
          <w:rPr>
            <w:rStyle w:val="Hyperlink"/>
          </w:rPr>
          <w:t xml:space="preserve">[47]</w:t>
        </w:r>
      </w:hyperlink>
    </w:p>
    <w:p>
      <w:pPr>
        <w:pStyle w:val="BodyText"/>
      </w:pPr>
      <w:r>
        <w:rPr>
          <w:b/>
          <w:bCs/>
        </w:rPr>
        <w:t xml:space="preserve">Paper-framing alternatives.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Framing</w:t>
            </w:r>
          </w:p>
        </w:tc>
        <w:tc>
          <w:tcPr/>
          <w:p>
            <w:pPr>
              <w:pStyle w:val="Compact"/>
            </w:pPr>
            <w:r>
              <w:t xml:space="preserve">Novelty</w:t>
            </w:r>
          </w:p>
        </w:tc>
        <w:tc>
          <w:tcPr/>
          <w:p>
            <w:pPr>
              <w:pStyle w:val="Compact"/>
            </w:pPr>
            <w:r>
              <w:t xml:space="preserve">Clarity</w:t>
            </w:r>
          </w:p>
        </w:tc>
        <w:tc>
          <w:tcPr/>
          <w:p>
            <w:pPr>
              <w:pStyle w:val="Compact"/>
            </w:pPr>
            <w:r>
              <w:t xml:space="preserve">Venue fit</w:t>
            </w:r>
          </w:p>
        </w:tc>
        <w:tc>
          <w:tcPr/>
          <w:p>
            <w:pPr>
              <w:pStyle w:val="Compact"/>
            </w:pPr>
            <w:r>
              <w:t xml:space="preserve">Risk</w:t>
            </w:r>
          </w:p>
        </w:tc>
      </w:tr>
      <w:tr>
        <w:tc>
          <w:tcPr/>
          <w:p>
            <w:pPr>
              <w:pStyle w:val="Compact"/>
            </w:pPr>
            <w:r>
              <w:rPr>
                <w:b/>
                <w:bCs/>
              </w:rPr>
              <w:t xml:space="preserve">Generation Allocation</w:t>
            </w:r>
            <w:r>
              <w:t xml:space="preserve"> </w:t>
            </w:r>
            <w:r>
              <w:t xml:space="preserve">— “Browser-local RAG needs an execution policy for deciding what should not be generated.”</w:t>
            </w:r>
          </w:p>
        </w:tc>
        <w:tc>
          <w:tcPr/>
          <w:p>
            <w:pPr>
              <w:pStyle w:val="Compact"/>
            </w:pPr>
            <w:r>
              <w:t xml:space="preserve">Best among the options</w:t>
            </w:r>
          </w:p>
        </w:tc>
        <w:tc>
          <w:tcPr/>
          <w:p>
            <w:pPr>
              <w:pStyle w:val="Compact"/>
            </w:pPr>
            <w:r>
              <w:t xml:space="preserve">High</w:t>
            </w:r>
          </w:p>
        </w:tc>
        <w:tc>
          <w:tcPr/>
          <w:p>
            <w:pPr>
              <w:pStyle w:val="Compact"/>
            </w:pPr>
            <w:r>
              <w:t xml:space="preserve">JCDL, SIGIR applied/resource, workshop paths</w:t>
            </w:r>
          </w:p>
        </w:tc>
        <w:tc>
          <w:tcPr/>
          <w:p>
            <w:pPr>
              <w:pStyle w:val="Compact"/>
            </w:pPr>
            <w:r>
              <w:t xml:space="preserve">Risks being recast as routing/guardrails</w:t>
            </w:r>
          </w:p>
        </w:tc>
      </w:tr>
      <w:tr>
        <w:tc>
          <w:tcPr/>
          <w:p>
            <w:pPr>
              <w:pStyle w:val="Compact"/>
            </w:pPr>
            <w:r>
              <w:rPr>
                <w:b/>
                <w:bCs/>
              </w:rPr>
              <w:t xml:space="preserve">Rights-Aware Archive RAG</w:t>
            </w:r>
            <w:r>
              <w:t xml:space="preserve"> </w:t>
            </w:r>
            <w:r>
              <w:t xml:space="preserve">— “Rights and provenance fields should be preserved through deterministic lanes in local archive RAG.”</w:t>
            </w:r>
          </w:p>
        </w:tc>
        <w:tc>
          <w:tcPr/>
          <w:p>
            <w:pPr>
              <w:pStyle w:val="Compact"/>
            </w:pPr>
            <w:r>
              <w:t xml:space="preserve">Moderate, domain-specific</w:t>
            </w:r>
          </w:p>
        </w:tc>
        <w:tc>
          <w:tcPr/>
          <w:p>
            <w:pPr>
              <w:pStyle w:val="Compact"/>
            </w:pPr>
            <w:r>
              <w:t xml:space="preserve">Very high</w:t>
            </w:r>
          </w:p>
        </w:tc>
        <w:tc>
          <w:tcPr/>
          <w:p>
            <w:pPr>
              <w:pStyle w:val="Compact"/>
            </w:pPr>
            <w:r>
              <w:t xml:space="preserve">JCDL strongest</w:t>
            </w:r>
          </w:p>
        </w:tc>
        <w:tc>
          <w:tcPr/>
          <w:p>
            <w:pPr>
              <w:pStyle w:val="Compact"/>
            </w:pPr>
            <w:r>
              <w:t xml:space="preserve">Risks being called niche</w:t>
            </w:r>
          </w:p>
        </w:tc>
      </w:tr>
      <w:tr>
        <w:tc>
          <w:tcPr/>
          <w:p>
            <w:pPr>
              <w:pStyle w:val="Compact"/>
            </w:pPr>
            <w:r>
              <w:rPr>
                <w:b/>
                <w:bCs/>
              </w:rPr>
              <w:t xml:space="preserve">Local Small-Model Reliability</w:t>
            </w:r>
            <w:r>
              <w:t xml:space="preserve"> </w:t>
            </w:r>
            <w:r>
              <w:t xml:space="preserve">— “Small browser-local models should be reserved for synthesis while exact contract fields are rendered by runtime logic.”</w:t>
            </w:r>
          </w:p>
        </w:tc>
        <w:tc>
          <w:tcPr/>
          <w:p>
            <w:pPr>
              <w:pStyle w:val="Compact"/>
            </w:pPr>
            <w:r>
              <w:t xml:space="preserve">Moderate</w:t>
            </w:r>
          </w:p>
        </w:tc>
        <w:tc>
          <w:tcPr/>
          <w:p>
            <w:pPr>
              <w:pStyle w:val="Compact"/>
            </w:pPr>
            <w:r>
              <w:t xml:space="preserve">Very high</w:t>
            </w:r>
          </w:p>
        </w:tc>
        <w:tc>
          <w:tcPr/>
          <w:p>
            <w:pPr>
              <w:pStyle w:val="Compact"/>
            </w:pPr>
            <w:r>
              <w:t xml:space="preserve">JCDL, CIKM applied</w:t>
            </w:r>
          </w:p>
        </w:tc>
        <w:tc>
          <w:tcPr/>
          <w:p>
            <w:pPr>
              <w:pStyle w:val="Compact"/>
            </w:pPr>
            <w:r>
              <w:t xml:space="preserve">Risks sounding like product engineering</w:t>
            </w:r>
          </w:p>
        </w:tc>
      </w:tr>
      <w:tr>
        <w:tc>
          <w:tcPr/>
          <w:p>
            <w:pPr>
              <w:pStyle w:val="Compact"/>
            </w:pPr>
            <w:r>
              <w:rPr>
                <w:b/>
                <w:bCs/>
              </w:rPr>
              <w:t xml:space="preserve">Hybrid UI/Runtime AI</w:t>
            </w:r>
            <w:r>
              <w:t xml:space="preserve"> </w:t>
            </w:r>
            <w:r>
              <w:t xml:space="preserve">— “A RAG answer is a UI/runtime composition, not a single model string.”</w:t>
            </w:r>
          </w:p>
        </w:tc>
        <w:tc>
          <w:tcPr/>
          <w:p>
            <w:pPr>
              <w:pStyle w:val="Compact"/>
            </w:pPr>
            <w:r>
              <w:t xml:space="preserve">Conceptually interesting</w:t>
            </w:r>
          </w:p>
        </w:tc>
        <w:tc>
          <w:tcPr/>
          <w:p>
            <w:pPr>
              <w:pStyle w:val="Compact"/>
            </w:pPr>
            <w:r>
              <w:t xml:space="preserve">Medium</w:t>
            </w:r>
          </w:p>
        </w:tc>
        <w:tc>
          <w:tcPr/>
          <w:p>
            <w:pPr>
              <w:pStyle w:val="Compact"/>
            </w:pPr>
            <w:r>
              <w:t xml:space="preserve">CHI, UIST</w:t>
            </w:r>
          </w:p>
        </w:tc>
        <w:tc>
          <w:tcPr/>
          <w:p>
            <w:pPr>
              <w:pStyle w:val="Compact"/>
            </w:pPr>
            <w:r>
              <w:t xml:space="preserve">Risks being too broad and too HCI-general</w:t>
            </w:r>
          </w:p>
        </w:tc>
      </w:tr>
    </w:tbl>
    <w:p>
      <w:pPr>
        <w:pStyle w:val="BodyText"/>
      </w:pPr>
      <w:r>
        <w:rPr>
          <w:b/>
          <w:bCs/>
        </w:rPr>
        <w:t xml:space="preserve">Recommended framing.</w:t>
      </w:r>
      <w:r>
        <w:br/>
      </w:r>
      <w:r>
        <w:t xml:space="preserve">Use</w:t>
      </w:r>
      <w:r>
        <w:t xml:space="preserve"> </w:t>
      </w:r>
      <w:r>
        <w:rPr>
          <w:b/>
          <w:bCs/>
        </w:rPr>
        <w:t xml:space="preserve">Generation Allocation</w:t>
      </w:r>
      <w:r>
        <w:t xml:space="preserve"> </w:t>
      </w:r>
      <w:r>
        <w:t xml:space="preserve">as the top-level frame, but make</w:t>
      </w:r>
      <w:r>
        <w:t xml:space="preserve"> </w:t>
      </w:r>
      <w:r>
        <w:rPr>
          <w:b/>
          <w:bCs/>
        </w:rPr>
        <w:t xml:space="preserve">rights/provenance-bearing fields</w:t>
      </w:r>
      <w:r>
        <w:t xml:space="preserve"> </w:t>
      </w:r>
      <w:r>
        <w:t xml:space="preserve">the motivating case where non-generation is easiest to justify. In one sentence:</w:t>
      </w:r>
      <w:r>
        <w:t xml:space="preserve"> </w:t>
      </w:r>
      <w:r>
        <w:rPr>
          <w:b/>
          <w:bCs/>
        </w:rPr>
        <w:t xml:space="preserve">treat rights-aware archive RAG as the stress test, not the entirety of the story.</w:t>
      </w:r>
      <w:r>
        <w:t xml:space="preserve"> </w:t>
      </w:r>
      <w:hyperlink r:id="rId36">
        <w:r>
          <w:rPr>
            <w:rStyle w:val="Hyperlink"/>
          </w:rPr>
          <w:t xml:space="preserve">[48]</w:t>
        </w:r>
      </w:hyperlink>
    </w:p>
    <w:p>
      <w:pPr>
        <w:pStyle w:val="BodyText"/>
      </w:pPr>
      <w:r>
        <w:rPr>
          <w:b/>
          <w:bCs/>
        </w:rPr>
        <w:t xml:space="preserve">Venue-fit analysis.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Venue</w:t>
            </w:r>
          </w:p>
        </w:tc>
        <w:tc>
          <w:tcPr/>
          <w:p>
            <w:pPr>
              <w:pStyle w:val="Compact"/>
            </w:pPr>
            <w:r>
              <w:t xml:space="preserve">What to emphasize</w:t>
            </w:r>
          </w:p>
        </w:tc>
        <w:tc>
          <w:tcPr/>
          <w:p>
            <w:pPr>
              <w:pStyle w:val="Compact"/>
            </w:pPr>
            <w:r>
              <w:t xml:space="preserve">What evidence it would require</w:t>
            </w:r>
          </w:p>
        </w:tc>
        <w:tc>
          <w:tcPr/>
          <w:p>
            <w:pPr>
              <w:pStyle w:val="Compact"/>
            </w:pPr>
            <w:r>
              <w:t xml:space="preserve">Likely attacks</w:t>
            </w:r>
          </w:p>
        </w:tc>
        <w:tc>
          <w:tcPr/>
          <w:p>
            <w:pPr>
              <w:pStyle w:val="Compact"/>
            </w:pPr>
            <w:r>
              <w:t xml:space="preserve">Is a first 50-query experiment enough?</w:t>
            </w:r>
          </w:p>
        </w:tc>
        <w:tc>
          <w:tcPr/>
          <w:p>
            <w:pPr>
              <w:pStyle w:val="Compact"/>
            </w:pPr>
            <w:r>
              <w:t xml:space="preserve">Stronger follow-up needed</w:t>
            </w:r>
          </w:p>
        </w:tc>
      </w:tr>
      <w:tr>
        <w:tc>
          <w:tcPr/>
          <w:p>
            <w:pPr>
              <w:pStyle w:val="Compact"/>
            </w:pPr>
            <w:r>
              <w:rPr>
                <w:b/>
                <w:bCs/>
              </w:rPr>
              <w:t xml:space="preserve">JCDL</w:t>
            </w:r>
            <w:r>
              <w:t xml:space="preserve"> </w:t>
            </w:r>
            <w:hyperlink r:id="rId42">
              <w:r>
                <w:rPr>
                  <w:rStyle w:val="Hyperlink"/>
                </w:rPr>
                <w:t xml:space="preserve">[49]</w:t>
              </w:r>
            </w:hyperlink>
          </w:p>
        </w:tc>
        <w:tc>
          <w:tcPr/>
          <w:p>
            <w:pPr>
              <w:pStyle w:val="Compact"/>
            </w:pPr>
            <w:r>
              <w:t xml:space="preserve">Metadata fidelity, provenance display, archive workflows, reproducibility</w:t>
            </w:r>
          </w:p>
        </w:tc>
        <w:tc>
          <w:tcPr/>
          <w:p>
            <w:pPr>
              <w:pStyle w:val="Compact"/>
            </w:pPr>
            <w:r>
              <w:t xml:space="preserve">Strong qualitative taxonomy + lane-wise evaluation on metadata-heavy corpora</w:t>
            </w:r>
          </w:p>
        </w:tc>
        <w:tc>
          <w:tcPr/>
          <w:p>
            <w:pPr>
              <w:pStyle w:val="Compact"/>
            </w:pPr>
            <w:r>
              <w:t xml:space="preserve">“Too product-like,” “too small,” “too niche unless generalized a bit”</w:t>
            </w:r>
          </w:p>
        </w:tc>
        <w:tc>
          <w:tcPr/>
          <w:p>
            <w:pPr>
              <w:pStyle w:val="Compact"/>
            </w:pPr>
            <w:r>
              <w:rPr>
                <w:b/>
                <w:bCs/>
              </w:rPr>
              <w:t xml:space="preserve">Possibly</w:t>
            </w:r>
            <w:r>
              <w:t xml:space="preserve"> </w:t>
            </w:r>
            <w:r>
              <w:t xml:space="preserve">for short/demo/workshop; weak for full paper</w:t>
            </w:r>
          </w:p>
        </w:tc>
        <w:tc>
          <w:tcPr/>
          <w:p>
            <w:pPr>
              <w:pStyle w:val="Compact"/>
            </w:pPr>
            <w:r>
              <w:t xml:space="preserve">Larger corpus, annotation protocol, curator/user study</w:t>
            </w:r>
          </w:p>
        </w:tc>
      </w:tr>
      <w:tr>
        <w:tc>
          <w:tcPr/>
          <w:p>
            <w:pPr>
              <w:pStyle w:val="Compact"/>
            </w:pPr>
            <w:r>
              <w:rPr>
                <w:b/>
                <w:bCs/>
              </w:rPr>
              <w:t xml:space="preserve">CHI</w:t>
            </w:r>
            <w:r>
              <w:t xml:space="preserve"> </w:t>
            </w:r>
            <w:hyperlink r:id="rId48">
              <w:r>
                <w:rPr>
                  <w:rStyle w:val="Hyperlink"/>
                </w:rPr>
                <w:t xml:space="preserve">[50]</w:t>
              </w:r>
            </w:hyperlink>
          </w:p>
        </w:tc>
        <w:tc>
          <w:tcPr/>
          <w:p>
            <w:pPr>
              <w:pStyle w:val="Compact"/>
            </w:pPr>
            <w:r>
              <w:t xml:space="preserve">User trust, reliance, visible answer boundaries, compound-answer UX</w:t>
            </w:r>
          </w:p>
        </w:tc>
        <w:tc>
          <w:tcPr/>
          <w:p>
            <w:pPr>
              <w:pStyle w:val="Compact"/>
            </w:pPr>
            <w:r>
              <w:t xml:space="preserve">Real user study, interface design rationale, comparative UX evidence</w:t>
            </w:r>
          </w:p>
        </w:tc>
        <w:tc>
          <w:tcPr/>
          <w:p>
            <w:pPr>
              <w:pStyle w:val="Compact"/>
            </w:pPr>
            <w:r>
              <w:t xml:space="preserve">“No core HCI contribution,” “mostly systems rules”</w:t>
            </w:r>
          </w:p>
        </w:tc>
        <w:tc>
          <w:tcPr/>
          <w:p>
            <w:pPr>
              <w:pStyle w:val="Compact"/>
            </w:pPr>
            <w:r>
              <w:rPr>
                <w:b/>
                <w:bCs/>
              </w:rPr>
              <w:t xml:space="preserve">No</w:t>
            </w:r>
            <w:r>
              <w:t xml:space="preserve"> </w:t>
            </w:r>
            <w:r>
              <w:t xml:space="preserve">for full CHI</w:t>
            </w:r>
          </w:p>
        </w:tc>
        <w:tc>
          <w:tcPr/>
          <w:p>
            <w:pPr>
              <w:pStyle w:val="Compact"/>
            </w:pPr>
            <w:r>
              <w:t xml:space="preserve">Substantial human-subject study</w:t>
            </w:r>
          </w:p>
        </w:tc>
      </w:tr>
      <w:tr>
        <w:tc>
          <w:tcPr/>
          <w:p>
            <w:pPr>
              <w:pStyle w:val="Compact"/>
            </w:pPr>
            <w:r>
              <w:rPr>
                <w:b/>
                <w:bCs/>
              </w:rPr>
              <w:t xml:space="preserve">CIKM</w:t>
            </w:r>
            <w:r>
              <w:t xml:space="preserve"> </w:t>
            </w:r>
            <w:hyperlink r:id="rId49">
              <w:r>
                <w:rPr>
                  <w:rStyle w:val="Hyperlink"/>
                </w:rPr>
                <w:t xml:space="preserve">[51]</w:t>
              </w:r>
            </w:hyperlink>
          </w:p>
        </w:tc>
        <w:tc>
          <w:tcPr/>
          <w:p>
            <w:pPr>
              <w:pStyle w:val="Compact"/>
            </w:pPr>
            <w:r>
              <w:t xml:space="preserve">Knowledge/system architecture, evaluation rigor, practical information systems</w:t>
            </w:r>
          </w:p>
        </w:tc>
        <w:tc>
          <w:tcPr/>
          <w:p>
            <w:pPr>
              <w:pStyle w:val="Compact"/>
            </w:pPr>
            <w:r>
              <w:t xml:space="preserve">Strong benchmark design, broader domain generalization, baselines</w:t>
            </w:r>
          </w:p>
        </w:tc>
        <w:tc>
          <w:tcPr/>
          <w:p>
            <w:pPr>
              <w:pStyle w:val="Compact"/>
            </w:pPr>
            <w:r>
              <w:t xml:space="preserve">“Hand-built policy,” “limited scale,” “not enough algorithmic novelty”</w:t>
            </w:r>
          </w:p>
        </w:tc>
        <w:tc>
          <w:tcPr/>
          <w:p>
            <w:pPr>
              <w:pStyle w:val="Compact"/>
            </w:pPr>
            <w:r>
              <w:rPr>
                <w:b/>
                <w:bCs/>
              </w:rPr>
              <w:t xml:space="preserve">No</w:t>
            </w:r>
            <w:r>
              <w:t xml:space="preserve"> </w:t>
            </w:r>
            <w:r>
              <w:t xml:space="preserve">for main track</w:t>
            </w:r>
          </w:p>
        </w:tc>
        <w:tc>
          <w:tcPr/>
          <w:p>
            <w:pPr>
              <w:pStyle w:val="Compact"/>
            </w:pPr>
            <w:r>
              <w:t xml:space="preserve">Multi-domain benchmark and stronger baselines</w:t>
            </w:r>
          </w:p>
        </w:tc>
      </w:tr>
      <w:tr>
        <w:tc>
          <w:tcPr/>
          <w:p>
            <w:pPr>
              <w:pStyle w:val="Compact"/>
            </w:pPr>
            <w:r>
              <w:rPr>
                <w:b/>
                <w:bCs/>
              </w:rPr>
              <w:t xml:space="preserve">SIGIR applied/resource</w:t>
            </w:r>
            <w:r>
              <w:t xml:space="preserve"> </w:t>
            </w:r>
            <w:hyperlink r:id="rId50">
              <w:r>
                <w:rPr>
                  <w:rStyle w:val="Hyperlink"/>
                </w:rPr>
                <w:t xml:space="preserve">[52]</w:t>
              </w:r>
            </w:hyperlink>
          </w:p>
        </w:tc>
        <w:tc>
          <w:tcPr/>
          <w:p>
            <w:pPr>
              <w:pStyle w:val="Compact"/>
            </w:pPr>
            <w:r>
              <w:t xml:space="preserve">RAG evaluation protocol, resource/benchmark value, retrieval-aware failure analysis</w:t>
            </w:r>
          </w:p>
        </w:tc>
        <w:tc>
          <w:tcPr/>
          <w:p>
            <w:pPr>
              <w:pStyle w:val="Compact"/>
            </w:pPr>
            <w:r>
              <w:t xml:space="preserve">More queries, stronger retrieval/abstention baselines, resource release</w:t>
            </w:r>
          </w:p>
        </w:tc>
        <w:tc>
          <w:tcPr/>
          <w:p>
            <w:pPr>
              <w:pStyle w:val="Compact"/>
            </w:pPr>
            <w:r>
              <w:t xml:space="preserve">“Where is the IR contribution?”</w:t>
            </w:r>
          </w:p>
        </w:tc>
        <w:tc>
          <w:tcPr/>
          <w:p>
            <w:pPr>
              <w:pStyle w:val="Compact"/>
            </w:pPr>
            <w:r>
              <w:rPr>
                <w:b/>
                <w:bCs/>
              </w:rPr>
              <w:t xml:space="preserve">Marginal</w:t>
            </w:r>
            <w:r>
              <w:t xml:space="preserve"> </w:t>
            </w:r>
            <w:r>
              <w:t xml:space="preserve">for resource/demo; not enough for main empirical paper</w:t>
            </w:r>
          </w:p>
        </w:tc>
        <w:tc>
          <w:tcPr/>
          <w:p>
            <w:pPr>
              <w:pStyle w:val="Compact"/>
            </w:pPr>
            <w:r>
              <w:t xml:space="preserve">Public benchmark/resource with lane annotations</w:t>
            </w:r>
          </w:p>
        </w:tc>
      </w:tr>
      <w:tr>
        <w:tc>
          <w:tcPr/>
          <w:p>
            <w:pPr>
              <w:pStyle w:val="Compact"/>
            </w:pPr>
            <w:r>
              <w:rPr>
                <w:b/>
                <w:bCs/>
              </w:rPr>
              <w:t xml:space="preserve">UIST</w:t>
            </w:r>
            <w:r>
              <w:t xml:space="preserve"> </w:t>
            </w:r>
            <w:hyperlink r:id="rId51">
              <w:r>
                <w:rPr>
                  <w:rStyle w:val="Hyperlink"/>
                </w:rPr>
                <w:t xml:space="preserve">[53]</w:t>
              </w:r>
            </w:hyperlink>
          </w:p>
        </w:tc>
        <w:tc>
          <w:tcPr/>
          <w:p>
            <w:pPr>
              <w:pStyle w:val="Compact"/>
            </w:pPr>
            <w:r>
              <w:t xml:space="preserve">Interface composition and system innovation</w:t>
            </w:r>
          </w:p>
        </w:tc>
        <w:tc>
          <w:tcPr/>
          <w:p>
            <w:pPr>
              <w:pStyle w:val="Compact"/>
            </w:pPr>
            <w:r>
              <w:t xml:space="preserve">Strong UI artifact and interaction technique contribution</w:t>
            </w:r>
          </w:p>
        </w:tc>
        <w:tc>
          <w:tcPr/>
          <w:p>
            <w:pPr>
              <w:pStyle w:val="Compact"/>
            </w:pPr>
            <w:r>
              <w:t xml:space="preserve">“This is not a new interaction technique”</w:t>
            </w:r>
          </w:p>
        </w:tc>
        <w:tc>
          <w:tcPr/>
          <w:p>
            <w:pPr>
              <w:pStyle w:val="Compact"/>
            </w:pPr>
            <w:r>
              <w:rPr>
                <w:b/>
                <w:bCs/>
              </w:rPr>
              <w:t xml:space="preserve">No</w:t>
            </w:r>
          </w:p>
        </w:tc>
        <w:tc>
          <w:tcPr/>
          <w:p>
            <w:pPr>
              <w:pStyle w:val="Compact"/>
            </w:pPr>
            <w:r>
              <w:t xml:space="preserve">Novel interactive interface contribution</w:t>
            </w:r>
          </w:p>
        </w:tc>
      </w:tr>
      <w:tr>
        <w:tc>
          <w:tcPr/>
          <w:p>
            <w:pPr>
              <w:pStyle w:val="Compact"/>
            </w:pPr>
            <w:r>
              <w:rPr>
                <w:b/>
                <w:bCs/>
              </w:rPr>
              <w:t xml:space="preserve">CSCW</w:t>
            </w:r>
            <w:r>
              <w:t xml:space="preserve"> </w:t>
            </w:r>
            <w:hyperlink r:id="rId52">
              <w:r>
                <w:rPr>
                  <w:rStyle w:val="Hyperlink"/>
                </w:rPr>
                <w:t xml:space="preserve">[54]</w:t>
              </w:r>
            </w:hyperlink>
          </w:p>
        </w:tc>
        <w:tc>
          <w:tcPr/>
          <w:p>
            <w:pPr>
              <w:pStyle w:val="Compact"/>
            </w:pPr>
            <w:r>
              <w:t xml:space="preserve">Collaborative archive/review workflows, institutional use, human review practices</w:t>
            </w:r>
          </w:p>
        </w:tc>
        <w:tc>
          <w:tcPr/>
          <w:p>
            <w:pPr>
              <w:pStyle w:val="Compact"/>
            </w:pPr>
            <w:r>
              <w:t xml:space="preserve">Human workflow deployment study</w:t>
            </w:r>
          </w:p>
        </w:tc>
        <w:tc>
          <w:tcPr/>
          <w:p>
            <w:pPr>
              <w:pStyle w:val="Compact"/>
            </w:pPr>
            <w:r>
              <w:t xml:space="preserve">“No collaborative-work setting”</w:t>
            </w:r>
          </w:p>
        </w:tc>
        <w:tc>
          <w:tcPr/>
          <w:p>
            <w:pPr>
              <w:pStyle w:val="Compact"/>
            </w:pPr>
            <w:r>
              <w:rPr>
                <w:b/>
                <w:bCs/>
              </w:rPr>
              <w:t xml:space="preserve">No</w:t>
            </w:r>
          </w:p>
        </w:tc>
        <w:tc>
          <w:tcPr/>
          <w:p>
            <w:pPr>
              <w:pStyle w:val="Compact"/>
            </w:pPr>
            <w:r>
              <w:t xml:space="preserve">Study with archivists/curators or review teams</w:t>
            </w:r>
          </w:p>
        </w:tc>
      </w:tr>
      <w:tr>
        <w:tc>
          <w:tcPr/>
          <w:p>
            <w:pPr>
              <w:pStyle w:val="Compact"/>
            </w:pPr>
            <w:r>
              <w:rPr>
                <w:b/>
                <w:bCs/>
              </w:rPr>
              <w:t xml:space="preserve">Workshop stepping stone</w:t>
            </w:r>
            <w:r>
              <w:t xml:space="preserve"> </w:t>
            </w:r>
            <w:r>
              <w:t xml:space="preserve">— IR-RAG, JCDL workshop, DH/cultural-heritage AI workshop</w:t>
            </w:r>
            <w:r>
              <w:t xml:space="preserve"> </w:t>
            </w:r>
            <w:hyperlink r:id="rId53">
              <w:r>
                <w:rPr>
                  <w:rStyle w:val="Hyperlink"/>
                </w:rPr>
                <w:t xml:space="preserve">[55]</w:t>
              </w:r>
            </w:hyperlink>
          </w:p>
        </w:tc>
        <w:tc>
          <w:tcPr/>
          <w:p>
            <w:pPr>
              <w:pStyle w:val="Compact"/>
            </w:pPr>
            <w:r>
              <w:t xml:space="preserve">Early framing test, benchmark design, reviewer calibration</w:t>
            </w:r>
          </w:p>
        </w:tc>
        <w:tc>
          <w:tcPr/>
          <w:p>
            <w:pPr>
              <w:pStyle w:val="Compact"/>
            </w:pPr>
            <w:r>
              <w:t xml:space="preserve">Clean taxonomy and pilot results</w:t>
            </w:r>
          </w:p>
        </w:tc>
        <w:tc>
          <w:tcPr/>
          <w:p>
            <w:pPr>
              <w:pStyle w:val="Compact"/>
            </w:pPr>
            <w:r>
              <w:t xml:space="preserve">Less fatal; more about sharpening</w:t>
            </w:r>
          </w:p>
        </w:tc>
        <w:tc>
          <w:tcPr/>
          <w:p>
            <w:pPr>
              <w:pStyle w:val="Compact"/>
            </w:pPr>
            <w:r>
              <w:rPr>
                <w:b/>
                <w:bCs/>
              </w:rPr>
              <w:t xml:space="preserve">Yes</w:t>
            </w:r>
          </w:p>
        </w:tc>
        <w:tc>
          <w:tcPr/>
          <w:p>
            <w:pPr>
              <w:pStyle w:val="Compact"/>
            </w:pPr>
            <w:r>
              <w:t xml:space="preserve">Expand to venue-specific full paper afterward</w:t>
            </w:r>
          </w:p>
        </w:tc>
      </w:tr>
    </w:tbl>
    <w:p>
      <w:pPr>
        <w:pStyle w:val="BodyText"/>
      </w:pPr>
      <w:r>
        <w:rPr>
          <w:b/>
          <w:bCs/>
        </w:rPr>
        <w:t xml:space="preserve">Best venue target.</w:t>
      </w:r>
      <w:r>
        <w:br/>
      </w:r>
      <w:r>
        <w:t xml:space="preserve">If the current empirical scale is limited,</w:t>
      </w:r>
      <w:r>
        <w:t xml:space="preserve"> </w:t>
      </w:r>
      <w:r>
        <w:rPr>
          <w:b/>
          <w:bCs/>
        </w:rPr>
        <w:t xml:space="preserve">JCDL</w:t>
      </w:r>
      <w:r>
        <w:t xml:space="preserve"> </w:t>
      </w:r>
      <w:r>
        <w:t xml:space="preserve">is the strongest first full-paper target, or a closely adjacent workshop/demo as a stepping stone. If the work later expands into a broader public benchmark with stronger lane annotations and non-archive domains,</w:t>
      </w:r>
      <w:r>
        <w:t xml:space="preserve"> </w:t>
      </w:r>
      <w:r>
        <w:rPr>
          <w:b/>
          <w:bCs/>
        </w:rPr>
        <w:t xml:space="preserve">SIGIR resource/applied</w:t>
      </w:r>
      <w:r>
        <w:t xml:space="preserve"> </w:t>
      </w:r>
      <w:r>
        <w:t xml:space="preserve">becomes more plausible.</w:t>
      </w:r>
      <w:r>
        <w:t xml:space="preserve"> </w:t>
      </w:r>
      <w:r>
        <w:rPr>
          <w:b/>
          <w:bCs/>
        </w:rPr>
        <w:t xml:space="preserve">CHI</w:t>
      </w:r>
      <w:r>
        <w:t xml:space="preserve"> </w:t>
      </w:r>
      <w:r>
        <w:t xml:space="preserve">only becomes serious if the compound-answer interface and user-reliance study become central rather than secondary.</w:t>
      </w:r>
      <w:r>
        <w:t xml:space="preserve"> </w:t>
      </w:r>
      <w:hyperlink r:id="rId42">
        <w:r>
          <w:rPr>
            <w:rStyle w:val="Hyperlink"/>
          </w:rPr>
          <w:t xml:space="preserve">[56]</w:t>
        </w:r>
      </w:hyperlink>
    </w:p>
    <w:bookmarkEnd w:id="54"/>
    <w:bookmarkStart w:id="55" w:name="X5c9d927f733eec21da6723d5dbcd1ed25e5b855"/>
    <w:p>
      <w:pPr>
        <w:pStyle w:val="Heading2"/>
      </w:pPr>
      <w:r>
        <w:t xml:space="preserve">Recommended Title, Abstract, Research Questions, and Contributions</w:t>
      </w:r>
    </w:p>
    <w:p>
      <w:pPr>
        <w:pStyle w:val="FirstParagraph"/>
      </w:pPr>
      <w:r>
        <w:rPr>
          <w:b/>
          <w:bCs/>
        </w:rPr>
        <w:t xml:space="preserve">Recommended title.</w:t>
      </w:r>
      <w:r>
        <w:br/>
      </w:r>
      <w:r>
        <w:rPr>
          <w:b/>
          <w:bCs/>
        </w:rPr>
        <w:t xml:space="preserve">What Should Not Be Generated in Browser-Local Small-Model RAG? Hybrid Answer Lanes for Deterministic Evidence, Refusal, and Bounded Synthesis</w:t>
      </w:r>
    </w:p>
    <w:p>
      <w:pPr>
        <w:pStyle w:val="BodyText"/>
      </w:pPr>
      <w:r>
        <w:t xml:space="preserve">That title keeps the memorable question from the current draft, but narrows the contribution to the three answer modes that most clearly distinguish the work.</w:t>
      </w:r>
    </w:p>
    <w:p>
      <w:pPr>
        <w:pStyle w:val="BodyText"/>
      </w:pPr>
      <w:r>
        <w:rPr>
          <w:b/>
          <w:bCs/>
        </w:rPr>
        <w:t xml:space="preserve">Recommended abstract.</w:t>
      </w:r>
      <w:r>
        <w:br/>
      </w:r>
      <w:r>
        <w:t xml:space="preserve">Browser-local retrieval-augmented generation makes private and rights-aware question answering feasible without server-side inference, but it also sharpens a neglected design problem: not every answer component should be generated by a local small language model. We study</w:t>
      </w:r>
      <w:r>
        <w:t xml:space="preserve"> </w:t>
      </w:r>
      <w:r>
        <w:rPr>
          <w:b/>
          <w:bCs/>
        </w:rPr>
        <w:t xml:space="preserve">answer-lane allocation</w:t>
      </w:r>
      <w:r>
        <w:t xml:space="preserve"> </w:t>
      </w:r>
      <w:r>
        <w:t xml:space="preserve">for browser-local small-model RAG, where a system can respond through one of four execution modes: deterministic evidence-field rendering, deterministic insufficient-evidence refusal, bounded browser-local generation, and compound deterministic-plus-generative answers. We argue that exact, contract-bearing fields such as source, provenance, and rights metadata are often better served by deterministic rendering than by paraphrastic generation, while mixed-intent queries may benefit from compound answers that separate exact evidence from synthesized guidance. We propose an evaluation protocol that distinguishes evidence-field fidelity from answer correctness, measures over- and under-refusal, and reports both local-generation latency and hybrid end-to-end latency. Our goal is not to replace generation, but to identify when generation should be avoided. This framing positions browser-local RAG as an execution-policy problem rather than a single-answer-surface problem.</w:t>
      </w:r>
    </w:p>
    <w:p>
      <w:pPr>
        <w:pStyle w:val="BodyText"/>
      </w:pPr>
      <w:r>
        <w:rPr>
          <w:b/>
          <w:bCs/>
        </w:rPr>
        <w:t xml:space="preserve">Recommended research questions.</w:t>
      </w:r>
      <w:r>
        <w:br/>
      </w:r>
      <w:r>
        <w:rPr>
          <w:b/>
          <w:bCs/>
        </w:rPr>
        <w:t xml:space="preserve">RQ one.</w:t>
      </w:r>
      <w:r>
        <w:t xml:space="preserve"> </w:t>
      </w:r>
      <w:r>
        <w:t xml:space="preserve">Under what combinations of query intent and evidence state should a browser-local RAG system avoid generation altogether?</w:t>
      </w:r>
    </w:p>
    <w:p>
      <w:pPr>
        <w:pStyle w:val="BodyText"/>
      </w:pPr>
      <w:r>
        <w:rPr>
          <w:b/>
          <w:bCs/>
        </w:rPr>
        <w:t xml:space="preserve">RQ two.</w:t>
      </w:r>
      <w:r>
        <w:t xml:space="preserve"> </w:t>
      </w:r>
      <w:r>
        <w:t xml:space="preserve">Does hybrid answer-lane allocation improve evidence-field fidelity and reduce unsupported outputs relative to always-generate baselines?</w:t>
      </w:r>
    </w:p>
    <w:p>
      <w:pPr>
        <w:pStyle w:val="BodyText"/>
      </w:pPr>
      <w:r>
        <w:rPr>
          <w:b/>
          <w:bCs/>
        </w:rPr>
        <w:t xml:space="preserve">RQ three.</w:t>
      </w:r>
      <w:r>
        <w:t xml:space="preserve"> </w:t>
      </w:r>
      <w:r>
        <w:t xml:space="preserve">When evidence is partial or missing, does deterministic insufficient-evidence refusal reduce harmful unsupported outputs without unacceptable over-refusal?</w:t>
      </w:r>
    </w:p>
    <w:p>
      <w:pPr>
        <w:pStyle w:val="BodyText"/>
      </w:pPr>
      <w:r>
        <w:rPr>
          <w:b/>
          <w:bCs/>
        </w:rPr>
        <w:t xml:space="preserve">RQ four.</w:t>
      </w:r>
      <w:r>
        <w:t xml:space="preserve"> </w:t>
      </w:r>
      <w:r>
        <w:t xml:space="preserve">For mixed-intent questions, do compound answers improve user trust, clarity, or task success relative to purely generative or purely deterministic answers?</w:t>
      </w:r>
    </w:p>
    <w:p>
      <w:pPr>
        <w:pStyle w:val="BodyText"/>
      </w:pPr>
      <w:r>
        <w:rPr>
          <w:b/>
          <w:bCs/>
        </w:rPr>
        <w:t xml:space="preserve">RQ five.</w:t>
      </w:r>
      <w:r>
        <w:t xml:space="preserve"> </w:t>
      </w:r>
      <w:r>
        <w:t xml:space="preserve">How should latency be reported in browser-local systems where some answers skip generation entirely?</w:t>
      </w:r>
    </w:p>
    <w:p>
      <w:pPr>
        <w:pStyle w:val="BodyText"/>
      </w:pPr>
      <w:r>
        <w:rPr>
          <w:b/>
          <w:bCs/>
        </w:rPr>
        <w:t xml:space="preserve">Recommended contributions.</w:t>
      </w:r>
      <w:r>
        <w:br/>
      </w:r>
      <w:r>
        <w:t xml:space="preserve">The paper should present itself as making four contributions, not seven:</w:t>
      </w:r>
    </w:p>
    <w:p>
      <w:pPr>
        <w:pStyle w:val="BodyText"/>
      </w:pPr>
      <w:r>
        <w:t xml:space="preserve">First, a</w:t>
      </w:r>
      <w:r>
        <w:t xml:space="preserve"> </w:t>
      </w:r>
      <w:r>
        <w:rPr>
          <w:b/>
          <w:bCs/>
        </w:rPr>
        <w:t xml:space="preserve">problem formulation</w:t>
      </w:r>
      <w:r>
        <w:t xml:space="preserve">: browser-local small-model RAG creates a generation-allocation problem.</w:t>
      </w:r>
    </w:p>
    <w:p>
      <w:pPr>
        <w:pStyle w:val="BodyText"/>
      </w:pPr>
      <w:r>
        <w:t xml:space="preserve">Second, an</w:t>
      </w:r>
      <w:r>
        <w:t xml:space="preserve"> </w:t>
      </w:r>
      <w:r>
        <w:rPr>
          <w:b/>
          <w:bCs/>
        </w:rPr>
        <w:t xml:space="preserve">answer-lane taxonomy and policy</w:t>
      </w:r>
      <w:r>
        <w:t xml:space="preserve">: deterministic evidence rendering, deterministic refusal, bounded generation, and compound answers.</w:t>
      </w:r>
    </w:p>
    <w:p>
      <w:pPr>
        <w:pStyle w:val="BodyText"/>
      </w:pPr>
      <w:r>
        <w:t xml:space="preserve">Third, a</w:t>
      </w:r>
      <w:r>
        <w:t xml:space="preserve"> </w:t>
      </w:r>
      <w:r>
        <w:rPr>
          <w:b/>
          <w:bCs/>
        </w:rPr>
        <w:t xml:space="preserve">domain-grounded design case</w:t>
      </w:r>
      <w:r>
        <w:t xml:space="preserve">: contract-bearing source/provenance/rights fields as especially poor candidates for paraphrastic generation.</w:t>
      </w:r>
    </w:p>
    <w:p>
      <w:pPr>
        <w:pStyle w:val="BodyText"/>
      </w:pPr>
      <w:r>
        <w:t xml:space="preserve">Fourth, an</w:t>
      </w:r>
      <w:r>
        <w:t xml:space="preserve"> </w:t>
      </w:r>
      <w:r>
        <w:rPr>
          <w:b/>
          <w:bCs/>
        </w:rPr>
        <w:t xml:space="preserve">evaluation protocol</w:t>
      </w:r>
      <w:r>
        <w:t xml:space="preserve"> </w:t>
      </w:r>
      <w:r>
        <w:t xml:space="preserve">that separates fidelity, correctness, over/under-refusal, and latency.</w:t>
      </w:r>
    </w:p>
    <w:p>
      <w:pPr>
        <w:pStyle w:val="BodyText"/>
      </w:pPr>
      <w:r>
        <w:t xml:space="preserve">That is a much tighter contribution story than the current more expansive list.</w:t>
      </w:r>
    </w:p>
    <w:p>
      <w:pPr>
        <w:pStyle w:val="BodyText"/>
      </w:pPr>
      <w:r>
        <w:rPr>
          <w:b/>
          <w:bCs/>
        </w:rPr>
        <w:t xml:space="preserve">Limitations to admit upfront.</w:t>
      </w:r>
      <w:r>
        <w:br/>
      </w:r>
      <w:r>
        <w:t xml:space="preserve">The paper should admit, plainly, that the policy may be rule-based; that deterministic rendering preserves metadata errors if they exist; that browser-local latency is hardware- and browser-dependent; that results from archive-like corpora may not transfer to all RAG domains; that a small fixture can overstate robustness; and that the work is not a learned router or a new retrieval method. Those admissions will strengthen the paper rather than weaken it.</w:t>
      </w:r>
      <w:r>
        <w:t xml:space="preserve"> </w:t>
      </w:r>
      <w:hyperlink r:id="rId35">
        <w:r>
          <w:rPr>
            <w:rStyle w:val="Hyperlink"/>
          </w:rPr>
          <w:t xml:space="preserve">[57]</w:t>
        </w:r>
      </w:hyperlink>
    </w:p>
    <w:p>
      <w:pPr>
        <w:pStyle w:val="BodyText"/>
      </w:pPr>
      <w:r>
        <w:rPr>
          <w:b/>
          <w:bCs/>
        </w:rPr>
        <w:t xml:space="preserve">No-go risks.</w:t>
      </w:r>
      <w:r>
        <w:br/>
      </w:r>
      <w:r>
        <w:t xml:space="preserve">A paper attempt becomes high-risk if any of the following remain true at submission time: the evaluation still has only a very small fixture; there are no extractive/table/templating baselines; there is no explicit over/under-refusal analysis; the rights-aware corpus is the only testbed and is too narrow; the paper still uses “accuracy” where it really means “fidelity”; or the latency section conflates retrieval, model load, decode, and UI assembly. Those are avoidable failure modes.</w:t>
      </w:r>
      <w:r>
        <w:t xml:space="preserve"> </w:t>
      </w:r>
      <w:hyperlink r:id="rId35">
        <w:r>
          <w:rPr>
            <w:rStyle w:val="Hyperlink"/>
          </w:rPr>
          <w:t xml:space="preserve">[58]</w:t>
        </w:r>
      </w:hyperlink>
    </w:p>
    <w:p>
      <w:pPr>
        <w:pStyle w:val="BodyText"/>
      </w:pPr>
      <w:r>
        <w:rPr>
          <w:b/>
          <w:bCs/>
        </w:rPr>
        <w:t xml:space="preserve">Next sources to read.</w:t>
      </w:r>
      <w:r>
        <w:br/>
      </w:r>
      <w:r>
        <w:t xml:space="preserve">The highest-value next reads, beyond the inaccessible repository documents, are these:</w:t>
      </w:r>
    </w:p>
    <w:p>
      <w:pPr>
        <w:pStyle w:val="BodyText"/>
      </w:pPr>
      <w:r>
        <w:t xml:space="preserve">WebLLM for browser-local inference feasibility and performance.</w:t>
      </w:r>
      <w:r>
        <w:t xml:space="preserve"> </w:t>
      </w:r>
      <w:hyperlink r:id="rId21">
        <w:r>
          <w:rPr>
            <w:rStyle w:val="Hyperlink"/>
          </w:rPr>
          <w:t xml:space="preserve">[59]</w:t>
        </w:r>
      </w:hyperlink>
      <w:r>
        <w:br/>
      </w:r>
      <w:r>
        <w:t xml:space="preserve">MeMemo for browser-local retrieval and private RAG.</w:t>
      </w:r>
      <w:r>
        <w:t xml:space="preserve"> </w:t>
      </w:r>
      <w:hyperlink r:id="rId25">
        <w:r>
          <w:rPr>
            <w:rStyle w:val="Hyperlink"/>
          </w:rPr>
          <w:t xml:space="preserve">[60]</w:t>
        </w:r>
      </w:hyperlink>
      <w:r>
        <w:br/>
      </w:r>
      <w:r>
        <w:t xml:space="preserve">Sufficient Context and the RALM over-refusal paper for refusal design and metrics.</w:t>
      </w:r>
      <w:r>
        <w:t xml:space="preserve"> </w:t>
      </w:r>
      <w:hyperlink r:id="rId22">
        <w:r>
          <w:rPr>
            <w:rStyle w:val="Hyperlink"/>
          </w:rPr>
          <w:t xml:space="preserve">[61]</w:t>
        </w:r>
      </w:hyperlink>
      <w:r>
        <w:br/>
      </w:r>
      <w:r>
        <w:t xml:space="preserve">ALCE and the correctness-versus-faithfulness paper for evaluation language.</w:t>
      </w:r>
      <w:r>
        <w:t xml:space="preserve"> </w:t>
      </w:r>
      <w:hyperlink r:id="rId46">
        <w:r>
          <w:rPr>
            <w:rStyle w:val="Hyperlink"/>
          </w:rPr>
          <w:t xml:space="preserve">[62]</w:t>
        </w:r>
      </w:hyperlink>
      <w:r>
        <w:br/>
      </w:r>
      <w:r>
        <w:t xml:space="preserve">NeMo Guardrails for the strongest adjacent “this is just guardrails” objection.</w:t>
      </w:r>
      <w:r>
        <w:t xml:space="preserve"> </w:t>
      </w:r>
      <w:hyperlink r:id="rId38">
        <w:r>
          <w:rPr>
            <w:rStyle w:val="Hyperlink"/>
          </w:rPr>
          <w:t xml:space="preserve">[30]</w:t>
        </w:r>
      </w:hyperlink>
      <w:r>
        <w:br/>
      </w:r>
      <w:r>
        <w:t xml:space="preserve">Hybrid LLM, RouteLLM, and xRouter for model-routing comparisons.</w:t>
      </w:r>
      <w:r>
        <w:t xml:space="preserve"> </w:t>
      </w:r>
      <w:hyperlink r:id="rId40">
        <w:r>
          <w:rPr>
            <w:rStyle w:val="Hyperlink"/>
          </w:rPr>
          <w:t xml:space="preserve">[63]</w:t>
        </w:r>
      </w:hyperlink>
      <w:r>
        <w:br/>
      </w:r>
      <w:r>
        <w:t xml:space="preserve">RightsStatements.org guidance plus Europeana EDM/Publishing Framework for field fidelity and metadata obligations.</w:t>
      </w:r>
      <w:r>
        <w:t xml:space="preserve"> </w:t>
      </w:r>
      <w:hyperlink r:id="rId32">
        <w:r>
          <w:rPr>
            <w:rStyle w:val="Hyperlink"/>
          </w:rPr>
          <w:t xml:space="preserve">[64]</w:t>
        </w:r>
      </w:hyperlink>
      <w:r>
        <w:br/>
      </w:r>
      <w:r>
        <w:t xml:space="preserve">AI Chains, Mixed-Initiative UI, and Trust in Automation for compound answers and user-visible answer boundaries.</w:t>
      </w:r>
      <w:r>
        <w:t xml:space="preserve"> </w:t>
      </w:r>
      <w:hyperlink r:id="rId44">
        <w:r>
          <w:rPr>
            <w:rStyle w:val="Hyperlink"/>
          </w:rPr>
          <w:t xml:space="preserve">[65]</w:t>
        </w:r>
      </w:hyperlink>
    </w:p>
    <w:bookmarkEnd w:id="55"/>
    <w:bookmarkStart w:id="80" w:name="Xd9e85810fb71d5f6eaa5d3e55b7eda17631ad1b"/>
    <w:p>
      <w:pPr>
        <w:pStyle w:val="Heading2"/>
      </w:pPr>
      <w:r>
        <w:t xml:space="preserve">Full Bibliography with Links and Final Verdict</w:t>
      </w:r>
    </w:p>
    <w:p>
      <w:pPr>
        <w:pStyle w:val="FirstParagraph"/>
      </w:pPr>
      <w:r>
        <w:rPr>
          <w:b/>
          <w:bCs/>
        </w:rPr>
        <w:t xml:space="preserve">WebLLM: A High-Performance In-Browser LLM Inference Engine</w:t>
      </w:r>
      <w:r>
        <w:t xml:space="preserve"> </w:t>
      </w:r>
      <w:r>
        <w:t xml:space="preserve">— Charlie F. Ruan, Yucheng Qin, Xun Zhou, Ruihang Lai, Hongyi Jin, Yixin Dong, Bohan Hou, Meng-Shiun Yu, Yiyan Zhai, Sudeep Agarwal, Hangrui Cao, Siyuan Feng, Tianqi Chen; 2024; arXiv. Establishes that LLM inference can run entirely in-browser with WebGPU/WebAssembly and near-native performance. Different from this project because it demonstrates local inference feasibility, not answer-lane allocation. Link:</w:t>
      </w:r>
      <w:r>
        <w:t xml:space="preserve"> </w:t>
      </w:r>
      <w:hyperlink r:id="rId21">
        <w:r>
          <w:rPr>
            <w:rStyle w:val="Hyperlink"/>
          </w:rPr>
          <w:t xml:space="preserve">[66]</w:t>
        </w:r>
      </w:hyperlink>
    </w:p>
    <w:p>
      <w:pPr>
        <w:pStyle w:val="BodyText"/>
      </w:pPr>
      <w:r>
        <w:rPr>
          <w:b/>
          <w:bCs/>
        </w:rPr>
        <w:t xml:space="preserve">WebLLM repository and official docs</w:t>
      </w:r>
      <w:r>
        <w:t xml:space="preserve"> </w:t>
      </w:r>
      <w:r>
        <w:t xml:space="preserve">— MLC/WebLLM; 2024–2026; official repository/documentation. Establish browser execution, OpenAI-style API compatibility, and the developer-facing runtime surface. Different because they provide infrastructure, not a policy about what should not be generated. Links:</w:t>
      </w:r>
      <w:r>
        <w:t xml:space="preserve"> </w:t>
      </w:r>
      <w:hyperlink r:id="rId56">
        <w:r>
          <w:rPr>
            <w:rStyle w:val="Hyperlink"/>
          </w:rPr>
          <w:t xml:space="preserve">[67]</w:t>
        </w:r>
      </w:hyperlink>
    </w:p>
    <w:p>
      <w:pPr>
        <w:pStyle w:val="BodyText"/>
      </w:pPr>
      <w:r>
        <w:rPr>
          <w:b/>
          <w:bCs/>
        </w:rPr>
        <w:t xml:space="preserve">LLM Inference guide for Web</w:t>
      </w:r>
      <w:r>
        <w:t xml:space="preserve"> </w:t>
      </w:r>
      <w:r>
        <w:t xml:space="preserve">— Google AI Edge / MediaPipe; 2026; official documentation. Establishes that full on-device LLM inference for Web applications is supported in a mainstream framework. Different because it is runtime documentation, not an answer-execution study. Links:</w:t>
      </w:r>
      <w:r>
        <w:t xml:space="preserve"> </w:t>
      </w:r>
      <w:hyperlink r:id="rId57">
        <w:r>
          <w:rPr>
            <w:rStyle w:val="Hyperlink"/>
          </w:rPr>
          <w:t xml:space="preserve">[68]</w:t>
        </w:r>
      </w:hyperlink>
    </w:p>
    <w:p>
      <w:pPr>
        <w:pStyle w:val="BodyText"/>
      </w:pPr>
      <w:r>
        <w:rPr>
          <w:b/>
          <w:bCs/>
        </w:rPr>
        <w:t xml:space="preserve">Anatomizing Deep Learning Inference in Web Browsers</w:t>
      </w:r>
      <w:r>
        <w:t xml:space="preserve"> </w:t>
      </w:r>
      <w:r>
        <w:t xml:space="preserve">— Qipeng Wang et al.; 2025; ACM TOSEM. Establishes a comprehensive performance and QoE measurement view for in-browser inference. Different because it studies runtime performance, not RAG answer allocation. Links:</w:t>
      </w:r>
      <w:r>
        <w:t xml:space="preserve"> </w:t>
      </w:r>
      <w:hyperlink r:id="rId58">
        <w:r>
          <w:rPr>
            <w:rStyle w:val="Hyperlink"/>
          </w:rPr>
          <w:t xml:space="preserve">[69]</w:t>
        </w:r>
      </w:hyperlink>
    </w:p>
    <w:p>
      <w:pPr>
        <w:pStyle w:val="BodyText"/>
      </w:pPr>
      <w:r>
        <w:rPr>
          <w:b/>
          <w:bCs/>
        </w:rPr>
        <w:t xml:space="preserve">Empowering In-Browser Deep Learning Inference on Edge Devices with Just-in-Time Kernel Optimizations</w:t>
      </w:r>
      <w:r>
        <w:t xml:space="preserve"> </w:t>
      </w:r>
      <w:r>
        <w:t xml:space="preserve">— Fucheng Jia et al.; 2023/2024; arXiv/ACM. Establishes optimized Wasm/WebGPU in-browser inference and strong acceleration over existing baselines. Different because it improves browser inference engines, not answer policies. Links:</w:t>
      </w:r>
      <w:r>
        <w:t xml:space="preserve"> </w:t>
      </w:r>
      <w:hyperlink r:id="rId59">
        <w:r>
          <w:rPr>
            <w:rStyle w:val="Hyperlink"/>
          </w:rPr>
          <w:t xml:space="preserve">[70]</w:t>
        </w:r>
      </w:hyperlink>
    </w:p>
    <w:p>
      <w:pPr>
        <w:pStyle w:val="BodyText"/>
      </w:pPr>
      <w:r>
        <w:rPr>
          <w:b/>
          <w:bCs/>
        </w:rPr>
        <w:t xml:space="preserve">MeMemo: On-device Retrieval Augmentation for Private and Personalized Text Generation</w:t>
      </w:r>
      <w:r>
        <w:t xml:space="preserve"> </w:t>
      </w:r>
      <w:r>
        <w:t xml:space="preserve">— Zijie J. Wang, Duen Horng Chau; 2024; SIGIR 2024 / arXiv. Establishes client-side dense retrieval for private and personalized text generation using IndexedDB and Web Workers. Different because it supports browser-local RAG infrastructure but still centers generation. Links:</w:t>
      </w:r>
      <w:r>
        <w:t xml:space="preserve"> </w:t>
      </w:r>
      <w:hyperlink r:id="rId25">
        <w:r>
          <w:rPr>
            <w:rStyle w:val="Hyperlink"/>
          </w:rPr>
          <w:t xml:space="preserve">[71]</w:t>
        </w:r>
      </w:hyperlink>
    </w:p>
    <w:p>
      <w:pPr>
        <w:pStyle w:val="BodyText"/>
      </w:pPr>
      <w:r>
        <w:rPr>
          <w:b/>
          <w:bCs/>
        </w:rPr>
        <w:t xml:space="preserve">MeMemo project page and repository</w:t>
      </w:r>
      <w:r>
        <w:t xml:space="preserve"> </w:t>
      </w:r>
      <w:r>
        <w:t xml:space="preserve">— Polo Club of Data Science; 2024; official project page/repository. Establish that MeMemo is a browser library for RAG and vector search. Different because it is a toolkit, not a lane-allocation paper. Links:</w:t>
      </w:r>
      <w:r>
        <w:t xml:space="preserve"> </w:t>
      </w:r>
      <w:hyperlink r:id="rId60">
        <w:r>
          <w:rPr>
            <w:rStyle w:val="Hyperlink"/>
          </w:rPr>
          <w:t xml:space="preserve">[72]</w:t>
        </w:r>
      </w:hyperlink>
    </w:p>
    <w:p>
      <w:pPr>
        <w:pStyle w:val="BodyText"/>
      </w:pPr>
      <w:r>
        <w:rPr>
          <w:b/>
          <w:bCs/>
        </w:rPr>
        <w:t xml:space="preserve">In-Browser Agents for Search Assistance</w:t>
      </w:r>
      <w:r>
        <w:t xml:space="preserve"> </w:t>
      </w:r>
      <w:r>
        <w:t xml:space="preserve">— 2026; arXiv HTML version. Establishes a fully client-side architecture combining local state estimation and in-browser SLM reasoning, with cases where the system refrains from generating suggestions. Different because the task is search assistance, not evidence-field rendering/refusal in RAG QA. Link:</w:t>
      </w:r>
      <w:r>
        <w:t xml:space="preserve"> </w:t>
      </w:r>
      <w:hyperlink r:id="rId61">
        <w:r>
          <w:rPr>
            <w:rStyle w:val="Hyperlink"/>
          </w:rPr>
          <w:t xml:space="preserve">[73]</w:t>
        </w:r>
      </w:hyperlink>
    </w:p>
    <w:p>
      <w:pPr>
        <w:pStyle w:val="BodyText"/>
      </w:pPr>
      <w:r>
        <w:rPr>
          <w:b/>
          <w:bCs/>
        </w:rPr>
        <w:t xml:space="preserve">Measuring Attribution in Natural Language Generation</w:t>
      </w:r>
      <w:r>
        <w:t xml:space="preserve"> </w:t>
      </w:r>
      <w:r>
        <w:t xml:space="preserve">— Hannah Rashkin et al.; 2023; Computational Linguistics. Establishes AIS, an evaluation frame for outputs attributable to identified sources. Different because it evaluates grounded generation, not non-generation lanes. Link:</w:t>
      </w:r>
      <w:r>
        <w:t xml:space="preserve"> </w:t>
      </w:r>
      <w:hyperlink r:id="rId26">
        <w:r>
          <w:rPr>
            <w:rStyle w:val="Hyperlink"/>
          </w:rPr>
          <w:t xml:space="preserve">[74]</w:t>
        </w:r>
      </w:hyperlink>
    </w:p>
    <w:p>
      <w:pPr>
        <w:pStyle w:val="BodyText"/>
      </w:pPr>
      <w:r>
        <w:rPr>
          <w:b/>
          <w:bCs/>
        </w:rPr>
        <w:t xml:space="preserve">Enabling Large Language Models to Generate Text with Citations</w:t>
      </w:r>
      <w:r>
        <w:t xml:space="preserve"> </w:t>
      </w:r>
      <w:r>
        <w:t xml:space="preserve">— Tianyu Gao, Howard Yen, Jiatong Yu, Danqi Chen; 2023; EMNLP / arXiv. Establishes ALCE and automated evaluation of correctness, fluency, and citation quality. Different because the answer remains primarily generated. Links:</w:t>
      </w:r>
      <w:r>
        <w:t xml:space="preserve"> </w:t>
      </w:r>
      <w:hyperlink r:id="rId46">
        <w:r>
          <w:rPr>
            <w:rStyle w:val="Hyperlink"/>
          </w:rPr>
          <w:t xml:space="preserve">[75]</w:t>
        </w:r>
      </w:hyperlink>
    </w:p>
    <w:p>
      <w:pPr>
        <w:pStyle w:val="BodyText"/>
      </w:pPr>
      <w:r>
        <w:rPr>
          <w:b/>
          <w:bCs/>
        </w:rPr>
        <w:t xml:space="preserve">Self-RAG: Learning to Retrieve, Generate, and Critique through Self-Reflection</w:t>
      </w:r>
      <w:r>
        <w:t xml:space="preserve"> </w:t>
      </w:r>
      <w:r>
        <w:t xml:space="preserve">— Akari Asai et al.; 2023/2024; ICLR / arXiv. Establishes adaptive retrieval and self-reflection for higher-quality grounded generation. Different because it optimizes generation behavior, not deterministic answer lanes. Links:</w:t>
      </w:r>
      <w:r>
        <w:t xml:space="preserve"> </w:t>
      </w:r>
      <w:hyperlink r:id="rId43">
        <w:r>
          <w:rPr>
            <w:rStyle w:val="Hyperlink"/>
          </w:rPr>
          <w:t xml:space="preserve">[76]</w:t>
        </w:r>
      </w:hyperlink>
    </w:p>
    <w:p>
      <w:pPr>
        <w:pStyle w:val="BodyText"/>
      </w:pPr>
      <w:r>
        <w:rPr>
          <w:b/>
          <w:bCs/>
        </w:rPr>
        <w:t xml:space="preserve">Corrective Retrieval Augmented Generation</w:t>
      </w:r>
      <w:r>
        <w:t xml:space="preserve"> </w:t>
      </w:r>
      <w:r>
        <w:t xml:space="preserve">— Shi-Qi Yan et al.; 2024; arXiv. Establishes retrieval-quality evaluation and corrective retrieval actions for robust generation. Different because it remains generation-centric. Link:</w:t>
      </w:r>
      <w:r>
        <w:t xml:space="preserve"> </w:t>
      </w:r>
      <w:hyperlink r:id="rId62">
        <w:r>
          <w:rPr>
            <w:rStyle w:val="Hyperlink"/>
          </w:rPr>
          <w:t xml:space="preserve">[77]</w:t>
        </w:r>
      </w:hyperlink>
    </w:p>
    <w:p>
      <w:pPr>
        <w:pStyle w:val="BodyText"/>
      </w:pPr>
      <w:r>
        <w:rPr>
          <w:b/>
          <w:bCs/>
        </w:rPr>
        <w:t xml:space="preserve">Sufficient Context: A New Lens on Retrieval Augmented Generation Systems</w:t>
      </w:r>
      <w:r>
        <w:t xml:space="preserve"> </w:t>
      </w:r>
      <w:r>
        <w:t xml:space="preserve">— Hadas Joren et al.; 2024/2025; ICLR / arXiv. Establishes context sufficiency and selective generation for guided abstention. Different because it covers refusal/selective response, but not exact field rendering or compound lanes. Links:</w:t>
      </w:r>
      <w:r>
        <w:t xml:space="preserve"> </w:t>
      </w:r>
      <w:hyperlink r:id="rId22">
        <w:r>
          <w:rPr>
            <w:rStyle w:val="Hyperlink"/>
          </w:rPr>
          <w:t xml:space="preserve">[78]</w:t>
        </w:r>
      </w:hyperlink>
    </w:p>
    <w:p>
      <w:pPr>
        <w:pStyle w:val="BodyText"/>
      </w:pPr>
      <w:r>
        <w:rPr>
          <w:b/>
          <w:bCs/>
        </w:rPr>
        <w:t xml:space="preserve">Characterizing LLM Abstention Behavior in Science QA with Context Perturbations</w:t>
      </w:r>
      <w:r>
        <w:t xml:space="preserve"> </w:t>
      </w:r>
      <w:r>
        <w:t xml:space="preserve">— Bingbing Wen, Bill Howe, Lucy Lu Wang; 2024; Findings of EMNLP / arXiv. Establishes abstention sensitivity to missing or incorrect context. Different because it studies model abstention behavior, not deterministic runtime refusal lanes. Links:</w:t>
      </w:r>
      <w:r>
        <w:t xml:space="preserve"> </w:t>
      </w:r>
      <w:hyperlink r:id="rId63">
        <w:r>
          <w:rPr>
            <w:rStyle w:val="Hyperlink"/>
          </w:rPr>
          <w:t xml:space="preserve">[79]</w:t>
        </w:r>
      </w:hyperlink>
    </w:p>
    <w:p>
      <w:pPr>
        <w:pStyle w:val="BodyText"/>
      </w:pPr>
      <w:r>
        <w:rPr>
          <w:b/>
          <w:bCs/>
        </w:rPr>
        <w:t xml:space="preserve">Do Retrieval Augmented Language Models Know When They Don’t Know?</w:t>
      </w:r>
      <w:r>
        <w:t xml:space="preserve"> </w:t>
      </w:r>
      <w:r>
        <w:t xml:space="preserve">— Y. Zhou et al.; 2025/2026; AAAI 2026 / arXiv. Establishes over-refusal in retrieval-augmented LMs and warns that better refusal behavior does not equal better calibration or accuracy. Different because it studies refusal-aware modeling, not multi-lane answer allocation. Links:</w:t>
      </w:r>
      <w:r>
        <w:t xml:space="preserve"> </w:t>
      </w:r>
      <w:hyperlink r:id="rId64">
        <w:r>
          <w:rPr>
            <w:rStyle w:val="Hyperlink"/>
          </w:rPr>
          <w:t xml:space="preserve">[80]</w:t>
        </w:r>
      </w:hyperlink>
    </w:p>
    <w:p>
      <w:pPr>
        <w:pStyle w:val="BodyText"/>
      </w:pPr>
      <w:r>
        <w:rPr>
          <w:b/>
          <w:bCs/>
        </w:rPr>
        <w:t xml:space="preserve">Benchmarking Large Language Models in Retrieval-Augmented Generation</w:t>
      </w:r>
      <w:r>
        <w:t xml:space="preserve"> </w:t>
      </w:r>
      <w:r>
        <w:t xml:space="preserve">— Jiawei Chen, Hongyu Lin, Xianpei Han, Le Sun; 2024; AAAI. Establishes RGB and the diagnostic dimensions of noise robustness, negative rejection, information integration, and counterfactual robustness. Different because it benchmarks model capabilities, not deterministic answer modes. Links:</w:t>
      </w:r>
      <w:r>
        <w:t xml:space="preserve"> </w:t>
      </w:r>
      <w:hyperlink r:id="rId41">
        <w:r>
          <w:rPr>
            <w:rStyle w:val="Hyperlink"/>
          </w:rPr>
          <w:t xml:space="preserve">[81]</w:t>
        </w:r>
      </w:hyperlink>
    </w:p>
    <w:p>
      <w:pPr>
        <w:pStyle w:val="BodyText"/>
      </w:pPr>
      <w:r>
        <w:rPr>
          <w:b/>
          <w:bCs/>
        </w:rPr>
        <w:t xml:space="preserve">Making Retrieval-Augmented Language Models Robust to Irrelevant Context</w:t>
      </w:r>
      <w:r>
        <w:t xml:space="preserve"> </w:t>
      </w:r>
      <w:r>
        <w:t xml:space="preserve">— Ori Yoran et al.; 2023/2024; ICLR / arXiv. Establishes that irrelevant retrieved context can degrade performance and proposes mitigation. Different because it addresses retrieval robustness, not answer execution policy. Links:</w:t>
      </w:r>
      <w:r>
        <w:t xml:space="preserve"> </w:t>
      </w:r>
      <w:hyperlink r:id="rId65">
        <w:r>
          <w:rPr>
            <w:rStyle w:val="Hyperlink"/>
          </w:rPr>
          <w:t xml:space="preserve">[82]</w:t>
        </w:r>
      </w:hyperlink>
    </w:p>
    <w:p>
      <w:pPr>
        <w:pStyle w:val="BodyText"/>
      </w:pPr>
      <w:r>
        <w:rPr>
          <w:b/>
          <w:bCs/>
        </w:rPr>
        <w:t xml:space="preserve">SQuAD: 100,000+ Questions for Machine Comprehension of Text</w:t>
      </w:r>
      <w:r>
        <w:t xml:space="preserve"> </w:t>
      </w:r>
      <w:r>
        <w:t xml:space="preserve">— Pranav Rajpurkar et al.; 2016; EMNLP / arXiv. Establishes extractive QA as passage-span prediction. Different because the proposed project is not a learned reader model. Links:</w:t>
      </w:r>
      <w:r>
        <w:t xml:space="preserve"> </w:t>
      </w:r>
      <w:hyperlink r:id="rId27">
        <w:r>
          <w:rPr>
            <w:rStyle w:val="Hyperlink"/>
          </w:rPr>
          <w:t xml:space="preserve">[83]</w:t>
        </w:r>
      </w:hyperlink>
    </w:p>
    <w:p>
      <w:pPr>
        <w:pStyle w:val="BodyText"/>
      </w:pPr>
      <w:r>
        <w:rPr>
          <w:b/>
          <w:bCs/>
        </w:rPr>
        <w:t xml:space="preserve">Compositional Semantic Parsing on Semi-Structured Tables</w:t>
      </w:r>
      <w:r>
        <w:t xml:space="preserve"> </w:t>
      </w:r>
      <w:r>
        <w:t xml:space="preserve">— Panupong Pasupat, Percy Liang; 2015; ACL. Establishes table QA via semantic parsing. Different because the proposed project is not semantic parsing or denotation prediction. Link:</w:t>
      </w:r>
      <w:r>
        <w:t xml:space="preserve"> </w:t>
      </w:r>
      <w:hyperlink r:id="rId66">
        <w:r>
          <w:rPr>
            <w:rStyle w:val="Hyperlink"/>
          </w:rPr>
          <w:t xml:space="preserve">[84]</w:t>
        </w:r>
      </w:hyperlink>
    </w:p>
    <w:p>
      <w:pPr>
        <w:pStyle w:val="BodyText"/>
      </w:pPr>
      <w:r>
        <w:rPr>
          <w:b/>
          <w:bCs/>
        </w:rPr>
        <w:t xml:space="preserve">TAPAS: Weakly Supervised Table Parsing via Pre-training</w:t>
      </w:r>
      <w:r>
        <w:t xml:space="preserve"> </w:t>
      </w:r>
      <w:r>
        <w:t xml:space="preserve">— Jonathan Herzig et al.; 2020; arXiv/Google Research. Establishes table QA via cell selection and aggregation. Different because the proposed project uses policy-based deterministic rendering, not learned table reading. Link:</w:t>
      </w:r>
      <w:r>
        <w:t xml:space="preserve"> </w:t>
      </w:r>
      <w:hyperlink r:id="rId67">
        <w:r>
          <w:rPr>
            <w:rStyle w:val="Hyperlink"/>
          </w:rPr>
          <w:t xml:space="preserve">[85]</w:t>
        </w:r>
      </w:hyperlink>
    </w:p>
    <w:p>
      <w:pPr>
        <w:pStyle w:val="BodyText"/>
      </w:pPr>
      <w:r>
        <w:rPr>
          <w:b/>
          <w:bCs/>
        </w:rPr>
        <w:t xml:space="preserve">HybridQA: A Dataset of Multi-Hop Question Answering over Tabular and Textual Data</w:t>
      </w:r>
      <w:r>
        <w:t xml:space="preserve"> </w:t>
      </w:r>
      <w:r>
        <w:t xml:space="preserve">— Wenhu Chen et al.; 2020; Findings of EMNLP. Establishes mixed table-text QA. Different because the proposed project is not about hybrid retrieval over heterogeneous knowledge sources per se. Link:</w:t>
      </w:r>
      <w:r>
        <w:t xml:space="preserve"> </w:t>
      </w:r>
      <w:hyperlink r:id="rId68">
        <w:r>
          <w:rPr>
            <w:rStyle w:val="Hyperlink"/>
          </w:rPr>
          <w:t xml:space="preserve">[86]</w:t>
        </w:r>
      </w:hyperlink>
    </w:p>
    <w:p>
      <w:pPr>
        <w:pStyle w:val="BodyText"/>
      </w:pPr>
      <w:r>
        <w:rPr>
          <w:b/>
          <w:bCs/>
        </w:rPr>
        <w:t xml:space="preserve">ToTTo: A Controlled Table-To-Text Generation Dataset</w:t>
      </w:r>
      <w:r>
        <w:t xml:space="preserve"> </w:t>
      </w:r>
      <w:r>
        <w:t xml:space="preserve">— Ankur P. Parikh et al.; 2020; EMNLP / arXiv. Establishes controlled table-to-text generation and notes that even strong methods hallucinate unsupported content. Different because it still treats synthesis as the output surface, whereas this project sometimes rejects synthesis entirely. Links:</w:t>
      </w:r>
      <w:r>
        <w:t xml:space="preserve"> </w:t>
      </w:r>
      <w:hyperlink r:id="rId39">
        <w:r>
          <w:rPr>
            <w:rStyle w:val="Hyperlink"/>
          </w:rPr>
          <w:t xml:space="preserve">[31]</w:t>
        </w:r>
      </w:hyperlink>
    </w:p>
    <w:p>
      <w:pPr>
        <w:pStyle w:val="BodyText"/>
      </w:pPr>
      <w:r>
        <w:rPr>
          <w:b/>
          <w:bCs/>
        </w:rPr>
        <w:t xml:space="preserve">MRKL Systems: A modular, neuro-symbolic architecture that combines large language models, external knowledge sources and discrete reasoning</w:t>
      </w:r>
      <w:r>
        <w:t xml:space="preserve"> </w:t>
      </w:r>
      <w:r>
        <w:t xml:space="preserve">— Ehud Karpas et al.; 2022; arXiv. Establishes modular routing between neural and symbolic components. Different because it does not define deterministic evidence/refusal lanes for browser-local RAG answers. Links:</w:t>
      </w:r>
      <w:r>
        <w:t xml:space="preserve"> </w:t>
      </w:r>
      <w:hyperlink r:id="rId28">
        <w:r>
          <w:rPr>
            <w:rStyle w:val="Hyperlink"/>
          </w:rPr>
          <w:t xml:space="preserve">[87]</w:t>
        </w:r>
      </w:hyperlink>
    </w:p>
    <w:p>
      <w:pPr>
        <w:pStyle w:val="BodyText"/>
      </w:pPr>
      <w:r>
        <w:rPr>
          <w:b/>
          <w:bCs/>
        </w:rPr>
        <w:t xml:space="preserve">NeMo Guardrails: A Toolkit for Controllable and Safe LLM Applications with Programmable Rails</w:t>
      </w:r>
      <w:r>
        <w:t xml:space="preserve"> </w:t>
      </w:r>
      <w:r>
        <w:t xml:space="preserve">— Traian Rebedea et al.; 2023; EMNLP Demo / arXiv. Establishes programmable rails for LLM workflows. Different because it is a control toolkit, not an evaluated answer-lane taxonomy. Links:</w:t>
      </w:r>
      <w:r>
        <w:t xml:space="preserve"> </w:t>
      </w:r>
      <w:hyperlink r:id="rId38">
        <w:r>
          <w:rPr>
            <w:rStyle w:val="Hyperlink"/>
          </w:rPr>
          <w:t xml:space="preserve">[88]</w:t>
        </w:r>
      </w:hyperlink>
    </w:p>
    <w:p>
      <w:pPr>
        <w:pStyle w:val="BodyText"/>
      </w:pPr>
      <w:r>
        <w:rPr>
          <w:b/>
          <w:bCs/>
        </w:rPr>
        <w:t xml:space="preserve">Prompting Is Programming: A Query Language for Large Language Models</w:t>
      </w:r>
      <w:r>
        <w:t xml:space="preserve"> </w:t>
      </w:r>
      <w:r>
        <w:t xml:space="preserve">— Luca Beurer-Kellner, Marc Fischer, Martin Vechev; 2022; arXiv. Establishes constrained language model programming and control flow over outputs. Different because it is a programming model, not a RAG answer-lane study. Links:</w:t>
      </w:r>
      <w:r>
        <w:t xml:space="preserve"> </w:t>
      </w:r>
      <w:hyperlink r:id="rId69">
        <w:r>
          <w:rPr>
            <w:rStyle w:val="Hyperlink"/>
          </w:rPr>
          <w:t xml:space="preserve">[89]</w:t>
        </w:r>
      </w:hyperlink>
    </w:p>
    <w:p>
      <w:pPr>
        <w:pStyle w:val="BodyText"/>
      </w:pPr>
      <w:r>
        <w:rPr>
          <w:b/>
          <w:bCs/>
        </w:rPr>
        <w:t xml:space="preserve">SGLang: Efficient Execution of Structured Language Model Programs</w:t>
      </w:r>
      <w:r>
        <w:t xml:space="preserve"> </w:t>
      </w:r>
      <w:r>
        <w:t xml:space="preserve">— Lianmin Zheng et al.; 2023; arXiv. Establishes structured LM programs and runtime efficiency. Different because it addresses execution efficiency, not generation-allocation policy. Link:</w:t>
      </w:r>
      <w:r>
        <w:t xml:space="preserve"> </w:t>
      </w:r>
      <w:hyperlink r:id="rId70">
        <w:r>
          <w:rPr>
            <w:rStyle w:val="Hyperlink"/>
          </w:rPr>
          <w:t xml:space="preserve">[90]</w:t>
        </w:r>
      </w:hyperlink>
    </w:p>
    <w:p>
      <w:pPr>
        <w:pStyle w:val="BodyText"/>
      </w:pPr>
      <w:r>
        <w:rPr>
          <w:b/>
          <w:bCs/>
        </w:rPr>
        <w:t xml:space="preserve">FrugalGPT: How to Use Large Language Models While Reducing Cost and Improving Performance</w:t>
      </w:r>
      <w:r>
        <w:t xml:space="preserve"> </w:t>
      </w:r>
      <w:r>
        <w:t xml:space="preserve">— Lingjiao Chen, Matei Zaharia, James Zou; 2023; TMLR / arXiv. Establishes LLM cascades and query routing for cost-quality tradeoffs. Different because it routes across models, not across deterministic/generative answer lanes. Links:</w:t>
      </w:r>
      <w:r>
        <w:t xml:space="preserve"> </w:t>
      </w:r>
      <w:hyperlink r:id="rId29">
        <w:r>
          <w:rPr>
            <w:rStyle w:val="Hyperlink"/>
          </w:rPr>
          <w:t xml:space="preserve">[91]</w:t>
        </w:r>
      </w:hyperlink>
    </w:p>
    <w:p>
      <w:pPr>
        <w:pStyle w:val="BodyText"/>
      </w:pPr>
      <w:r>
        <w:rPr>
          <w:b/>
          <w:bCs/>
        </w:rPr>
        <w:t xml:space="preserve">RouteLLM: Learning to Route LLMs with Preference Data</w:t>
      </w:r>
      <w:r>
        <w:t xml:space="preserve"> </w:t>
      </w:r>
      <w:r>
        <w:t xml:space="preserve">— Isaac Ong et al.; 2024; arXiv. Establishes learned routing between strong and weak LLMs. Different because the routing targets remain LLMs. Link:</w:t>
      </w:r>
      <w:r>
        <w:t xml:space="preserve"> </w:t>
      </w:r>
      <w:hyperlink r:id="rId71">
        <w:r>
          <w:rPr>
            <w:rStyle w:val="Hyperlink"/>
          </w:rPr>
          <w:t xml:space="preserve">[92]</w:t>
        </w:r>
      </w:hyperlink>
    </w:p>
    <w:p>
      <w:pPr>
        <w:pStyle w:val="BodyText"/>
      </w:pPr>
      <w:r>
        <w:rPr>
          <w:b/>
          <w:bCs/>
        </w:rPr>
        <w:t xml:space="preserve">Hybrid LLM: Cost-Efficient and Quality-Aware Query Routing</w:t>
      </w:r>
      <w:r>
        <w:t xml:space="preserve"> </w:t>
      </w:r>
      <w:r>
        <w:t xml:space="preserve">— Dujian Ding et al.; 2024; ICLR / arXiv. Establishes small-versus-large-model query routing. Different because the proposed paper routes answer modes, not just queried models. Links:</w:t>
      </w:r>
      <w:r>
        <w:t xml:space="preserve"> </w:t>
      </w:r>
      <w:hyperlink r:id="rId40">
        <w:r>
          <w:rPr>
            <w:rStyle w:val="Hyperlink"/>
          </w:rPr>
          <w:t xml:space="preserve">[93]</w:t>
        </w:r>
      </w:hyperlink>
    </w:p>
    <w:p>
      <w:pPr>
        <w:pStyle w:val="BodyText"/>
      </w:pPr>
      <w:r>
        <w:rPr>
          <w:b/>
          <w:bCs/>
        </w:rPr>
        <w:t xml:space="preserve">xRouter: Training Cost-Aware LLMs Orchestration System via Reinforcement Learning</w:t>
      </w:r>
      <w:r>
        <w:t xml:space="preserve"> </w:t>
      </w:r>
      <w:r>
        <w:t xml:space="preserve">— Cheng Qian et al.; 2025; arXiv. Establishes a tool-calling router that may answer directly or invoke external models. Different because its goal is cost-aware orchestration, not fidelity-based deterministic rendering of evidence fields. Link:</w:t>
      </w:r>
      <w:r>
        <w:t xml:space="preserve"> </w:t>
      </w:r>
      <w:hyperlink r:id="rId72">
        <w:r>
          <w:rPr>
            <w:rStyle w:val="Hyperlink"/>
          </w:rPr>
          <w:t xml:space="preserve">[94]</w:t>
        </w:r>
      </w:hyperlink>
    </w:p>
    <w:p>
      <w:pPr>
        <w:pStyle w:val="BodyText"/>
      </w:pPr>
      <w:r>
        <w:rPr>
          <w:b/>
          <w:bCs/>
        </w:rPr>
        <w:t xml:space="preserve">Principles of Mixed-Initiative User Interfaces</w:t>
      </w:r>
      <w:r>
        <w:t xml:space="preserve"> </w:t>
      </w:r>
      <w:r>
        <w:t xml:space="preserve">— Eric Horvitz; 1999; CHI. Establishes the coupling of automation with direct manipulation. Different because it is general HCI theory, not RAG-specific evaluation. Links:</w:t>
      </w:r>
      <w:r>
        <w:t xml:space="preserve"> </w:t>
      </w:r>
      <w:hyperlink r:id="rId30">
        <w:r>
          <w:rPr>
            <w:rStyle w:val="Hyperlink"/>
          </w:rPr>
          <w:t xml:space="preserve">[95]</w:t>
        </w:r>
      </w:hyperlink>
    </w:p>
    <w:p>
      <w:pPr>
        <w:pStyle w:val="BodyText"/>
      </w:pPr>
      <w:r>
        <w:rPr>
          <w:b/>
          <w:bCs/>
        </w:rPr>
        <w:t xml:space="preserve">Guidelines for Human-AI Interaction</w:t>
      </w:r>
      <w:r>
        <w:t xml:space="preserve"> </w:t>
      </w:r>
      <w:r>
        <w:t xml:space="preserve">— Saleema Amershi et al.; 2019; CHI / Microsoft Research. Establishes broadly applicable design guidelines for human-AI systems. Different because it is normative HCI guidance, not a lane-allocation method. Links:</w:t>
      </w:r>
      <w:r>
        <w:t xml:space="preserve"> </w:t>
      </w:r>
      <w:hyperlink r:id="rId73">
        <w:r>
          <w:rPr>
            <w:rStyle w:val="Hyperlink"/>
          </w:rPr>
          <w:t xml:space="preserve">[96]</w:t>
        </w:r>
      </w:hyperlink>
    </w:p>
    <w:p>
      <w:pPr>
        <w:pStyle w:val="BodyText"/>
      </w:pPr>
      <w:r>
        <w:rPr>
          <w:b/>
          <w:bCs/>
        </w:rPr>
        <w:t xml:space="preserve">AI Chains: Transparent and Controllable Human-AI Interaction by Chaining Large Language Model Prompts</w:t>
      </w:r>
      <w:r>
        <w:t xml:space="preserve"> </w:t>
      </w:r>
      <w:r>
        <w:t xml:space="preserve">— Tongshuang Wu, Michael Terry, Carrie J. Cai; 2021; arXiv/CHI-adjacent. Establishes modular multi-step LLM interaction that improves transparency and controllability. Different because it does not define deterministic evidence/refusal lanes. Links:</w:t>
      </w:r>
      <w:r>
        <w:t xml:space="preserve"> </w:t>
      </w:r>
      <w:hyperlink r:id="rId44">
        <w:r>
          <w:rPr>
            <w:rStyle w:val="Hyperlink"/>
          </w:rPr>
          <w:t xml:space="preserve">[97]</w:t>
        </w:r>
      </w:hyperlink>
    </w:p>
    <w:p>
      <w:pPr>
        <w:pStyle w:val="BodyText"/>
      </w:pPr>
      <w:r>
        <w:rPr>
          <w:b/>
          <w:bCs/>
        </w:rPr>
        <w:t xml:space="preserve">Trust in Automation: Designing for Appropriate Reliance</w:t>
      </w:r>
      <w:r>
        <w:t xml:space="preserve"> </w:t>
      </w:r>
      <w:r>
        <w:t xml:space="preserve">— John D. Lee, Katrina A. See; 2004; Human Factors. Establishes appropriate reliance as a key design goal. Different because it is a general trust framework rather than a RAG-specific method. Links:</w:t>
      </w:r>
      <w:r>
        <w:t xml:space="preserve"> </w:t>
      </w:r>
      <w:hyperlink r:id="rId74">
        <w:r>
          <w:rPr>
            <w:rStyle w:val="Hyperlink"/>
          </w:rPr>
          <w:t xml:space="preserve">[98]</w:t>
        </w:r>
      </w:hyperlink>
    </w:p>
    <w:p>
      <w:pPr>
        <w:pStyle w:val="BodyText"/>
      </w:pPr>
      <w:r>
        <w:rPr>
          <w:b/>
          <w:bCs/>
        </w:rPr>
        <w:t xml:space="preserve">DistServe: Disaggregating Prefill and Decoding for Goodput-optimized Large Language Model Serving</w:t>
      </w:r>
      <w:r>
        <w:t xml:space="preserve"> </w:t>
      </w:r>
      <w:r>
        <w:t xml:space="preserve">— Yinmin Zhong et al.; 2024; OSDI / arXiv. Establishes TTFT and TPOT as separate latency concerns in LLM serving. Different because it is server-side serving research, not browser-local answer-lane evaluation. Links:</w:t>
      </w:r>
      <w:r>
        <w:t xml:space="preserve"> </w:t>
      </w:r>
      <w:hyperlink r:id="rId31">
        <w:r>
          <w:rPr>
            <w:rStyle w:val="Hyperlink"/>
          </w:rPr>
          <w:t xml:space="preserve">[99]</w:t>
        </w:r>
      </w:hyperlink>
    </w:p>
    <w:p>
      <w:pPr>
        <w:pStyle w:val="BodyText"/>
      </w:pPr>
      <w:r>
        <w:rPr>
          <w:b/>
          <w:bCs/>
        </w:rPr>
        <w:t xml:space="preserve">Efficient Memory Management for Large Language Model Serving with PagedAttention</w:t>
      </w:r>
      <w:r>
        <w:t xml:space="preserve"> </w:t>
      </w:r>
      <w:r>
        <w:t xml:space="preserve">— Woosuk Kwon et al.; 2023; SOSP / arXiv. Establishes vLLM/PagedAttention as a memory-efficient high-throughput serving system. Different because it informs latency vocabulary but not non-generation policies. Links:</w:t>
      </w:r>
      <w:r>
        <w:t xml:space="preserve"> </w:t>
      </w:r>
      <w:hyperlink r:id="rId75">
        <w:r>
          <w:rPr>
            <w:rStyle w:val="Hyperlink"/>
          </w:rPr>
          <w:t xml:space="preserve">[100]</w:t>
        </w:r>
      </w:hyperlink>
    </w:p>
    <w:p>
      <w:pPr>
        <w:pStyle w:val="BodyText"/>
      </w:pPr>
      <w:r>
        <w:rPr>
          <w:b/>
          <w:bCs/>
        </w:rPr>
        <w:t xml:space="preserve">RightsStatements.org home page, documentation, and usage guidelines</w:t>
      </w:r>
      <w:r>
        <w:t xml:space="preserve"> </w:t>
      </w:r>
      <w:r>
        <w:t xml:space="preserve">— RightsStatements.org consortium / Digital Scholar stewardship; current official documentation. Establishes standardized rights statements, unique URIs, machine/human-readable resolution, storage in metadata fields such as</w:t>
      </w:r>
      <w:r>
        <w:t xml:space="preserve"> </w:t>
      </w:r>
      <w:r>
        <w:rPr>
          <w:rStyle w:val="VerbatimChar"/>
        </w:rPr>
        <w:t xml:space="preserve">dc:rights</w:t>
      </w:r>
      <w:r>
        <w:t xml:space="preserve"> </w:t>
      </w:r>
      <w:r>
        <w:t xml:space="preserve">or</w:t>
      </w:r>
      <w:r>
        <w:t xml:space="preserve"> </w:t>
      </w:r>
      <w:r>
        <w:rPr>
          <w:rStyle w:val="VerbatimChar"/>
        </w:rPr>
        <w:t xml:space="preserve">edm:rights</w:t>
      </w:r>
      <w:r>
        <w:t xml:space="preserve">, and display guidance near objects. Different because it provides the domain-specific motivation for deterministic evidence-field rendering, not the answer-lane method itself. Links:</w:t>
      </w:r>
      <w:r>
        <w:t xml:space="preserve"> </w:t>
      </w:r>
      <w:hyperlink r:id="rId76">
        <w:r>
          <w:rPr>
            <w:rStyle w:val="Hyperlink"/>
          </w:rPr>
          <w:t xml:space="preserve">[101]</w:t>
        </w:r>
      </w:hyperlink>
    </w:p>
    <w:p>
      <w:pPr>
        <w:pStyle w:val="BodyText"/>
      </w:pPr>
      <w:r>
        <w:rPr>
          <w:b/>
          <w:bCs/>
        </w:rPr>
        <w:t xml:space="preserve">Europeana Publishing Framework</w:t>
      </w:r>
      <w:r>
        <w:t xml:space="preserve"> </w:t>
      </w:r>
      <w:r>
        <w:t xml:space="preserve">— Europeana Foundation; official documentation. Establishes that rights statements, direct links, and metadata quality affect how objects are surfaced and reused. Different because it defines metadata/publication obligations rather than RAG behavior. Links:</w:t>
      </w:r>
      <w:r>
        <w:t xml:space="preserve"> </w:t>
      </w:r>
      <w:hyperlink r:id="rId36">
        <w:r>
          <w:rPr>
            <w:rStyle w:val="Hyperlink"/>
          </w:rPr>
          <w:t xml:space="preserve">[102]</w:t>
        </w:r>
      </w:hyperlink>
    </w:p>
    <w:p>
      <w:pPr>
        <w:pStyle w:val="BodyText"/>
      </w:pPr>
      <w:r>
        <w:rPr>
          <w:b/>
          <w:bCs/>
        </w:rPr>
        <w:t xml:space="preserve">Europeana Data Model documentation and Mapping Guidelines</w:t>
      </w:r>
      <w:r>
        <w:t xml:space="preserve"> </w:t>
      </w:r>
      <w:r>
        <w:t xml:space="preserve">— Europeana Foundation; official documentation. Establishes the role and obligation level of EDM properties; specifies</w:t>
      </w:r>
      <w:r>
        <w:t xml:space="preserve"> </w:t>
      </w:r>
      <w:r>
        <w:rPr>
          <w:rStyle w:val="VerbatimChar"/>
        </w:rPr>
        <w:t xml:space="preserve">edm:rights</w:t>
      </w:r>
      <w:r>
        <w:t xml:space="preserve"> </w:t>
      </w:r>
      <w:r>
        <w:t xml:space="preserve">as mandatory at the aggregation level and encourages per-resource rights statements. Different because it is metadata schema guidance, not answer execution policy. Links:</w:t>
      </w:r>
      <w:r>
        <w:t xml:space="preserve"> </w:t>
      </w:r>
      <w:hyperlink r:id="rId77">
        <w:r>
          <w:rPr>
            <w:rStyle w:val="Hyperlink"/>
          </w:rPr>
          <w:t xml:space="preserve">[103]</w:t>
        </w:r>
      </w:hyperlink>
    </w:p>
    <w:p>
      <w:pPr>
        <w:pStyle w:val="BodyText"/>
      </w:pPr>
      <w:r>
        <w:rPr>
          <w:b/>
          <w:bCs/>
        </w:rPr>
        <w:t xml:space="preserve">Enhancing the Europeana Data Model white paper</w:t>
      </w:r>
      <w:r>
        <w:t xml:space="preserve"> </w:t>
      </w:r>
      <w:r>
        <w:t xml:space="preserve">— Valentine Charles et al.; 2015; Europeana white paper. Establishes more complex rights modeling, including different rights conditions for different views and time-bounded restrictions. Different because it grounds the case for exact rights-field display, not browser-local RAG policies. Link:</w:t>
      </w:r>
      <w:r>
        <w:t xml:space="preserve"> </w:t>
      </w:r>
      <w:hyperlink r:id="rId78">
        <w:r>
          <w:rPr>
            <w:rStyle w:val="Hyperlink"/>
          </w:rPr>
          <w:t xml:space="preserve">[104]</w:t>
        </w:r>
      </w:hyperlink>
    </w:p>
    <w:p>
      <w:pPr>
        <w:pStyle w:val="BodyText"/>
      </w:pPr>
      <w:r>
        <w:rPr>
          <w:b/>
          <w:bCs/>
        </w:rPr>
        <w:t xml:space="preserve">IIIF Presentation API 3.0</w:t>
      </w:r>
      <w:r>
        <w:t xml:space="preserve"> </w:t>
      </w:r>
      <w:r>
        <w:t xml:space="preserve">— IIIF Consortium; official standard. Establishes that the Presentation API is for providing information needed to present compound digital objects to human users. Different because it is a presentation standard, not a RAG paper, but it supports the idea that some digital-library answers are fundamentally presentation-layer outputs. Link:</w:t>
      </w:r>
      <w:r>
        <w:t xml:space="preserve"> </w:t>
      </w:r>
      <w:hyperlink r:id="rId79">
        <w:r>
          <w:rPr>
            <w:rStyle w:val="Hyperlink"/>
          </w:rPr>
          <w:t xml:space="preserve">[105]</w:t>
        </w:r>
      </w:hyperlink>
    </w:p>
    <w:p>
      <w:pPr>
        <w:pStyle w:val="BodyText"/>
      </w:pPr>
      <w:r>
        <w:rPr>
          <w:b/>
          <w:bCs/>
        </w:rPr>
        <w:t xml:space="preserve">Final verdict.</w:t>
      </w:r>
      <w:r>
        <w:br/>
      </w:r>
      <w:r>
        <w:rPr>
          <w:b/>
          <w:bCs/>
        </w:rPr>
        <w:t xml:space="preserve">Independent paper value:</w:t>
      </w:r>
      <w:r>
        <w:t xml:space="preserve"> </w:t>
      </w:r>
      <w:r>
        <w:t xml:space="preserve">Moderate</w:t>
      </w:r>
    </w:p>
    <w:p>
      <w:pPr>
        <w:pStyle w:val="BodyText"/>
      </w:pPr>
      <w:r>
        <w:rPr>
          <w:b/>
          <w:bCs/>
        </w:rPr>
        <w:t xml:space="preserve">Best framing:</w:t>
      </w:r>
      <w:r>
        <w:t xml:space="preserve"> </w:t>
      </w:r>
      <w:r>
        <w:t xml:space="preserve">Generation allocation for browser-local small-model RAG, with deterministic field rendering and deterministic insufficient-evidence refusal as first-class answer lanes, and rights/provenance metadata as the motivating stress-test domain.</w:t>
      </w:r>
    </w:p>
    <w:p>
      <w:pPr>
        <w:pStyle w:val="BodyText"/>
      </w:pPr>
      <w:r>
        <w:rPr>
          <w:b/>
          <w:bCs/>
        </w:rPr>
        <w:t xml:space="preserve">Best venue target:</w:t>
      </w:r>
      <w:r>
        <w:t xml:space="preserve"> </w:t>
      </w:r>
      <w:r>
        <w:t xml:space="preserve">JCDL first; SIGIR resource/applied second if the evaluation is broadened; CHI only if the interface and user-reliance study become central.</w:t>
      </w:r>
    </w:p>
    <w:p>
      <w:pPr>
        <w:pStyle w:val="BodyText"/>
      </w:pPr>
      <w:r>
        <w:rPr>
          <w:b/>
          <w:bCs/>
        </w:rPr>
        <w:t xml:space="preserve">Main novelty risk:</w:t>
      </w:r>
      <w:r>
        <w:t xml:space="preserve"> </w:t>
      </w:r>
      <w:r>
        <w:t xml:space="preserve">Reviewers collapse the work into guardrails, routing, extractive QA, or templating because the policy is rule-based and made of known ingredients.</w:t>
      </w:r>
    </w:p>
    <w:p>
      <w:pPr>
        <w:pStyle w:val="BodyText"/>
      </w:pPr>
      <w:r>
        <w:rPr>
          <w:b/>
          <w:bCs/>
        </w:rPr>
        <w:t xml:space="preserve">Main empirical risk:</w:t>
      </w:r>
      <w:r>
        <w:t xml:space="preserve"> </w:t>
      </w:r>
      <w:r>
        <w:t xml:space="preserve">A small fixture and weak baselines make the lane policy look overfit and underpowered.</w:t>
      </w:r>
    </w:p>
    <w:p>
      <w:pPr>
        <w:pStyle w:val="BodyText"/>
      </w:pPr>
      <w:r>
        <w:rPr>
          <w:b/>
          <w:bCs/>
        </w:rPr>
        <w:t xml:space="preserve">One-sentence claim to use:</w:t>
      </w:r>
      <w:r>
        <w:t xml:space="preserve"> </w:t>
      </w:r>
      <w:r>
        <w:t xml:space="preserve">In browser-local small-model RAG, some answer components are better handled as deterministic evidence or refusal lanes than as generated text, and this allocation can be evaluated with fidelity, refusal, latency, and usability metrics.</w:t>
      </w:r>
    </w:p>
    <w:p>
      <w:pPr>
        <w:pStyle w:val="BodyText"/>
      </w:pPr>
      <w:r>
        <w:rPr>
          <w:b/>
          <w:bCs/>
        </w:rPr>
        <w:t xml:space="preserve">One-sentence claim to avoid:</w:t>
      </w:r>
      <w:r>
        <w:t xml:space="preserve"> </w:t>
      </w:r>
      <w:r>
        <w:t xml:space="preserve">We introduce a new general solution to RAG grounding and rights correctness by replacing generation with deterministic answers.</w:t>
      </w:r>
    </w:p>
    <w:bookmarkEnd w:id="80"/>
    <w:bookmarkEnd w:id="81"/>
    <w:bookmarkEnd w:id="82"/>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[5]</w:t>
        </w:r>
      </w:hyperlink>
      <w:r>
        <w:t xml:space="preserve"> </w:t>
      </w:r>
      <w:hyperlink r:id="rId21">
        <w:r>
          <w:rPr>
            <w:rStyle w:val="Hyperlink"/>
          </w:rPr>
          <w:t xml:space="preserve">[15]</w:t>
        </w:r>
      </w:hyperlink>
      <w:r>
        <w:t xml:space="preserve"> </w:t>
      </w:r>
      <w:hyperlink r:id="rId21">
        <w:r>
          <w:rPr>
            <w:rStyle w:val="Hyperlink"/>
          </w:rPr>
          <w:t xml:space="preserve">[24]</w:t>
        </w:r>
      </w:hyperlink>
      <w:r>
        <w:t xml:space="preserve"> </w:t>
      </w:r>
      <w:hyperlink r:id="rId21">
        <w:r>
          <w:rPr>
            <w:rStyle w:val="Hyperlink"/>
          </w:rPr>
          <w:t xml:space="preserve">[26]</w:t>
        </w:r>
      </w:hyperlink>
      <w:r>
        <w:t xml:space="preserve"> </w:t>
      </w:r>
      <w:hyperlink r:id="rId21">
        <w:r>
          <w:rPr>
            <w:rStyle w:val="Hyperlink"/>
          </w:rPr>
          <w:t xml:space="preserve">[37]</w:t>
        </w:r>
      </w:hyperlink>
      <w:r>
        <w:t xml:space="preserve"> </w:t>
      </w:r>
      <w:hyperlink r:id="rId21">
        <w:r>
          <w:rPr>
            <w:rStyle w:val="Hyperlink"/>
          </w:rPr>
          <w:t xml:space="preserve">[40]</w:t>
        </w:r>
      </w:hyperlink>
      <w:r>
        <w:t xml:space="preserve"> </w:t>
      </w:r>
      <w:hyperlink r:id="rId21">
        <w:r>
          <w:rPr>
            <w:rStyle w:val="Hyperlink"/>
          </w:rPr>
          <w:t xml:space="preserve">[41]</w:t>
        </w:r>
      </w:hyperlink>
      <w:r>
        <w:t xml:space="preserve"> </w:t>
      </w:r>
      <w:hyperlink r:id="rId21">
        <w:r>
          <w:rPr>
            <w:rStyle w:val="Hyperlink"/>
          </w:rPr>
          <w:t xml:space="preserve">[59]</w:t>
        </w:r>
      </w:hyperlink>
      <w:r>
        <w:t xml:space="preserve"> </w:t>
      </w:r>
      <w:hyperlink r:id="rId21">
        <w:r>
          <w:rPr>
            <w:rStyle w:val="Hyperlink"/>
          </w:rPr>
          <w:t xml:space="preserve">[66]</w:t>
        </w:r>
      </w:hyperlink>
      <w:r>
        <w:t xml:space="preserve"> </w:t>
      </w:r>
      <w:r>
        <w:t xml:space="preserve">https://arxiv.org/abs/2412.15803</w:t>
      </w:r>
    </w:p>
    <w:p>
      <w:pPr>
        <w:pStyle w:val="BodyText"/>
      </w:pPr>
      <w:hyperlink r:id="rId21">
        <w:r>
          <w:rPr>
            <w:rStyle w:val="Hyperlink"/>
          </w:rPr>
          <w:t xml:space="preserve">https://arxiv.org/abs/2412.15803</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[18]</w:t>
        </w:r>
      </w:hyperlink>
      <w:r>
        <w:t xml:space="preserve"> </w:t>
      </w:r>
      <w:hyperlink r:id="rId22">
        <w:r>
          <w:rPr>
            <w:rStyle w:val="Hyperlink"/>
          </w:rPr>
          <w:t xml:space="preserve">[61]</w:t>
        </w:r>
      </w:hyperlink>
      <w:r>
        <w:t xml:space="preserve"> </w:t>
      </w:r>
      <w:hyperlink r:id="rId22">
        <w:r>
          <w:rPr>
            <w:rStyle w:val="Hyperlink"/>
          </w:rPr>
          <w:t xml:space="preserve">[78]</w:t>
        </w:r>
      </w:hyperlink>
      <w:r>
        <w:t xml:space="preserve"> </w:t>
      </w:r>
      <w:r>
        <w:t xml:space="preserve">https://arxiv.org/abs/2411.06037</w:t>
      </w:r>
    </w:p>
    <w:p>
      <w:pPr>
        <w:pStyle w:val="BodyText"/>
      </w:pPr>
      <w:hyperlink r:id="rId22">
        <w:r>
          <w:rPr>
            <w:rStyle w:val="Hyperlink"/>
          </w:rPr>
          <w:t xml:space="preserve">https://arxiv.org/abs/2411.06037</w:t>
        </w:r>
      </w:hyperlink>
    </w:p>
    <w:p>
      <w:pPr>
        <w:pStyle w:val="BodyText"/>
      </w:pPr>
      <w:hyperlink r:id="rId23">
        <w:r>
          <w:rPr>
            <w:rStyle w:val="Hyperlink"/>
          </w:rPr>
          <w:t xml:space="preserve">[4]</w:t>
        </w:r>
      </w:hyperlink>
      <w:r>
        <w:t xml:space="preserve"> </w:t>
      </w:r>
      <w:hyperlink r:id="rId23">
        <w:r>
          <w:rPr>
            <w:rStyle w:val="Hyperlink"/>
          </w:rPr>
          <w:t xml:space="preserve">[32]</w:t>
        </w:r>
      </w:hyperlink>
      <w:r>
        <w:t xml:space="preserve"> </w:t>
      </w:r>
      <w:r>
        <w:t xml:space="preserve">https://rightsstatements.org/en/documentation/</w:t>
      </w:r>
    </w:p>
    <w:p>
      <w:pPr>
        <w:pStyle w:val="BodyText"/>
      </w:pPr>
      <w:hyperlink r:id="rId23">
        <w:r>
          <w:rPr>
            <w:rStyle w:val="Hyperlink"/>
          </w:rPr>
          <w:t xml:space="preserve">https://rightsstatements.org/en/documentation/</w:t>
        </w:r>
      </w:hyperlink>
    </w:p>
    <w:p>
      <w:pPr>
        <w:pStyle w:val="BodyText"/>
      </w:pPr>
      <w:hyperlink r:id="rId25">
        <w:r>
          <w:rPr>
            <w:rStyle w:val="Hyperlink"/>
          </w:rPr>
          <w:t xml:space="preserve">[6]</w:t>
        </w:r>
      </w:hyperlink>
      <w:r>
        <w:t xml:space="preserve"> </w:t>
      </w:r>
      <w:hyperlink r:id="rId25">
        <w:r>
          <w:rPr>
            <w:rStyle w:val="Hyperlink"/>
          </w:rPr>
          <w:t xml:space="preserve">[16]</w:t>
        </w:r>
      </w:hyperlink>
      <w:r>
        <w:t xml:space="preserve"> </w:t>
      </w:r>
      <w:hyperlink r:id="rId25">
        <w:r>
          <w:rPr>
            <w:rStyle w:val="Hyperlink"/>
          </w:rPr>
          <w:t xml:space="preserve">[60]</w:t>
        </w:r>
      </w:hyperlink>
      <w:r>
        <w:t xml:space="preserve"> </w:t>
      </w:r>
      <w:hyperlink r:id="rId25">
        <w:r>
          <w:rPr>
            <w:rStyle w:val="Hyperlink"/>
          </w:rPr>
          <w:t xml:space="preserve">[71]</w:t>
        </w:r>
      </w:hyperlink>
      <w:r>
        <w:t xml:space="preserve"> </w:t>
      </w:r>
      <w:r>
        <w:t xml:space="preserve">https://arxiv.org/abs/2407.01972</w:t>
      </w:r>
    </w:p>
    <w:p>
      <w:pPr>
        <w:pStyle w:val="BodyText"/>
      </w:pPr>
      <w:hyperlink r:id="rId25">
        <w:r>
          <w:rPr>
            <w:rStyle w:val="Hyperlink"/>
          </w:rPr>
          <w:t xml:space="preserve">https://arxiv.org/abs/2407.01972</w:t>
        </w:r>
      </w:hyperlink>
    </w:p>
    <w:p>
      <w:pPr>
        <w:pStyle w:val="BodyText"/>
      </w:pPr>
      <w:hyperlink r:id="rId26">
        <w:r>
          <w:rPr>
            <w:rStyle w:val="Hyperlink"/>
          </w:rPr>
          <w:t xml:space="preserve">[7]</w:t>
        </w:r>
      </w:hyperlink>
      <w:r>
        <w:t xml:space="preserve"> </w:t>
      </w:r>
      <w:hyperlink r:id="rId26">
        <w:r>
          <w:rPr>
            <w:rStyle w:val="Hyperlink"/>
          </w:rPr>
          <w:t xml:space="preserve">[17]</w:t>
        </w:r>
      </w:hyperlink>
      <w:r>
        <w:t xml:space="preserve"> </w:t>
      </w:r>
      <w:hyperlink r:id="rId26">
        <w:r>
          <w:rPr>
            <w:rStyle w:val="Hyperlink"/>
          </w:rPr>
          <w:t xml:space="preserve">[74]</w:t>
        </w:r>
      </w:hyperlink>
      <w:r>
        <w:t xml:space="preserve"> </w:t>
      </w:r>
      <w:r>
        <w:t xml:space="preserve">https://aclanthology.org/2023.cl-4.2/</w:t>
      </w:r>
    </w:p>
    <w:p>
      <w:pPr>
        <w:pStyle w:val="BodyText"/>
      </w:pPr>
      <w:hyperlink r:id="rId26">
        <w:r>
          <w:rPr>
            <w:rStyle w:val="Hyperlink"/>
          </w:rPr>
          <w:t xml:space="preserve">https://aclanthology.org/2023.cl-4.2/</w:t>
        </w:r>
      </w:hyperlink>
    </w:p>
    <w:p>
      <w:pPr>
        <w:pStyle w:val="BodyText"/>
      </w:pPr>
      <w:hyperlink r:id="rId27">
        <w:r>
          <w:rPr>
            <w:rStyle w:val="Hyperlink"/>
          </w:rPr>
          <w:t xml:space="preserve">[9]</w:t>
        </w:r>
      </w:hyperlink>
      <w:r>
        <w:t xml:space="preserve"> </w:t>
      </w:r>
      <w:hyperlink r:id="rId27">
        <w:r>
          <w:rPr>
            <w:rStyle w:val="Hyperlink"/>
          </w:rPr>
          <w:t xml:space="preserve">[83]</w:t>
        </w:r>
      </w:hyperlink>
      <w:r>
        <w:t xml:space="preserve"> </w:t>
      </w:r>
      <w:r>
        <w:t xml:space="preserve">https://arxiv.org/abs/1606.05250</w:t>
      </w:r>
    </w:p>
    <w:p>
      <w:pPr>
        <w:pStyle w:val="BodyText"/>
      </w:pPr>
      <w:hyperlink r:id="rId27">
        <w:r>
          <w:rPr>
            <w:rStyle w:val="Hyperlink"/>
          </w:rPr>
          <w:t xml:space="preserve">https://arxiv.org/abs/1606.05250</w:t>
        </w:r>
      </w:hyperlink>
    </w:p>
    <w:p>
      <w:pPr>
        <w:pStyle w:val="BodyText"/>
      </w:pPr>
      <w:hyperlink r:id="rId28">
        <w:r>
          <w:rPr>
            <w:rStyle w:val="Hyperlink"/>
          </w:rPr>
          <w:t xml:space="preserve">[10]</w:t>
        </w:r>
      </w:hyperlink>
      <w:r>
        <w:t xml:space="preserve"> </w:t>
      </w:r>
      <w:hyperlink r:id="rId28">
        <w:r>
          <w:rPr>
            <w:rStyle w:val="Hyperlink"/>
          </w:rPr>
          <w:t xml:space="preserve">[20]</w:t>
        </w:r>
      </w:hyperlink>
      <w:r>
        <w:t xml:space="preserve"> </w:t>
      </w:r>
      <w:hyperlink r:id="rId28">
        <w:r>
          <w:rPr>
            <w:rStyle w:val="Hyperlink"/>
          </w:rPr>
          <w:t xml:space="preserve">[87]</w:t>
        </w:r>
      </w:hyperlink>
      <w:r>
        <w:t xml:space="preserve"> </w:t>
      </w:r>
      <w:r>
        <w:t xml:space="preserve">https://arxiv.org/abs/2205.00445</w:t>
      </w:r>
    </w:p>
    <w:p>
      <w:pPr>
        <w:pStyle w:val="BodyText"/>
      </w:pPr>
      <w:hyperlink r:id="rId28">
        <w:r>
          <w:rPr>
            <w:rStyle w:val="Hyperlink"/>
          </w:rPr>
          <w:t xml:space="preserve">https://arxiv.org/abs/2205.00445</w:t>
        </w:r>
      </w:hyperlink>
    </w:p>
    <w:p>
      <w:pPr>
        <w:pStyle w:val="BodyText"/>
      </w:pPr>
      <w:hyperlink r:id="rId29">
        <w:r>
          <w:rPr>
            <w:rStyle w:val="Hyperlink"/>
          </w:rPr>
          <w:t xml:space="preserve">[11]</w:t>
        </w:r>
      </w:hyperlink>
      <w:r>
        <w:t xml:space="preserve"> </w:t>
      </w:r>
      <w:hyperlink r:id="rId29">
        <w:r>
          <w:rPr>
            <w:rStyle w:val="Hyperlink"/>
          </w:rPr>
          <w:t xml:space="preserve">[91]</w:t>
        </w:r>
      </w:hyperlink>
      <w:r>
        <w:t xml:space="preserve"> </w:t>
      </w:r>
      <w:r>
        <w:t xml:space="preserve">https://arxiv.org/abs/2305.05176</w:t>
      </w:r>
    </w:p>
    <w:p>
      <w:pPr>
        <w:pStyle w:val="BodyText"/>
      </w:pPr>
      <w:hyperlink r:id="rId29">
        <w:r>
          <w:rPr>
            <w:rStyle w:val="Hyperlink"/>
          </w:rPr>
          <w:t xml:space="preserve">https://arxiv.org/abs/2305.05176</w:t>
        </w:r>
      </w:hyperlink>
    </w:p>
    <w:p>
      <w:pPr>
        <w:pStyle w:val="BodyText"/>
      </w:pPr>
      <w:hyperlink r:id="rId30">
        <w:r>
          <w:rPr>
            <w:rStyle w:val="Hyperlink"/>
          </w:rPr>
          <w:t xml:space="preserve">[12]</w:t>
        </w:r>
      </w:hyperlink>
      <w:r>
        <w:t xml:space="preserve"> </w:t>
      </w:r>
      <w:hyperlink r:id="rId30">
        <w:r>
          <w:rPr>
            <w:rStyle w:val="Hyperlink"/>
          </w:rPr>
          <w:t xml:space="preserve">[21]</w:t>
        </w:r>
      </w:hyperlink>
      <w:r>
        <w:t xml:space="preserve"> </w:t>
      </w:r>
      <w:hyperlink r:id="rId30">
        <w:r>
          <w:rPr>
            <w:rStyle w:val="Hyperlink"/>
          </w:rPr>
          <w:t xml:space="preserve">[29]</w:t>
        </w:r>
      </w:hyperlink>
      <w:r>
        <w:t xml:space="preserve"> </w:t>
      </w:r>
      <w:hyperlink r:id="rId30">
        <w:r>
          <w:rPr>
            <w:rStyle w:val="Hyperlink"/>
          </w:rPr>
          <w:t xml:space="preserve">[95]</w:t>
        </w:r>
      </w:hyperlink>
      <w:r>
        <w:t xml:space="preserve"> </w:t>
      </w:r>
      <w:r>
        <w:t xml:space="preserve">https://dl.acm.org/doi/10.1145/302979.303030</w:t>
      </w:r>
    </w:p>
    <w:p>
      <w:pPr>
        <w:pStyle w:val="BodyText"/>
      </w:pPr>
      <w:hyperlink r:id="rId30">
        <w:r>
          <w:rPr>
            <w:rStyle w:val="Hyperlink"/>
          </w:rPr>
          <w:t xml:space="preserve">https://dl.acm.org/doi/10.1145/302979.303030</w:t>
        </w:r>
      </w:hyperlink>
    </w:p>
    <w:p>
      <w:pPr>
        <w:pStyle w:val="BodyText"/>
      </w:pPr>
      <w:hyperlink r:id="rId31">
        <w:r>
          <w:rPr>
            <w:rStyle w:val="Hyperlink"/>
          </w:rPr>
          <w:t xml:space="preserve">[13]</w:t>
        </w:r>
      </w:hyperlink>
      <w:r>
        <w:t xml:space="preserve"> </w:t>
      </w:r>
      <w:hyperlink r:id="rId31">
        <w:r>
          <w:rPr>
            <w:rStyle w:val="Hyperlink"/>
          </w:rPr>
          <w:t xml:space="preserve">[22]</w:t>
        </w:r>
      </w:hyperlink>
      <w:r>
        <w:t xml:space="preserve"> </w:t>
      </w:r>
      <w:hyperlink r:id="rId31">
        <w:r>
          <w:rPr>
            <w:rStyle w:val="Hyperlink"/>
          </w:rPr>
          <w:t xml:space="preserve">[46]</w:t>
        </w:r>
      </w:hyperlink>
      <w:r>
        <w:t xml:space="preserve"> </w:t>
      </w:r>
      <w:hyperlink r:id="rId31">
        <w:r>
          <w:rPr>
            <w:rStyle w:val="Hyperlink"/>
          </w:rPr>
          <w:t xml:space="preserve">[99]</w:t>
        </w:r>
      </w:hyperlink>
      <w:r>
        <w:t xml:space="preserve"> </w:t>
      </w:r>
      <w:r>
        <w:t xml:space="preserve">https://arxiv.org/abs/2401.09670</w:t>
      </w:r>
    </w:p>
    <w:p>
      <w:pPr>
        <w:pStyle w:val="BodyText"/>
      </w:pPr>
      <w:hyperlink r:id="rId31">
        <w:r>
          <w:rPr>
            <w:rStyle w:val="Hyperlink"/>
          </w:rPr>
          <w:t xml:space="preserve">https://arxiv.org/abs/2401.09670</w:t>
        </w:r>
      </w:hyperlink>
    </w:p>
    <w:p>
      <w:pPr>
        <w:pStyle w:val="BodyText"/>
      </w:pPr>
      <w:hyperlink r:id="rId32">
        <w:r>
          <w:rPr>
            <w:rStyle w:val="Hyperlink"/>
          </w:rPr>
          <w:t xml:space="preserve">[14]</w:t>
        </w:r>
      </w:hyperlink>
      <w:r>
        <w:t xml:space="preserve"> </w:t>
      </w:r>
      <w:hyperlink r:id="rId32">
        <w:r>
          <w:rPr>
            <w:rStyle w:val="Hyperlink"/>
          </w:rPr>
          <w:t xml:space="preserve">[23]</w:t>
        </w:r>
      </w:hyperlink>
      <w:r>
        <w:t xml:space="preserve"> </w:t>
      </w:r>
      <w:hyperlink r:id="rId32">
        <w:r>
          <w:rPr>
            <w:rStyle w:val="Hyperlink"/>
          </w:rPr>
          <w:t xml:space="preserve">[43]</w:t>
        </w:r>
      </w:hyperlink>
      <w:r>
        <w:t xml:space="preserve"> </w:t>
      </w:r>
      <w:hyperlink r:id="rId32">
        <w:r>
          <w:rPr>
            <w:rStyle w:val="Hyperlink"/>
          </w:rPr>
          <w:t xml:space="preserve">[64]</w:t>
        </w:r>
      </w:hyperlink>
      <w:r>
        <w:t xml:space="preserve"> </w:t>
      </w:r>
      <w:r>
        <w:t xml:space="preserve">https://rightsstatements.org/en/documentation/usage_guidelines.html</w:t>
      </w:r>
    </w:p>
    <w:p>
      <w:pPr>
        <w:pStyle w:val="BodyText"/>
      </w:pPr>
      <w:hyperlink r:id="rId32">
        <w:r>
          <w:rPr>
            <w:rStyle w:val="Hyperlink"/>
          </w:rPr>
          <w:t xml:space="preserve">https://rightsstatements.org/en/documentation/usage_guidelines.html</w:t>
        </w:r>
      </w:hyperlink>
    </w:p>
    <w:p>
      <w:pPr>
        <w:pStyle w:val="BodyText"/>
      </w:pPr>
      <w:hyperlink r:id="rId33">
        <w:r>
          <w:rPr>
            <w:rStyle w:val="Hyperlink"/>
          </w:rPr>
          <w:t xml:space="preserve">[19]</w:t>
        </w:r>
      </w:hyperlink>
      <w:r>
        <w:t xml:space="preserve"> </w:t>
      </w:r>
      <w:hyperlink r:id="rId33">
        <w:r>
          <w:rPr>
            <w:rStyle w:val="Hyperlink"/>
          </w:rPr>
          <w:t xml:space="preserve">[28]</w:t>
        </w:r>
      </w:hyperlink>
      <w:r>
        <w:t xml:space="preserve"> </w:t>
      </w:r>
      <w:r>
        <w:t xml:space="preserve">https://aclanthology.org/D16-1264/</w:t>
      </w:r>
    </w:p>
    <w:p>
      <w:pPr>
        <w:pStyle w:val="BodyText"/>
      </w:pPr>
      <w:hyperlink r:id="rId33">
        <w:r>
          <w:rPr>
            <w:rStyle w:val="Hyperlink"/>
          </w:rPr>
          <w:t xml:space="preserve">https://aclanthology.org/D16-1264/</w:t>
        </w:r>
      </w:hyperlink>
    </w:p>
    <w:p>
      <w:pPr>
        <w:pStyle w:val="BodyText"/>
      </w:pPr>
      <w:hyperlink r:id="rId35">
        <w:r>
          <w:rPr>
            <w:rStyle w:val="Hyperlink"/>
          </w:rPr>
          <w:t xml:space="preserve">[25]</w:t>
        </w:r>
      </w:hyperlink>
      <w:r>
        <w:t xml:space="preserve"> </w:t>
      </w:r>
      <w:hyperlink r:id="rId35">
        <w:r>
          <w:rPr>
            <w:rStyle w:val="Hyperlink"/>
          </w:rPr>
          <w:t xml:space="preserve">[35]</w:t>
        </w:r>
      </w:hyperlink>
      <w:r>
        <w:t xml:space="preserve"> </w:t>
      </w:r>
      <w:hyperlink r:id="rId35">
        <w:r>
          <w:rPr>
            <w:rStyle w:val="Hyperlink"/>
          </w:rPr>
          <w:t xml:space="preserve">[57]</w:t>
        </w:r>
      </w:hyperlink>
      <w:r>
        <w:t xml:space="preserve"> </w:t>
      </w:r>
      <w:hyperlink r:id="rId35">
        <w:r>
          <w:rPr>
            <w:rStyle w:val="Hyperlink"/>
          </w:rPr>
          <w:t xml:space="preserve">[58]</w:t>
        </w:r>
      </w:hyperlink>
      <w:r>
        <w:t xml:space="preserve"> </w:t>
      </w:r>
      <w:r>
        <w:t xml:space="preserve">https://ojs.aaai.org/index.php/AAAI/article/view/40822/44783</w:t>
      </w:r>
    </w:p>
    <w:p>
      <w:pPr>
        <w:pStyle w:val="BodyText"/>
      </w:pPr>
      <w:hyperlink r:id="rId35">
        <w:r>
          <w:rPr>
            <w:rStyle w:val="Hyperlink"/>
          </w:rPr>
          <w:t xml:space="preserve">https://ojs.aaai.org/index.php/AAAI/article/view/40822/44783</w:t>
        </w:r>
      </w:hyperlink>
    </w:p>
    <w:p>
      <w:pPr>
        <w:pStyle w:val="BodyText"/>
      </w:pPr>
      <w:hyperlink r:id="rId36">
        <w:r>
          <w:rPr>
            <w:rStyle w:val="Hyperlink"/>
          </w:rPr>
          <w:t xml:space="preserve">[27]</w:t>
        </w:r>
      </w:hyperlink>
      <w:r>
        <w:t xml:space="preserve"> </w:t>
      </w:r>
      <w:hyperlink r:id="rId36">
        <w:r>
          <w:rPr>
            <w:rStyle w:val="Hyperlink"/>
          </w:rPr>
          <w:t xml:space="preserve">[48]</w:t>
        </w:r>
      </w:hyperlink>
      <w:r>
        <w:t xml:space="preserve"> </w:t>
      </w:r>
      <w:hyperlink r:id="rId36">
        <w:r>
          <w:rPr>
            <w:rStyle w:val="Hyperlink"/>
          </w:rPr>
          <w:t xml:space="preserve">[102]</w:t>
        </w:r>
      </w:hyperlink>
      <w:r>
        <w:t xml:space="preserve"> </w:t>
      </w:r>
      <w:r>
        <w:t xml:space="preserve">https://pro.europeana.eu/post/publishing-framework</w:t>
      </w:r>
    </w:p>
    <w:p>
      <w:pPr>
        <w:pStyle w:val="BodyText"/>
      </w:pPr>
      <w:hyperlink r:id="rId36">
        <w:r>
          <w:rPr>
            <w:rStyle w:val="Hyperlink"/>
          </w:rPr>
          <w:t xml:space="preserve">https://pro.europeana.eu/post/publishing-framework</w:t>
        </w:r>
      </w:hyperlink>
    </w:p>
    <w:p>
      <w:pPr>
        <w:pStyle w:val="BodyText"/>
      </w:pPr>
      <w:hyperlink r:id="rId38">
        <w:r>
          <w:rPr>
            <w:rStyle w:val="Hyperlink"/>
          </w:rPr>
          <w:t xml:space="preserve">[30]</w:t>
        </w:r>
      </w:hyperlink>
      <w:r>
        <w:t xml:space="preserve"> </w:t>
      </w:r>
      <w:hyperlink r:id="rId38">
        <w:r>
          <w:rPr>
            <w:rStyle w:val="Hyperlink"/>
          </w:rPr>
          <w:t xml:space="preserve">[42]</w:t>
        </w:r>
      </w:hyperlink>
      <w:r>
        <w:t xml:space="preserve"> </w:t>
      </w:r>
      <w:hyperlink r:id="rId38">
        <w:r>
          <w:rPr>
            <w:rStyle w:val="Hyperlink"/>
          </w:rPr>
          <w:t xml:space="preserve">[88]</w:t>
        </w:r>
      </w:hyperlink>
      <w:r>
        <w:t xml:space="preserve"> </w:t>
      </w:r>
      <w:r>
        <w:t xml:space="preserve">https://arxiv.org/abs/2310.10501</w:t>
      </w:r>
    </w:p>
    <w:p>
      <w:pPr>
        <w:pStyle w:val="BodyText"/>
      </w:pPr>
      <w:hyperlink r:id="rId38">
        <w:r>
          <w:rPr>
            <w:rStyle w:val="Hyperlink"/>
          </w:rPr>
          <w:t xml:space="preserve">https://arxiv.org/abs/2310.10501</w:t>
        </w:r>
      </w:hyperlink>
    </w:p>
    <w:p>
      <w:pPr>
        <w:pStyle w:val="BodyText"/>
      </w:pPr>
      <w:hyperlink r:id="rId39">
        <w:r>
          <w:rPr>
            <w:rStyle w:val="Hyperlink"/>
          </w:rPr>
          <w:t xml:space="preserve">[31]</w:t>
        </w:r>
      </w:hyperlink>
      <w:r>
        <w:t xml:space="preserve"> </w:t>
      </w:r>
      <w:r>
        <w:t xml:space="preserve">https://aclanthology.org/2020.emnlp-main.89.pdf</w:t>
      </w:r>
    </w:p>
    <w:p>
      <w:pPr>
        <w:pStyle w:val="BodyText"/>
      </w:pPr>
      <w:hyperlink r:id="rId39">
        <w:r>
          <w:rPr>
            <w:rStyle w:val="Hyperlink"/>
          </w:rPr>
          <w:t xml:space="preserve">https://aclanthology.org/2020.emnlp-main.89.pdf</w:t>
        </w:r>
      </w:hyperlink>
    </w:p>
    <w:p>
      <w:pPr>
        <w:pStyle w:val="BodyText"/>
      </w:pPr>
      <w:hyperlink r:id="rId40">
        <w:r>
          <w:rPr>
            <w:rStyle w:val="Hyperlink"/>
          </w:rPr>
          <w:t xml:space="preserve">[33]</w:t>
        </w:r>
      </w:hyperlink>
      <w:r>
        <w:t xml:space="preserve"> </w:t>
      </w:r>
      <w:hyperlink r:id="rId40">
        <w:r>
          <w:rPr>
            <w:rStyle w:val="Hyperlink"/>
          </w:rPr>
          <w:t xml:space="preserve">[63]</w:t>
        </w:r>
      </w:hyperlink>
      <w:r>
        <w:t xml:space="preserve"> </w:t>
      </w:r>
      <w:hyperlink r:id="rId40">
        <w:r>
          <w:rPr>
            <w:rStyle w:val="Hyperlink"/>
          </w:rPr>
          <w:t xml:space="preserve">[93]</w:t>
        </w:r>
      </w:hyperlink>
      <w:r>
        <w:t xml:space="preserve"> </w:t>
      </w:r>
      <w:r>
        <w:t xml:space="preserve">https://arxiv.org/abs/2404.14618</w:t>
      </w:r>
    </w:p>
    <w:p>
      <w:pPr>
        <w:pStyle w:val="BodyText"/>
      </w:pPr>
      <w:hyperlink r:id="rId40">
        <w:r>
          <w:rPr>
            <w:rStyle w:val="Hyperlink"/>
          </w:rPr>
          <w:t xml:space="preserve">https://arxiv.org/abs/2404.14618</w:t>
        </w:r>
      </w:hyperlink>
    </w:p>
    <w:p>
      <w:pPr>
        <w:pStyle w:val="BodyText"/>
      </w:pPr>
      <w:hyperlink r:id="rId41">
        <w:r>
          <w:rPr>
            <w:rStyle w:val="Hyperlink"/>
          </w:rPr>
          <w:t xml:space="preserve">[34]</w:t>
        </w:r>
      </w:hyperlink>
      <w:r>
        <w:t xml:space="preserve"> </w:t>
      </w:r>
      <w:hyperlink r:id="rId41">
        <w:r>
          <w:rPr>
            <w:rStyle w:val="Hyperlink"/>
          </w:rPr>
          <w:t xml:space="preserve">[81]</w:t>
        </w:r>
      </w:hyperlink>
      <w:r>
        <w:t xml:space="preserve"> </w:t>
      </w:r>
      <w:r>
        <w:t xml:space="preserve">https://arxiv.org/abs/2309.01431</w:t>
      </w:r>
    </w:p>
    <w:p>
      <w:pPr>
        <w:pStyle w:val="BodyText"/>
      </w:pPr>
      <w:hyperlink r:id="rId41">
        <w:r>
          <w:rPr>
            <w:rStyle w:val="Hyperlink"/>
          </w:rPr>
          <w:t xml:space="preserve">https://arxiv.org/abs/2309.01431</w:t>
        </w:r>
      </w:hyperlink>
    </w:p>
    <w:p>
      <w:pPr>
        <w:pStyle w:val="BodyText"/>
      </w:pPr>
      <w:hyperlink r:id="rId42">
        <w:r>
          <w:rPr>
            <w:rStyle w:val="Hyperlink"/>
          </w:rPr>
          <w:t xml:space="preserve">[36]</w:t>
        </w:r>
      </w:hyperlink>
      <w:r>
        <w:t xml:space="preserve"> </w:t>
      </w:r>
      <w:hyperlink r:id="rId42">
        <w:r>
          <w:rPr>
            <w:rStyle w:val="Hyperlink"/>
          </w:rPr>
          <w:t xml:space="preserve">[49]</w:t>
        </w:r>
      </w:hyperlink>
      <w:r>
        <w:t xml:space="preserve"> </w:t>
      </w:r>
      <w:hyperlink r:id="rId42">
        <w:r>
          <w:rPr>
            <w:rStyle w:val="Hyperlink"/>
          </w:rPr>
          <w:t xml:space="preserve">[56]</w:t>
        </w:r>
      </w:hyperlink>
      <w:r>
        <w:t xml:space="preserve"> </w:t>
      </w:r>
      <w:r>
        <w:t xml:space="preserve">https://2025.jcdl.org/</w:t>
      </w:r>
    </w:p>
    <w:p>
      <w:pPr>
        <w:pStyle w:val="BodyText"/>
      </w:pPr>
      <w:hyperlink r:id="rId42">
        <w:r>
          <w:rPr>
            <w:rStyle w:val="Hyperlink"/>
          </w:rPr>
          <w:t xml:space="preserve">https://2025.jcdl.org/</w:t>
        </w:r>
      </w:hyperlink>
    </w:p>
    <w:p>
      <w:pPr>
        <w:pStyle w:val="BodyText"/>
      </w:pPr>
      <w:hyperlink r:id="rId43">
        <w:r>
          <w:rPr>
            <w:rStyle w:val="Hyperlink"/>
          </w:rPr>
          <w:t xml:space="preserve">[38]</w:t>
        </w:r>
      </w:hyperlink>
      <w:r>
        <w:t xml:space="preserve"> </w:t>
      </w:r>
      <w:hyperlink r:id="rId43">
        <w:r>
          <w:rPr>
            <w:rStyle w:val="Hyperlink"/>
          </w:rPr>
          <w:t xml:space="preserve">[76]</w:t>
        </w:r>
      </w:hyperlink>
      <w:r>
        <w:t xml:space="preserve"> </w:t>
      </w:r>
      <w:r>
        <w:t xml:space="preserve">https://arxiv.org/abs/2310.11511</w:t>
      </w:r>
    </w:p>
    <w:p>
      <w:pPr>
        <w:pStyle w:val="BodyText"/>
      </w:pPr>
      <w:hyperlink r:id="rId43">
        <w:r>
          <w:rPr>
            <w:rStyle w:val="Hyperlink"/>
          </w:rPr>
          <w:t xml:space="preserve">https://arxiv.org/abs/2310.11511</w:t>
        </w:r>
      </w:hyperlink>
    </w:p>
    <w:p>
      <w:pPr>
        <w:pStyle w:val="BodyText"/>
      </w:pPr>
      <w:hyperlink r:id="rId44">
        <w:r>
          <w:rPr>
            <w:rStyle w:val="Hyperlink"/>
          </w:rPr>
          <w:t xml:space="preserve">[39]</w:t>
        </w:r>
      </w:hyperlink>
      <w:r>
        <w:t xml:space="preserve"> </w:t>
      </w:r>
      <w:hyperlink r:id="rId44">
        <w:r>
          <w:rPr>
            <w:rStyle w:val="Hyperlink"/>
          </w:rPr>
          <w:t xml:space="preserve">[44]</w:t>
        </w:r>
      </w:hyperlink>
      <w:r>
        <w:t xml:space="preserve"> </w:t>
      </w:r>
      <w:hyperlink r:id="rId44">
        <w:r>
          <w:rPr>
            <w:rStyle w:val="Hyperlink"/>
          </w:rPr>
          <w:t xml:space="preserve">[65]</w:t>
        </w:r>
      </w:hyperlink>
      <w:r>
        <w:t xml:space="preserve"> </w:t>
      </w:r>
      <w:hyperlink r:id="rId44">
        <w:r>
          <w:rPr>
            <w:rStyle w:val="Hyperlink"/>
          </w:rPr>
          <w:t xml:space="preserve">[97]</w:t>
        </w:r>
      </w:hyperlink>
      <w:r>
        <w:t xml:space="preserve"> </w:t>
      </w:r>
      <w:r>
        <w:t xml:space="preserve">https://arxiv.org/abs/2110.01691</w:t>
      </w:r>
    </w:p>
    <w:p>
      <w:pPr>
        <w:pStyle w:val="BodyText"/>
      </w:pPr>
      <w:hyperlink r:id="rId44">
        <w:r>
          <w:rPr>
            <w:rStyle w:val="Hyperlink"/>
          </w:rPr>
          <w:t xml:space="preserve">https://arxiv.org/abs/2110.01691</w:t>
        </w:r>
      </w:hyperlink>
    </w:p>
    <w:p>
      <w:pPr>
        <w:pStyle w:val="BodyText"/>
      </w:pPr>
      <w:hyperlink r:id="rId46">
        <w:r>
          <w:rPr>
            <w:rStyle w:val="Hyperlink"/>
          </w:rPr>
          <w:t xml:space="preserve">[45]</w:t>
        </w:r>
      </w:hyperlink>
      <w:r>
        <w:t xml:space="preserve"> </w:t>
      </w:r>
      <w:hyperlink r:id="rId46">
        <w:r>
          <w:rPr>
            <w:rStyle w:val="Hyperlink"/>
          </w:rPr>
          <w:t xml:space="preserve">[62]</w:t>
        </w:r>
      </w:hyperlink>
      <w:r>
        <w:t xml:space="preserve"> </w:t>
      </w:r>
      <w:hyperlink r:id="rId46">
        <w:r>
          <w:rPr>
            <w:rStyle w:val="Hyperlink"/>
          </w:rPr>
          <w:t xml:space="preserve">[75]</w:t>
        </w:r>
      </w:hyperlink>
      <w:r>
        <w:t xml:space="preserve"> </w:t>
      </w:r>
      <w:r>
        <w:t xml:space="preserve">https://arxiv.org/abs/2305.14627</w:t>
      </w:r>
    </w:p>
    <w:p>
      <w:pPr>
        <w:pStyle w:val="BodyText"/>
      </w:pPr>
      <w:hyperlink r:id="rId46">
        <w:r>
          <w:rPr>
            <w:rStyle w:val="Hyperlink"/>
          </w:rPr>
          <w:t xml:space="preserve">https://arxiv.org/abs/2305.14627</w:t>
        </w:r>
      </w:hyperlink>
    </w:p>
    <w:p>
      <w:pPr>
        <w:pStyle w:val="BodyText"/>
      </w:pPr>
      <w:hyperlink r:id="rId47">
        <w:r>
          <w:rPr>
            <w:rStyle w:val="Hyperlink"/>
          </w:rPr>
          <w:t xml:space="preserve">[47]</w:t>
        </w:r>
      </w:hyperlink>
      <w:r>
        <w:t xml:space="preserve"> </w:t>
      </w:r>
      <w:r>
        <w:t xml:space="preserve">https://pro.europeana.eu/files/Europeana_Professional/Share_your_data/Technical_requirements/EDM_Documentation/EDM_Mapping_Guidelines_v2.3_112016.pdf</w:t>
      </w:r>
    </w:p>
    <w:p>
      <w:pPr>
        <w:pStyle w:val="BodyText"/>
      </w:pPr>
      <w:hyperlink r:id="rId47">
        <w:r>
          <w:rPr>
            <w:rStyle w:val="Hyperlink"/>
          </w:rPr>
          <w:t xml:space="preserve">https://pro.europeana.eu/files/Europeana_Professional/Share_your_data/Technical_requirements/EDM_Documentation/EDM_Mapping_Guidelines_v2.3_112016.pdf</w:t>
        </w:r>
      </w:hyperlink>
    </w:p>
    <w:p>
      <w:pPr>
        <w:pStyle w:val="BodyText"/>
      </w:pPr>
      <w:hyperlink r:id="rId48">
        <w:r>
          <w:rPr>
            <w:rStyle w:val="Hyperlink"/>
          </w:rPr>
          <w:t xml:space="preserve">[50]</w:t>
        </w:r>
      </w:hyperlink>
      <w:r>
        <w:t xml:space="preserve"> </w:t>
      </w:r>
      <w:r>
        <w:t xml:space="preserve">https://chi2026.acm.org/</w:t>
      </w:r>
    </w:p>
    <w:p>
      <w:pPr>
        <w:pStyle w:val="BodyText"/>
      </w:pPr>
      <w:hyperlink r:id="rId48">
        <w:r>
          <w:rPr>
            <w:rStyle w:val="Hyperlink"/>
          </w:rPr>
          <w:t xml:space="preserve">https://chi2026.acm.org/</w:t>
        </w:r>
      </w:hyperlink>
    </w:p>
    <w:p>
      <w:pPr>
        <w:pStyle w:val="BodyText"/>
      </w:pPr>
      <w:hyperlink r:id="rId49">
        <w:r>
          <w:rPr>
            <w:rStyle w:val="Hyperlink"/>
          </w:rPr>
          <w:t xml:space="preserve">[51]</w:t>
        </w:r>
      </w:hyperlink>
      <w:r>
        <w:t xml:space="preserve"> </w:t>
      </w:r>
      <w:r>
        <w:t xml:space="preserve">https://cikm2025.org/</w:t>
      </w:r>
    </w:p>
    <w:p>
      <w:pPr>
        <w:pStyle w:val="BodyText"/>
      </w:pPr>
      <w:hyperlink r:id="rId49">
        <w:r>
          <w:rPr>
            <w:rStyle w:val="Hyperlink"/>
          </w:rPr>
          <w:t xml:space="preserve">https://cikm2025.org/</w:t>
        </w:r>
      </w:hyperlink>
    </w:p>
    <w:p>
      <w:pPr>
        <w:pStyle w:val="BodyText"/>
      </w:pPr>
      <w:hyperlink r:id="rId50">
        <w:r>
          <w:rPr>
            <w:rStyle w:val="Hyperlink"/>
          </w:rPr>
          <w:t xml:space="preserve">[52]</w:t>
        </w:r>
      </w:hyperlink>
      <w:r>
        <w:t xml:space="preserve"> </w:t>
      </w:r>
      <w:r>
        <w:t xml:space="preserve">https://sigir2025.dei.unipd.it/</w:t>
      </w:r>
    </w:p>
    <w:p>
      <w:pPr>
        <w:pStyle w:val="BodyText"/>
      </w:pPr>
      <w:hyperlink r:id="rId50">
        <w:r>
          <w:rPr>
            <w:rStyle w:val="Hyperlink"/>
          </w:rPr>
          <w:t xml:space="preserve">https://sigir2025.dei.unipd.it/</w:t>
        </w:r>
      </w:hyperlink>
    </w:p>
    <w:p>
      <w:pPr>
        <w:pStyle w:val="BodyText"/>
      </w:pPr>
      <w:hyperlink r:id="rId51">
        <w:r>
          <w:rPr>
            <w:rStyle w:val="Hyperlink"/>
          </w:rPr>
          <w:t xml:space="preserve">[53]</w:t>
        </w:r>
      </w:hyperlink>
      <w:r>
        <w:t xml:space="preserve"> </w:t>
      </w:r>
      <w:r>
        <w:t xml:space="preserve">https://uist.acm.org/2026/</w:t>
      </w:r>
    </w:p>
    <w:p>
      <w:pPr>
        <w:pStyle w:val="BodyText"/>
      </w:pPr>
      <w:hyperlink r:id="rId51">
        <w:r>
          <w:rPr>
            <w:rStyle w:val="Hyperlink"/>
          </w:rPr>
          <w:t xml:space="preserve">https://uist.acm.org/2026/</w:t>
        </w:r>
      </w:hyperlink>
    </w:p>
    <w:p>
      <w:pPr>
        <w:pStyle w:val="BodyText"/>
      </w:pPr>
      <w:hyperlink r:id="rId52">
        <w:r>
          <w:rPr>
            <w:rStyle w:val="Hyperlink"/>
          </w:rPr>
          <w:t xml:space="preserve">[54]</w:t>
        </w:r>
      </w:hyperlink>
      <w:r>
        <w:t xml:space="preserve"> </w:t>
      </w:r>
      <w:r>
        <w:t xml:space="preserve">https://cscw.acm.org/2026/</w:t>
      </w:r>
    </w:p>
    <w:p>
      <w:pPr>
        <w:pStyle w:val="BodyText"/>
      </w:pPr>
      <w:hyperlink r:id="rId52">
        <w:r>
          <w:rPr>
            <w:rStyle w:val="Hyperlink"/>
          </w:rPr>
          <w:t xml:space="preserve">https://cscw.acm.org/2026/</w:t>
        </w:r>
      </w:hyperlink>
    </w:p>
    <w:p>
      <w:pPr>
        <w:pStyle w:val="BodyText"/>
      </w:pPr>
      <w:hyperlink r:id="rId53">
        <w:r>
          <w:rPr>
            <w:rStyle w:val="Hyperlink"/>
          </w:rPr>
          <w:t xml:space="preserve">[55]</w:t>
        </w:r>
      </w:hyperlink>
      <w:r>
        <w:t xml:space="preserve"> </w:t>
      </w:r>
      <w:r>
        <w:t xml:space="preserve">https://coda.io/%40rstless-group/ir-rag-sigir25</w:t>
      </w:r>
    </w:p>
    <w:p>
      <w:pPr>
        <w:pStyle w:val="BodyText"/>
      </w:pPr>
      <w:hyperlink r:id="rId53">
        <w:r>
          <w:rPr>
            <w:rStyle w:val="Hyperlink"/>
          </w:rPr>
          <w:t xml:space="preserve">https://coda.io/%40rstless-group/ir-rag-sigir25</w:t>
        </w:r>
      </w:hyperlink>
    </w:p>
    <w:p>
      <w:pPr>
        <w:pStyle w:val="BodyText"/>
      </w:pPr>
      <w:hyperlink r:id="rId56">
        <w:r>
          <w:rPr>
            <w:rStyle w:val="Hyperlink"/>
          </w:rPr>
          <w:t xml:space="preserve">[67]</w:t>
        </w:r>
      </w:hyperlink>
      <w:r>
        <w:t xml:space="preserve"> </w:t>
      </w:r>
      <w:r>
        <w:t xml:space="preserve">https://github.com/mlc-ai/web-llm</w:t>
      </w:r>
    </w:p>
    <w:p>
      <w:pPr>
        <w:pStyle w:val="BodyText"/>
      </w:pPr>
      <w:hyperlink r:id="rId56">
        <w:r>
          <w:rPr>
            <w:rStyle w:val="Hyperlink"/>
          </w:rPr>
          <w:t xml:space="preserve">https://github.com/mlc-ai/web-llm</w:t>
        </w:r>
      </w:hyperlink>
    </w:p>
    <w:p>
      <w:pPr>
        <w:pStyle w:val="BodyText"/>
      </w:pPr>
      <w:hyperlink r:id="rId57">
        <w:r>
          <w:rPr>
            <w:rStyle w:val="Hyperlink"/>
          </w:rPr>
          <w:t xml:space="preserve">[68]</w:t>
        </w:r>
      </w:hyperlink>
      <w:r>
        <w:t xml:space="preserve"> </w:t>
      </w:r>
      <w:r>
        <w:t xml:space="preserve">https://ai.google.dev/edge/mediapipe/solutions/genai/llm_inference/web_js</w:t>
      </w:r>
    </w:p>
    <w:p>
      <w:pPr>
        <w:pStyle w:val="BodyText"/>
      </w:pPr>
      <w:hyperlink r:id="rId57">
        <w:r>
          <w:rPr>
            <w:rStyle w:val="Hyperlink"/>
          </w:rPr>
          <w:t xml:space="preserve">https://ai.google.dev/edge/mediapipe/solutions/genai/llm_inference/web_js</w:t>
        </w:r>
      </w:hyperlink>
    </w:p>
    <w:p>
      <w:pPr>
        <w:pStyle w:val="BodyText"/>
      </w:pPr>
      <w:hyperlink r:id="rId58">
        <w:r>
          <w:rPr>
            <w:rStyle w:val="Hyperlink"/>
          </w:rPr>
          <w:t xml:space="preserve">[69]</w:t>
        </w:r>
      </w:hyperlink>
      <w:r>
        <w:t xml:space="preserve"> </w:t>
      </w:r>
      <w:r>
        <w:t xml:space="preserve">https://www.microsoft.com/en-us/research/publication/anatomizing-deep-learning-inference-in-web-browsers/</w:t>
      </w:r>
    </w:p>
    <w:p>
      <w:pPr>
        <w:pStyle w:val="BodyText"/>
      </w:pPr>
      <w:hyperlink r:id="rId58">
        <w:r>
          <w:rPr>
            <w:rStyle w:val="Hyperlink"/>
          </w:rPr>
          <w:t xml:space="preserve">https://www.microsoft.com/en-us/research/publication/anatomizing-deep-learning-inference-in-web-browsers/</w:t>
        </w:r>
      </w:hyperlink>
    </w:p>
    <w:p>
      <w:pPr>
        <w:pStyle w:val="BodyText"/>
      </w:pPr>
      <w:hyperlink r:id="rId59">
        <w:r>
          <w:rPr>
            <w:rStyle w:val="Hyperlink"/>
          </w:rPr>
          <w:t xml:space="preserve">[70]</w:t>
        </w:r>
      </w:hyperlink>
      <w:r>
        <w:t xml:space="preserve"> </w:t>
      </w:r>
      <w:r>
        <w:t xml:space="preserve">https://arxiv.org/abs/2309.08978</w:t>
      </w:r>
    </w:p>
    <w:p>
      <w:pPr>
        <w:pStyle w:val="BodyText"/>
      </w:pPr>
      <w:hyperlink r:id="rId59">
        <w:r>
          <w:rPr>
            <w:rStyle w:val="Hyperlink"/>
          </w:rPr>
          <w:t xml:space="preserve">https://arxiv.org/abs/2309.08978</w:t>
        </w:r>
      </w:hyperlink>
    </w:p>
    <w:p>
      <w:pPr>
        <w:pStyle w:val="BodyText"/>
      </w:pPr>
      <w:hyperlink r:id="rId60">
        <w:r>
          <w:rPr>
            <w:rStyle w:val="Hyperlink"/>
          </w:rPr>
          <w:t xml:space="preserve">[72]</w:t>
        </w:r>
      </w:hyperlink>
      <w:r>
        <w:t xml:space="preserve"> </w:t>
      </w:r>
      <w:r>
        <w:t xml:space="preserve">https://poloclub.github.io/mememo/</w:t>
      </w:r>
    </w:p>
    <w:p>
      <w:pPr>
        <w:pStyle w:val="BodyText"/>
      </w:pPr>
      <w:hyperlink r:id="rId60">
        <w:r>
          <w:rPr>
            <w:rStyle w:val="Hyperlink"/>
          </w:rPr>
          <w:t xml:space="preserve">https://poloclub.github.io/mememo/</w:t>
        </w:r>
      </w:hyperlink>
    </w:p>
    <w:p>
      <w:pPr>
        <w:pStyle w:val="BodyText"/>
      </w:pPr>
      <w:hyperlink r:id="rId61">
        <w:r>
          <w:rPr>
            <w:rStyle w:val="Hyperlink"/>
          </w:rPr>
          <w:t xml:space="preserve">[73]</w:t>
        </w:r>
      </w:hyperlink>
      <w:r>
        <w:t xml:space="preserve"> </w:t>
      </w:r>
      <w:r>
        <w:t xml:space="preserve">https://arxiv.org/html/2601.09928v1</w:t>
      </w:r>
    </w:p>
    <w:p>
      <w:pPr>
        <w:pStyle w:val="BodyText"/>
      </w:pPr>
      <w:hyperlink r:id="rId61">
        <w:r>
          <w:rPr>
            <w:rStyle w:val="Hyperlink"/>
          </w:rPr>
          <w:t xml:space="preserve">https://arxiv.org/html/2601.09928v1</w:t>
        </w:r>
      </w:hyperlink>
    </w:p>
    <w:p>
      <w:pPr>
        <w:pStyle w:val="BodyText"/>
      </w:pPr>
      <w:hyperlink r:id="rId62">
        <w:r>
          <w:rPr>
            <w:rStyle w:val="Hyperlink"/>
          </w:rPr>
          <w:t xml:space="preserve">[77]</w:t>
        </w:r>
      </w:hyperlink>
      <w:r>
        <w:t xml:space="preserve"> </w:t>
      </w:r>
      <w:r>
        <w:t xml:space="preserve">https://arxiv.org/abs/2401.15884</w:t>
      </w:r>
    </w:p>
    <w:p>
      <w:pPr>
        <w:pStyle w:val="BodyText"/>
      </w:pPr>
      <w:hyperlink r:id="rId62">
        <w:r>
          <w:rPr>
            <w:rStyle w:val="Hyperlink"/>
          </w:rPr>
          <w:t xml:space="preserve">https://arxiv.org/abs/2401.15884</w:t>
        </w:r>
      </w:hyperlink>
    </w:p>
    <w:p>
      <w:pPr>
        <w:pStyle w:val="BodyText"/>
      </w:pPr>
      <w:hyperlink r:id="rId63">
        <w:r>
          <w:rPr>
            <w:rStyle w:val="Hyperlink"/>
          </w:rPr>
          <w:t xml:space="preserve">[79]</w:t>
        </w:r>
      </w:hyperlink>
      <w:r>
        <w:t xml:space="preserve"> </w:t>
      </w:r>
      <w:r>
        <w:t xml:space="preserve">https://aclanthology.org/2024.findings-emnlp.197/</w:t>
      </w:r>
    </w:p>
    <w:p>
      <w:pPr>
        <w:pStyle w:val="BodyText"/>
      </w:pPr>
      <w:hyperlink r:id="rId63">
        <w:r>
          <w:rPr>
            <w:rStyle w:val="Hyperlink"/>
          </w:rPr>
          <w:t xml:space="preserve">https://aclanthology.org/2024.findings-emnlp.197/</w:t>
        </w:r>
      </w:hyperlink>
    </w:p>
    <w:p>
      <w:pPr>
        <w:pStyle w:val="BodyText"/>
      </w:pPr>
      <w:hyperlink r:id="rId64">
        <w:r>
          <w:rPr>
            <w:rStyle w:val="Hyperlink"/>
          </w:rPr>
          <w:t xml:space="preserve">[80]</w:t>
        </w:r>
      </w:hyperlink>
      <w:r>
        <w:t xml:space="preserve"> </w:t>
      </w:r>
      <w:r>
        <w:t xml:space="preserve">https://arxiv.org/abs/2509.01476</w:t>
      </w:r>
    </w:p>
    <w:p>
      <w:pPr>
        <w:pStyle w:val="BodyText"/>
      </w:pPr>
      <w:hyperlink r:id="rId64">
        <w:r>
          <w:rPr>
            <w:rStyle w:val="Hyperlink"/>
          </w:rPr>
          <w:t xml:space="preserve">https://arxiv.org/abs/2509.01476</w:t>
        </w:r>
      </w:hyperlink>
    </w:p>
    <w:p>
      <w:pPr>
        <w:pStyle w:val="BodyText"/>
      </w:pPr>
      <w:hyperlink r:id="rId65">
        <w:r>
          <w:rPr>
            <w:rStyle w:val="Hyperlink"/>
          </w:rPr>
          <w:t xml:space="preserve">[82]</w:t>
        </w:r>
      </w:hyperlink>
      <w:r>
        <w:t xml:space="preserve"> </w:t>
      </w:r>
      <w:r>
        <w:t xml:space="preserve">https://arxiv.org/abs/2310.01558</w:t>
      </w:r>
    </w:p>
    <w:p>
      <w:pPr>
        <w:pStyle w:val="BodyText"/>
      </w:pPr>
      <w:hyperlink r:id="rId65">
        <w:r>
          <w:rPr>
            <w:rStyle w:val="Hyperlink"/>
          </w:rPr>
          <w:t xml:space="preserve">https://arxiv.org/abs/2310.01558</w:t>
        </w:r>
      </w:hyperlink>
    </w:p>
    <w:p>
      <w:pPr>
        <w:pStyle w:val="BodyText"/>
      </w:pPr>
      <w:hyperlink r:id="rId66">
        <w:r>
          <w:rPr>
            <w:rStyle w:val="Hyperlink"/>
          </w:rPr>
          <w:t xml:space="preserve">[84]</w:t>
        </w:r>
      </w:hyperlink>
      <w:r>
        <w:t xml:space="preserve"> </w:t>
      </w:r>
      <w:r>
        <w:t xml:space="preserve">https://aclanthology.org/P15-1142/</w:t>
      </w:r>
    </w:p>
    <w:p>
      <w:pPr>
        <w:pStyle w:val="BodyText"/>
      </w:pPr>
      <w:hyperlink r:id="rId66">
        <w:r>
          <w:rPr>
            <w:rStyle w:val="Hyperlink"/>
          </w:rPr>
          <w:t xml:space="preserve">https://aclanthology.org/P15-1142/</w:t>
        </w:r>
      </w:hyperlink>
    </w:p>
    <w:p>
      <w:pPr>
        <w:pStyle w:val="BodyText"/>
      </w:pPr>
      <w:hyperlink r:id="rId67">
        <w:r>
          <w:rPr>
            <w:rStyle w:val="Hyperlink"/>
          </w:rPr>
          <w:t xml:space="preserve">[85]</w:t>
        </w:r>
      </w:hyperlink>
      <w:r>
        <w:t xml:space="preserve"> </w:t>
      </w:r>
      <w:r>
        <w:t xml:space="preserve">https://arxiv.org/abs/2004.02349</w:t>
      </w:r>
    </w:p>
    <w:p>
      <w:pPr>
        <w:pStyle w:val="BodyText"/>
      </w:pPr>
      <w:hyperlink r:id="rId67">
        <w:r>
          <w:rPr>
            <w:rStyle w:val="Hyperlink"/>
          </w:rPr>
          <w:t xml:space="preserve">https://arxiv.org/abs/2004.02349</w:t>
        </w:r>
      </w:hyperlink>
    </w:p>
    <w:p>
      <w:pPr>
        <w:pStyle w:val="BodyText"/>
      </w:pPr>
      <w:hyperlink r:id="rId68">
        <w:r>
          <w:rPr>
            <w:rStyle w:val="Hyperlink"/>
          </w:rPr>
          <w:t xml:space="preserve">[86]</w:t>
        </w:r>
      </w:hyperlink>
      <w:r>
        <w:t xml:space="preserve"> </w:t>
      </w:r>
      <w:r>
        <w:t xml:space="preserve">https://aclanthology.org/2020.findings-emnlp.91/</w:t>
      </w:r>
    </w:p>
    <w:p>
      <w:pPr>
        <w:pStyle w:val="BodyText"/>
      </w:pPr>
      <w:hyperlink r:id="rId68">
        <w:r>
          <w:rPr>
            <w:rStyle w:val="Hyperlink"/>
          </w:rPr>
          <w:t xml:space="preserve">https://aclanthology.org/2020.findings-emnlp.91/</w:t>
        </w:r>
      </w:hyperlink>
    </w:p>
    <w:p>
      <w:pPr>
        <w:pStyle w:val="BodyText"/>
      </w:pPr>
      <w:hyperlink r:id="rId69">
        <w:r>
          <w:rPr>
            <w:rStyle w:val="Hyperlink"/>
          </w:rPr>
          <w:t xml:space="preserve">[89]</w:t>
        </w:r>
      </w:hyperlink>
      <w:r>
        <w:t xml:space="preserve"> </w:t>
      </w:r>
      <w:r>
        <w:t xml:space="preserve">https://arxiv.org/abs/2212.06094</w:t>
      </w:r>
    </w:p>
    <w:p>
      <w:pPr>
        <w:pStyle w:val="BodyText"/>
      </w:pPr>
      <w:hyperlink r:id="rId69">
        <w:r>
          <w:rPr>
            <w:rStyle w:val="Hyperlink"/>
          </w:rPr>
          <w:t xml:space="preserve">https://arxiv.org/abs/2212.06094</w:t>
        </w:r>
      </w:hyperlink>
    </w:p>
    <w:p>
      <w:pPr>
        <w:pStyle w:val="BodyText"/>
      </w:pPr>
      <w:hyperlink r:id="rId70">
        <w:r>
          <w:rPr>
            <w:rStyle w:val="Hyperlink"/>
          </w:rPr>
          <w:t xml:space="preserve">[90]</w:t>
        </w:r>
      </w:hyperlink>
      <w:r>
        <w:t xml:space="preserve"> </w:t>
      </w:r>
      <w:r>
        <w:t xml:space="preserve">https://arxiv.org/abs/2312.07104</w:t>
      </w:r>
    </w:p>
    <w:p>
      <w:pPr>
        <w:pStyle w:val="BodyText"/>
      </w:pPr>
      <w:hyperlink r:id="rId70">
        <w:r>
          <w:rPr>
            <w:rStyle w:val="Hyperlink"/>
          </w:rPr>
          <w:t xml:space="preserve">https://arxiv.org/abs/2312.07104</w:t>
        </w:r>
      </w:hyperlink>
    </w:p>
    <w:p>
      <w:pPr>
        <w:pStyle w:val="BodyText"/>
      </w:pPr>
      <w:hyperlink r:id="rId71">
        <w:r>
          <w:rPr>
            <w:rStyle w:val="Hyperlink"/>
          </w:rPr>
          <w:t xml:space="preserve">[92]</w:t>
        </w:r>
      </w:hyperlink>
      <w:r>
        <w:t xml:space="preserve"> </w:t>
      </w:r>
      <w:r>
        <w:t xml:space="preserve">https://arxiv.org/abs/2406.18665</w:t>
      </w:r>
    </w:p>
    <w:p>
      <w:pPr>
        <w:pStyle w:val="BodyText"/>
      </w:pPr>
      <w:hyperlink r:id="rId71">
        <w:r>
          <w:rPr>
            <w:rStyle w:val="Hyperlink"/>
          </w:rPr>
          <w:t xml:space="preserve">https://arxiv.org/abs/2406.18665</w:t>
        </w:r>
      </w:hyperlink>
    </w:p>
    <w:p>
      <w:pPr>
        <w:pStyle w:val="BodyText"/>
      </w:pPr>
      <w:hyperlink r:id="rId72">
        <w:r>
          <w:rPr>
            <w:rStyle w:val="Hyperlink"/>
          </w:rPr>
          <w:t xml:space="preserve">[94]</w:t>
        </w:r>
      </w:hyperlink>
      <w:r>
        <w:t xml:space="preserve"> </w:t>
      </w:r>
      <w:r>
        <w:t xml:space="preserve">https://arxiv.org/abs/2510.08439</w:t>
      </w:r>
    </w:p>
    <w:p>
      <w:pPr>
        <w:pStyle w:val="BodyText"/>
      </w:pPr>
      <w:hyperlink r:id="rId72">
        <w:r>
          <w:rPr>
            <w:rStyle w:val="Hyperlink"/>
          </w:rPr>
          <w:t xml:space="preserve">https://arxiv.org/abs/2510.08439</w:t>
        </w:r>
      </w:hyperlink>
    </w:p>
    <w:p>
      <w:pPr>
        <w:pStyle w:val="BodyText"/>
      </w:pPr>
      <w:hyperlink r:id="rId73">
        <w:r>
          <w:rPr>
            <w:rStyle w:val="Hyperlink"/>
          </w:rPr>
          <w:t xml:space="preserve">[96]</w:t>
        </w:r>
      </w:hyperlink>
      <w:r>
        <w:t xml:space="preserve"> </w:t>
      </w:r>
      <w:r>
        <w:t xml:space="preserve">https://www.microsoft.com/en-us/research/wp-content/uploads/2019/01/Guidelines-for-Human-AI-Interaction-camera-ready.pdf</w:t>
      </w:r>
    </w:p>
    <w:p>
      <w:pPr>
        <w:pStyle w:val="BodyText"/>
      </w:pPr>
      <w:hyperlink r:id="rId73">
        <w:r>
          <w:rPr>
            <w:rStyle w:val="Hyperlink"/>
          </w:rPr>
          <w:t xml:space="preserve">https://www.microsoft.com/en-us/research/wp-content/uploads/2019/01/Guidelines-for-Human-AI-Interaction-camera-ready.pdf</w:t>
        </w:r>
      </w:hyperlink>
    </w:p>
    <w:p>
      <w:pPr>
        <w:pStyle w:val="BodyText"/>
      </w:pPr>
      <w:hyperlink r:id="rId74">
        <w:r>
          <w:rPr>
            <w:rStyle w:val="Hyperlink"/>
          </w:rPr>
          <w:t xml:space="preserve">[98]</w:t>
        </w:r>
      </w:hyperlink>
      <w:r>
        <w:t xml:space="preserve"> </w:t>
      </w:r>
      <w:r>
        <w:t xml:space="preserve">https://journals.sagepub.com/doi/10.1518/hfes.46.1.50_30392</w:t>
      </w:r>
    </w:p>
    <w:p>
      <w:pPr>
        <w:pStyle w:val="BodyText"/>
      </w:pPr>
      <w:hyperlink r:id="rId74">
        <w:r>
          <w:rPr>
            <w:rStyle w:val="Hyperlink"/>
          </w:rPr>
          <w:t xml:space="preserve">https://journals.sagepub.com/doi/10.1518/hfes.46.1.50_30392</w:t>
        </w:r>
      </w:hyperlink>
    </w:p>
    <w:p>
      <w:pPr>
        <w:pStyle w:val="BodyText"/>
      </w:pPr>
      <w:hyperlink r:id="rId75">
        <w:r>
          <w:rPr>
            <w:rStyle w:val="Hyperlink"/>
          </w:rPr>
          <w:t xml:space="preserve">[100]</w:t>
        </w:r>
      </w:hyperlink>
      <w:r>
        <w:t xml:space="preserve"> </w:t>
      </w:r>
      <w:r>
        <w:t xml:space="preserve">https://arxiv.org/abs/2309.06180</w:t>
      </w:r>
    </w:p>
    <w:p>
      <w:pPr>
        <w:pStyle w:val="BodyText"/>
      </w:pPr>
      <w:hyperlink r:id="rId75">
        <w:r>
          <w:rPr>
            <w:rStyle w:val="Hyperlink"/>
          </w:rPr>
          <w:t xml:space="preserve">https://arxiv.org/abs/2309.06180</w:t>
        </w:r>
      </w:hyperlink>
    </w:p>
    <w:p>
      <w:pPr>
        <w:pStyle w:val="BodyText"/>
      </w:pPr>
      <w:hyperlink r:id="rId76">
        <w:r>
          <w:rPr>
            <w:rStyle w:val="Hyperlink"/>
          </w:rPr>
          <w:t xml:space="preserve">[101]</w:t>
        </w:r>
      </w:hyperlink>
      <w:r>
        <w:t xml:space="preserve"> </w:t>
      </w:r>
      <w:r>
        <w:t xml:space="preserve">https://rightsstatements.org/en/</w:t>
      </w:r>
    </w:p>
    <w:p>
      <w:pPr>
        <w:pStyle w:val="BodyText"/>
      </w:pPr>
      <w:hyperlink r:id="rId76">
        <w:r>
          <w:rPr>
            <w:rStyle w:val="Hyperlink"/>
          </w:rPr>
          <w:t xml:space="preserve">https://rightsstatements.org/en/</w:t>
        </w:r>
      </w:hyperlink>
    </w:p>
    <w:p>
      <w:pPr>
        <w:pStyle w:val="BodyText"/>
      </w:pPr>
      <w:hyperlink r:id="rId77">
        <w:r>
          <w:rPr>
            <w:rStyle w:val="Hyperlink"/>
          </w:rPr>
          <w:t xml:space="preserve">[103]</w:t>
        </w:r>
      </w:hyperlink>
      <w:r>
        <w:t xml:space="preserve"> </w:t>
      </w:r>
      <w:r>
        <w:t xml:space="preserve">https://pro.europeana.eu/page/edm-documentation</w:t>
      </w:r>
    </w:p>
    <w:p>
      <w:pPr>
        <w:pStyle w:val="BodyText"/>
      </w:pPr>
      <w:hyperlink r:id="rId77">
        <w:r>
          <w:rPr>
            <w:rStyle w:val="Hyperlink"/>
          </w:rPr>
          <w:t xml:space="preserve">https://pro.europeana.eu/page/edm-documentation</w:t>
        </w:r>
      </w:hyperlink>
    </w:p>
    <w:p>
      <w:pPr>
        <w:pStyle w:val="BodyText"/>
      </w:pPr>
      <w:hyperlink r:id="rId78">
        <w:r>
          <w:rPr>
            <w:rStyle w:val="Hyperlink"/>
          </w:rPr>
          <w:t xml:space="preserve">[104]</w:t>
        </w:r>
      </w:hyperlink>
      <w:r>
        <w:t xml:space="preserve"> </w:t>
      </w:r>
      <w:r>
        <w:t xml:space="preserve">https://pro.europeana.eu/files/Europeana_Professional/Publications/EDM_WhitePaper_17062015.pdf</w:t>
      </w:r>
    </w:p>
    <w:p>
      <w:pPr>
        <w:pStyle w:val="BodyText"/>
      </w:pPr>
      <w:hyperlink r:id="rId78">
        <w:r>
          <w:rPr>
            <w:rStyle w:val="Hyperlink"/>
          </w:rPr>
          <w:t xml:space="preserve">https://pro.europeana.eu/files/Europeana_Professional/Publications/EDM_WhitePaper_17062015.pdf</w:t>
        </w:r>
      </w:hyperlink>
    </w:p>
    <w:p>
      <w:pPr>
        <w:pStyle w:val="BodyText"/>
      </w:pPr>
      <w:hyperlink r:id="rId79">
        <w:r>
          <w:rPr>
            <w:rStyle w:val="Hyperlink"/>
          </w:rPr>
          <w:t xml:space="preserve">[105]</w:t>
        </w:r>
      </w:hyperlink>
      <w:r>
        <w:t xml:space="preserve"> </w:t>
      </w:r>
      <w:r>
        <w:t xml:space="preserve">https://iiif.io/api/presentation/3.0/</w:t>
      </w:r>
    </w:p>
    <w:p>
      <w:pPr>
        <w:pStyle w:val="BodyText"/>
      </w:pPr>
      <w:hyperlink r:id="rId79">
        <w:r>
          <w:rPr>
            <w:rStyle w:val="Hyperlink"/>
          </w:rPr>
          <w:t xml:space="preserve">https://iiif.io/api/presentation/3.0/</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2025.jcdl.org/" TargetMode="External" /><Relationship Type="http://schemas.openxmlformats.org/officeDocument/2006/relationships/hyperlink" Id="rId39" Target="https://aclanthology.org/2020.emnlp-main.89.pdf" TargetMode="External" /><Relationship Type="http://schemas.openxmlformats.org/officeDocument/2006/relationships/hyperlink" Id="rId68" Target="https://aclanthology.org/2020.findings-emnlp.91/" TargetMode="External" /><Relationship Type="http://schemas.openxmlformats.org/officeDocument/2006/relationships/hyperlink" Id="rId26" Target="https://aclanthology.org/2023.cl-4.2/" TargetMode="External" /><Relationship Type="http://schemas.openxmlformats.org/officeDocument/2006/relationships/hyperlink" Id="rId63" Target="https://aclanthology.org/2024.findings-emnlp.197/" TargetMode="External" /><Relationship Type="http://schemas.openxmlformats.org/officeDocument/2006/relationships/hyperlink" Id="rId33" Target="https://aclanthology.org/D16-1264/" TargetMode="External" /><Relationship Type="http://schemas.openxmlformats.org/officeDocument/2006/relationships/hyperlink" Id="rId66" Target="https://aclanthology.org/P15-1142/" TargetMode="External" /><Relationship Type="http://schemas.openxmlformats.org/officeDocument/2006/relationships/hyperlink" Id="rId57" Target="https://ai.google.dev/edge/mediapipe/solutions/genai/llm_inference/web_js" TargetMode="External" /><Relationship Type="http://schemas.openxmlformats.org/officeDocument/2006/relationships/hyperlink" Id="rId27" Target="https://arxiv.org/abs/1606.05250" TargetMode="External" /><Relationship Type="http://schemas.openxmlformats.org/officeDocument/2006/relationships/hyperlink" Id="rId67" Target="https://arxiv.org/abs/2004.02349" TargetMode="External" /><Relationship Type="http://schemas.openxmlformats.org/officeDocument/2006/relationships/hyperlink" Id="rId44" Target="https://arxiv.org/abs/2110.01691" TargetMode="External" /><Relationship Type="http://schemas.openxmlformats.org/officeDocument/2006/relationships/hyperlink" Id="rId28" Target="https://arxiv.org/abs/2205.00445" TargetMode="External" /><Relationship Type="http://schemas.openxmlformats.org/officeDocument/2006/relationships/hyperlink" Id="rId69" Target="https://arxiv.org/abs/2212.06094" TargetMode="External" /><Relationship Type="http://schemas.openxmlformats.org/officeDocument/2006/relationships/hyperlink" Id="rId29" Target="https://arxiv.org/abs/2305.05176" TargetMode="External" /><Relationship Type="http://schemas.openxmlformats.org/officeDocument/2006/relationships/hyperlink" Id="rId46" Target="https://arxiv.org/abs/2305.14627" TargetMode="External" /><Relationship Type="http://schemas.openxmlformats.org/officeDocument/2006/relationships/hyperlink" Id="rId41" Target="https://arxiv.org/abs/2309.01431" TargetMode="External" /><Relationship Type="http://schemas.openxmlformats.org/officeDocument/2006/relationships/hyperlink" Id="rId75" Target="https://arxiv.org/abs/2309.06180" TargetMode="External" /><Relationship Type="http://schemas.openxmlformats.org/officeDocument/2006/relationships/hyperlink" Id="rId59" Target="https://arxiv.org/abs/2309.08978" TargetMode="External" /><Relationship Type="http://schemas.openxmlformats.org/officeDocument/2006/relationships/hyperlink" Id="rId65" Target="https://arxiv.org/abs/2310.01558" TargetMode="External" /><Relationship Type="http://schemas.openxmlformats.org/officeDocument/2006/relationships/hyperlink" Id="rId38" Target="https://arxiv.org/abs/2310.10501" TargetMode="External" /><Relationship Type="http://schemas.openxmlformats.org/officeDocument/2006/relationships/hyperlink" Id="rId43" Target="https://arxiv.org/abs/2310.11511" TargetMode="External" /><Relationship Type="http://schemas.openxmlformats.org/officeDocument/2006/relationships/hyperlink" Id="rId70" Target="https://arxiv.org/abs/2312.07104" TargetMode="External" /><Relationship Type="http://schemas.openxmlformats.org/officeDocument/2006/relationships/hyperlink" Id="rId31" Target="https://arxiv.org/abs/2401.09670" TargetMode="External" /><Relationship Type="http://schemas.openxmlformats.org/officeDocument/2006/relationships/hyperlink" Id="rId62" Target="https://arxiv.org/abs/2401.15884" TargetMode="External" /><Relationship Type="http://schemas.openxmlformats.org/officeDocument/2006/relationships/hyperlink" Id="rId40" Target="https://arxiv.org/abs/2404.14618" TargetMode="External" /><Relationship Type="http://schemas.openxmlformats.org/officeDocument/2006/relationships/hyperlink" Id="rId71" Target="https://arxiv.org/abs/2406.18665" TargetMode="External" /><Relationship Type="http://schemas.openxmlformats.org/officeDocument/2006/relationships/hyperlink" Id="rId25" Target="https://arxiv.org/abs/2407.01972" TargetMode="External" /><Relationship Type="http://schemas.openxmlformats.org/officeDocument/2006/relationships/hyperlink" Id="rId22" Target="https://arxiv.org/abs/2411.06037" TargetMode="External" /><Relationship Type="http://schemas.openxmlformats.org/officeDocument/2006/relationships/hyperlink" Id="rId21" Target="https://arxiv.org/abs/2412.15803" TargetMode="External" /><Relationship Type="http://schemas.openxmlformats.org/officeDocument/2006/relationships/hyperlink" Id="rId64" Target="https://arxiv.org/abs/2509.01476" TargetMode="External" /><Relationship Type="http://schemas.openxmlformats.org/officeDocument/2006/relationships/hyperlink" Id="rId72" Target="https://arxiv.org/abs/2510.08439" TargetMode="External" /><Relationship Type="http://schemas.openxmlformats.org/officeDocument/2006/relationships/hyperlink" Id="rId61" Target="https://arxiv.org/html/2601.09928v1" TargetMode="External" /><Relationship Type="http://schemas.openxmlformats.org/officeDocument/2006/relationships/hyperlink" Id="rId48" Target="https://chi2026.acm.org/" TargetMode="External" /><Relationship Type="http://schemas.openxmlformats.org/officeDocument/2006/relationships/hyperlink" Id="rId49" Target="https://cikm2025.org/" TargetMode="External" /><Relationship Type="http://schemas.openxmlformats.org/officeDocument/2006/relationships/hyperlink" Id="rId53" Target="https://coda.io/%40rstless-group/ir-rag-sigir25" TargetMode="External" /><Relationship Type="http://schemas.openxmlformats.org/officeDocument/2006/relationships/hyperlink" Id="rId52" Target="https://cscw.acm.org/2026/" TargetMode="External" /><Relationship Type="http://schemas.openxmlformats.org/officeDocument/2006/relationships/hyperlink" Id="rId30" Target="https://dl.acm.org/doi/10.1145/302979.303030" TargetMode="External" /><Relationship Type="http://schemas.openxmlformats.org/officeDocument/2006/relationships/hyperlink" Id="rId56" Target="https://github.com/mlc-ai/web-llm" TargetMode="External" /><Relationship Type="http://schemas.openxmlformats.org/officeDocument/2006/relationships/hyperlink" Id="rId79" Target="https://iiif.io/api/presentation/3.0/" TargetMode="External" /><Relationship Type="http://schemas.openxmlformats.org/officeDocument/2006/relationships/hyperlink" Id="rId74" Target="https://journals.sagepub.com/doi/10.1518/hfes.46.1.50_30392" TargetMode="External" /><Relationship Type="http://schemas.openxmlformats.org/officeDocument/2006/relationships/hyperlink" Id="rId35" Target="https://ojs.aaai.org/index.php/AAAI/article/view/40822/44783" TargetMode="External" /><Relationship Type="http://schemas.openxmlformats.org/officeDocument/2006/relationships/hyperlink" Id="rId60" Target="https://poloclub.github.io/mememo/" TargetMode="External" /><Relationship Type="http://schemas.openxmlformats.org/officeDocument/2006/relationships/hyperlink" Id="rId78" Target="https://pro.europeana.eu/files/Europeana_Professional/Publications/EDM_WhitePaper_17062015.pdf" TargetMode="External" /><Relationship Type="http://schemas.openxmlformats.org/officeDocument/2006/relationships/hyperlink" Id="rId47" Target="https://pro.europeana.eu/files/Europeana_Professional/Share_your_data/Technical_requirements/EDM_Documentation/EDM_Mapping_Guidelines_v2.3_112016.pdf" TargetMode="External" /><Relationship Type="http://schemas.openxmlformats.org/officeDocument/2006/relationships/hyperlink" Id="rId77" Target="https://pro.europeana.eu/page/edm-documentation" TargetMode="External" /><Relationship Type="http://schemas.openxmlformats.org/officeDocument/2006/relationships/hyperlink" Id="rId36" Target="https://pro.europeana.eu/post/publishing-framework" TargetMode="External" /><Relationship Type="http://schemas.openxmlformats.org/officeDocument/2006/relationships/hyperlink" Id="rId76" Target="https://rightsstatements.org/en/" TargetMode="External" /><Relationship Type="http://schemas.openxmlformats.org/officeDocument/2006/relationships/hyperlink" Id="rId23" Target="https://rightsstatements.org/en/documentation/" TargetMode="External" /><Relationship Type="http://schemas.openxmlformats.org/officeDocument/2006/relationships/hyperlink" Id="rId32" Target="https://rightsstatements.org/en/documentation/usage_guidelines.html" TargetMode="External" /><Relationship Type="http://schemas.openxmlformats.org/officeDocument/2006/relationships/hyperlink" Id="rId50" Target="https://sigir2025.dei.unipd.it/" TargetMode="External" /><Relationship Type="http://schemas.openxmlformats.org/officeDocument/2006/relationships/hyperlink" Id="rId51" Target="https://uist.acm.org/2026/" TargetMode="External" /><Relationship Type="http://schemas.openxmlformats.org/officeDocument/2006/relationships/hyperlink" Id="rId58" Target="https://www.microsoft.com/en-us/research/publication/anatomizing-deep-learning-inference-in-web-browsers/" TargetMode="External" /><Relationship Type="http://schemas.openxmlformats.org/officeDocument/2006/relationships/hyperlink" Id="rId73" Target="https://www.microsoft.com/en-us/research/wp-content/uploads/2019/01/Guidelines-for-Human-AI-Interaction-camera-ready.pdf" TargetMode="External" /></Relationships>
</file>

<file path=word/_rels/footnotes.xml.rels><?xml version="1.0" encoding="UTF-8"?><Relationships xmlns="http://schemas.openxmlformats.org/package/2006/relationships"><Relationship Type="http://schemas.openxmlformats.org/officeDocument/2006/relationships/hyperlink" Id="rId42" Target="https://2025.jcdl.org/" TargetMode="External" /><Relationship Type="http://schemas.openxmlformats.org/officeDocument/2006/relationships/hyperlink" Id="rId39" Target="https://aclanthology.org/2020.emnlp-main.89.pdf" TargetMode="External" /><Relationship Type="http://schemas.openxmlformats.org/officeDocument/2006/relationships/hyperlink" Id="rId68" Target="https://aclanthology.org/2020.findings-emnlp.91/" TargetMode="External" /><Relationship Type="http://schemas.openxmlformats.org/officeDocument/2006/relationships/hyperlink" Id="rId26" Target="https://aclanthology.org/2023.cl-4.2/" TargetMode="External" /><Relationship Type="http://schemas.openxmlformats.org/officeDocument/2006/relationships/hyperlink" Id="rId63" Target="https://aclanthology.org/2024.findings-emnlp.197/" TargetMode="External" /><Relationship Type="http://schemas.openxmlformats.org/officeDocument/2006/relationships/hyperlink" Id="rId33" Target="https://aclanthology.org/D16-1264/" TargetMode="External" /><Relationship Type="http://schemas.openxmlformats.org/officeDocument/2006/relationships/hyperlink" Id="rId66" Target="https://aclanthology.org/P15-1142/" TargetMode="External" /><Relationship Type="http://schemas.openxmlformats.org/officeDocument/2006/relationships/hyperlink" Id="rId57" Target="https://ai.google.dev/edge/mediapipe/solutions/genai/llm_inference/web_js" TargetMode="External" /><Relationship Type="http://schemas.openxmlformats.org/officeDocument/2006/relationships/hyperlink" Id="rId27" Target="https://arxiv.org/abs/1606.05250" TargetMode="External" /><Relationship Type="http://schemas.openxmlformats.org/officeDocument/2006/relationships/hyperlink" Id="rId67" Target="https://arxiv.org/abs/2004.02349" TargetMode="External" /><Relationship Type="http://schemas.openxmlformats.org/officeDocument/2006/relationships/hyperlink" Id="rId44" Target="https://arxiv.org/abs/2110.01691" TargetMode="External" /><Relationship Type="http://schemas.openxmlformats.org/officeDocument/2006/relationships/hyperlink" Id="rId28" Target="https://arxiv.org/abs/2205.00445" TargetMode="External" /><Relationship Type="http://schemas.openxmlformats.org/officeDocument/2006/relationships/hyperlink" Id="rId69" Target="https://arxiv.org/abs/2212.06094" TargetMode="External" /><Relationship Type="http://schemas.openxmlformats.org/officeDocument/2006/relationships/hyperlink" Id="rId29" Target="https://arxiv.org/abs/2305.05176" TargetMode="External" /><Relationship Type="http://schemas.openxmlformats.org/officeDocument/2006/relationships/hyperlink" Id="rId46" Target="https://arxiv.org/abs/2305.14627" TargetMode="External" /><Relationship Type="http://schemas.openxmlformats.org/officeDocument/2006/relationships/hyperlink" Id="rId41" Target="https://arxiv.org/abs/2309.01431" TargetMode="External" /><Relationship Type="http://schemas.openxmlformats.org/officeDocument/2006/relationships/hyperlink" Id="rId75" Target="https://arxiv.org/abs/2309.06180" TargetMode="External" /><Relationship Type="http://schemas.openxmlformats.org/officeDocument/2006/relationships/hyperlink" Id="rId59" Target="https://arxiv.org/abs/2309.08978" TargetMode="External" /><Relationship Type="http://schemas.openxmlformats.org/officeDocument/2006/relationships/hyperlink" Id="rId65" Target="https://arxiv.org/abs/2310.01558" TargetMode="External" /><Relationship Type="http://schemas.openxmlformats.org/officeDocument/2006/relationships/hyperlink" Id="rId38" Target="https://arxiv.org/abs/2310.10501" TargetMode="External" /><Relationship Type="http://schemas.openxmlformats.org/officeDocument/2006/relationships/hyperlink" Id="rId43" Target="https://arxiv.org/abs/2310.11511" TargetMode="External" /><Relationship Type="http://schemas.openxmlformats.org/officeDocument/2006/relationships/hyperlink" Id="rId70" Target="https://arxiv.org/abs/2312.07104" TargetMode="External" /><Relationship Type="http://schemas.openxmlformats.org/officeDocument/2006/relationships/hyperlink" Id="rId31" Target="https://arxiv.org/abs/2401.09670" TargetMode="External" /><Relationship Type="http://schemas.openxmlformats.org/officeDocument/2006/relationships/hyperlink" Id="rId62" Target="https://arxiv.org/abs/2401.15884" TargetMode="External" /><Relationship Type="http://schemas.openxmlformats.org/officeDocument/2006/relationships/hyperlink" Id="rId40" Target="https://arxiv.org/abs/2404.14618" TargetMode="External" /><Relationship Type="http://schemas.openxmlformats.org/officeDocument/2006/relationships/hyperlink" Id="rId71" Target="https://arxiv.org/abs/2406.18665" TargetMode="External" /><Relationship Type="http://schemas.openxmlformats.org/officeDocument/2006/relationships/hyperlink" Id="rId25" Target="https://arxiv.org/abs/2407.01972" TargetMode="External" /><Relationship Type="http://schemas.openxmlformats.org/officeDocument/2006/relationships/hyperlink" Id="rId22" Target="https://arxiv.org/abs/2411.06037" TargetMode="External" /><Relationship Type="http://schemas.openxmlformats.org/officeDocument/2006/relationships/hyperlink" Id="rId21" Target="https://arxiv.org/abs/2412.15803" TargetMode="External" /><Relationship Type="http://schemas.openxmlformats.org/officeDocument/2006/relationships/hyperlink" Id="rId64" Target="https://arxiv.org/abs/2509.01476" TargetMode="External" /><Relationship Type="http://schemas.openxmlformats.org/officeDocument/2006/relationships/hyperlink" Id="rId72" Target="https://arxiv.org/abs/2510.08439" TargetMode="External" /><Relationship Type="http://schemas.openxmlformats.org/officeDocument/2006/relationships/hyperlink" Id="rId61" Target="https://arxiv.org/html/2601.09928v1" TargetMode="External" /><Relationship Type="http://schemas.openxmlformats.org/officeDocument/2006/relationships/hyperlink" Id="rId48" Target="https://chi2026.acm.org/" TargetMode="External" /><Relationship Type="http://schemas.openxmlformats.org/officeDocument/2006/relationships/hyperlink" Id="rId49" Target="https://cikm2025.org/" TargetMode="External" /><Relationship Type="http://schemas.openxmlformats.org/officeDocument/2006/relationships/hyperlink" Id="rId53" Target="https://coda.io/%40rstless-group/ir-rag-sigir25" TargetMode="External" /><Relationship Type="http://schemas.openxmlformats.org/officeDocument/2006/relationships/hyperlink" Id="rId52" Target="https://cscw.acm.org/2026/" TargetMode="External" /><Relationship Type="http://schemas.openxmlformats.org/officeDocument/2006/relationships/hyperlink" Id="rId30" Target="https://dl.acm.org/doi/10.1145/302979.303030" TargetMode="External" /><Relationship Type="http://schemas.openxmlformats.org/officeDocument/2006/relationships/hyperlink" Id="rId56" Target="https://github.com/mlc-ai/web-llm" TargetMode="External" /><Relationship Type="http://schemas.openxmlformats.org/officeDocument/2006/relationships/hyperlink" Id="rId79" Target="https://iiif.io/api/presentation/3.0/" TargetMode="External" /><Relationship Type="http://schemas.openxmlformats.org/officeDocument/2006/relationships/hyperlink" Id="rId74" Target="https://journals.sagepub.com/doi/10.1518/hfes.46.1.50_30392" TargetMode="External" /><Relationship Type="http://schemas.openxmlformats.org/officeDocument/2006/relationships/hyperlink" Id="rId35" Target="https://ojs.aaai.org/index.php/AAAI/article/view/40822/44783" TargetMode="External" /><Relationship Type="http://schemas.openxmlformats.org/officeDocument/2006/relationships/hyperlink" Id="rId60" Target="https://poloclub.github.io/mememo/" TargetMode="External" /><Relationship Type="http://schemas.openxmlformats.org/officeDocument/2006/relationships/hyperlink" Id="rId78" Target="https://pro.europeana.eu/files/Europeana_Professional/Publications/EDM_WhitePaper_17062015.pdf" TargetMode="External" /><Relationship Type="http://schemas.openxmlformats.org/officeDocument/2006/relationships/hyperlink" Id="rId47" Target="https://pro.europeana.eu/files/Europeana_Professional/Share_your_data/Technical_requirements/EDM_Documentation/EDM_Mapping_Guidelines_v2.3_112016.pdf" TargetMode="External" /><Relationship Type="http://schemas.openxmlformats.org/officeDocument/2006/relationships/hyperlink" Id="rId77" Target="https://pro.europeana.eu/page/edm-documentation" TargetMode="External" /><Relationship Type="http://schemas.openxmlformats.org/officeDocument/2006/relationships/hyperlink" Id="rId36" Target="https://pro.europeana.eu/post/publishing-framework" TargetMode="External" /><Relationship Type="http://schemas.openxmlformats.org/officeDocument/2006/relationships/hyperlink" Id="rId76" Target="https://rightsstatements.org/en/" TargetMode="External" /><Relationship Type="http://schemas.openxmlformats.org/officeDocument/2006/relationships/hyperlink" Id="rId23" Target="https://rightsstatements.org/en/documentation/" TargetMode="External" /><Relationship Type="http://schemas.openxmlformats.org/officeDocument/2006/relationships/hyperlink" Id="rId32" Target="https://rightsstatements.org/en/documentation/usage_guidelines.html" TargetMode="External" /><Relationship Type="http://schemas.openxmlformats.org/officeDocument/2006/relationships/hyperlink" Id="rId50" Target="https://sigir2025.dei.unipd.it/" TargetMode="External" /><Relationship Type="http://schemas.openxmlformats.org/officeDocument/2006/relationships/hyperlink" Id="rId51" Target="https://uist.acm.org/2026/" TargetMode="External" /><Relationship Type="http://schemas.openxmlformats.org/officeDocument/2006/relationships/hyperlink" Id="rId58" Target="https://www.microsoft.com/en-us/research/publication/anatomizing-deep-learning-inference-in-web-browsers/" TargetMode="External" /><Relationship Type="http://schemas.openxmlformats.org/officeDocument/2006/relationships/hyperlink" Id="rId73" Target="https://www.microsoft.com/en-us/research/wp-content/uploads/2019/01/Guidelines-for-Human-AI-Interaction-camera-ready.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2026-06-09T11:29:07Z</dcterms:created>
  <dcterms:modified xsi:type="dcterms:W3CDTF">2026-06-09T11:29:07Z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