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297b4ec2a409e96c3c6d219cd3ee933ddcb36bc"/>
    <w:p>
      <w:pPr>
        <w:pStyle w:val="Heading1"/>
      </w:pPr>
      <w:r>
        <w:t xml:space="preserve">Method And Evaluation Deep Research Report</w:t>
      </w:r>
    </w:p>
    <w:bookmarkStart w:id="28" w:name="synopsis"/>
    <w:p>
      <w:pPr>
        <w:pStyle w:val="Heading2"/>
      </w:pPr>
      <w:r>
        <w:t xml:space="preserve">Synopsis</w:t>
      </w:r>
    </w:p>
    <w:p>
      <w:pPr>
        <w:pStyle w:val="FirstParagraph"/>
      </w:pPr>
      <w:r>
        <w:rPr>
          <w:b/>
          <w:bCs/>
        </w:rPr>
        <w:t xml:space="preserve">Executive summary.</w:t>
      </w:r>
      <w:r>
        <w:br/>
      </w:r>
      <w:r>
        <w:t xml:space="preserve">This audit concludes that the proposed three-condition study can become a credible pilot, but it is</w:t>
      </w:r>
      <w:r>
        <w:t xml:space="preserve"> </w:t>
      </w:r>
      <w:r>
        <w:rPr>
          <w:b/>
          <w:bCs/>
        </w:rPr>
        <w:t xml:space="preserve">not yet strong enough for a paper attempt in its current form</w:t>
      </w:r>
      <w:r>
        <w:t xml:space="preserve">. The core idea is methodologically promising because it separates a trust-related property that prior RAG work repeatedly shows is easy to conflate—</w:t>
      </w:r>
      <w:r>
        <w:rPr>
          <w:b/>
          <w:bCs/>
        </w:rPr>
        <w:t xml:space="preserve">whether output is supported by supplied evidence</w:t>
      </w:r>
      <w:r>
        <w:t xml:space="preserve">—from broader semantic truthfulness, which attribution and verifiability work treats as a distinct question. That distinction is real and important: RAG was originally motivated in part by provenance and updateability limits in parametric-only models, attribution work formalized reproducible support-oriented evaluation, ALCE showed citation quality should be scored separately from correctness, and verifiability audits showed that apparently polished answers often contain unsupported claims even when they look trustworthy.</w:t>
      </w:r>
      <w:r>
        <w:t xml:space="preserve"> </w:t>
      </w:r>
      <w:hyperlink r:id="rId21">
        <w:r>
          <w:rPr>
            <w:rStyle w:val="Hyperlink"/>
          </w:rPr>
          <w:t xml:space="preserve">[1]</w:t>
        </w:r>
      </w:hyperlink>
    </w:p>
    <w:p>
      <w:pPr>
        <w:pStyle w:val="BodyText"/>
      </w:pPr>
      <w:r>
        <w:t xml:space="preserve">This proposal also aligns with a second line of evidence: recent RAG studies show that models often answer when they should abstain, especially when the context is insufficient, and that selective or abstention-aware strategies can improve reliability. Sufficient Context shows that models frequently produce incorrect answers rather than abstaining when context is inadequate, and selective-QA work similarly argues that abstention must be evaluated as a first-class outcome rather than folded into ordinary accuracy.</w:t>
      </w:r>
      <w:r>
        <w:t xml:space="preserve"> </w:t>
      </w:r>
      <w:hyperlink r:id="rId22">
        <w:r>
          <w:rPr>
            <w:rStyle w:val="Hyperlink"/>
          </w:rPr>
          <w:t xml:space="preserve">[2]</w:t>
        </w:r>
      </w:hyperlink>
    </w:p>
    <w:p>
      <w:pPr>
        <w:pStyle w:val="BodyText"/>
      </w:pPr>
      <w:r>
        <w:t xml:space="preserve">The main blockers are not conceptual. They are</w:t>
      </w:r>
      <w:r>
        <w:t xml:space="preserve"> </w:t>
      </w:r>
      <w:r>
        <w:rPr>
          <w:b/>
          <w:bCs/>
        </w:rPr>
        <w:t xml:space="preserve">protocol-level</w:t>
      </w:r>
      <w:r>
        <w:t xml:space="preserve">. As described, the study is still vulnerable to leakage between gold behavior labels and routing, to ablation confounds created by formatting and prompt differences, to unstable latency measurement in browser environments, and to reviewer inconsistency if the review sheet relies too heavily on broad Likert-style judgments instead of decomposed binary checks. Human-evaluation literature in NLP and HCI consistently warns about order effects, task complexity, cognitive bias, weakly specified guidelines, and misuse of agreement metrics; checklist-style decomposition improves reliability precisely by converting vague holistic judgments into smaller observable decisions.</w:t>
      </w:r>
      <w:r>
        <w:t xml:space="preserve"> </w:t>
      </w:r>
      <w:hyperlink r:id="rId23">
        <w:r>
          <w:rPr>
            <w:rStyle w:val="Hyperlink"/>
          </w:rPr>
          <w:t xml:space="preserve">[3]</w:t>
        </w:r>
      </w:hyperlink>
    </w:p>
    <w:p>
      <w:pPr>
        <w:pStyle w:val="BodyText"/>
      </w:pPr>
      <w:r>
        <w:t xml:space="preserve">Because the repository files listed in the prompt were not available in this environment, this report audits the protocol</w:t>
      </w:r>
      <w:r>
        <w:t xml:space="preserve"> </w:t>
      </w:r>
      <w:r>
        <w:rPr>
          <w:b/>
          <w:bCs/>
        </w:rPr>
        <w:t xml:space="preserve">as summarized in the prompt</w:t>
      </w:r>
      <w:r>
        <w:t xml:space="preserve"> </w:t>
      </w:r>
      <w:r>
        <w:t xml:space="preserve">and marks recommendations that depend on repo-internal implementation details as</w:t>
      </w:r>
      <w:r>
        <w:t xml:space="preserve"> </w:t>
      </w:r>
      <w:r>
        <w:rPr>
          <w:b/>
          <w:bCs/>
        </w:rPr>
        <w:t xml:space="preserve">reviewer judgment</w:t>
      </w:r>
      <w:r>
        <w:t xml:space="preserve"> </w:t>
      </w:r>
      <w:r>
        <w:t xml:space="preserve">rather than direct repo verification.</w:t>
      </w:r>
    </w:p>
    <w:p>
      <w:pPr>
        <w:pStyle w:val="BodyText"/>
      </w:pPr>
      <w:r>
        <w:rPr>
          <w:b/>
          <w:bCs/>
        </w:rPr>
        <w:t xml:space="preserve">Bottom-line methodology verdict.</w:t>
      </w:r>
      <w:r>
        <w:br/>
      </w:r>
      <w:r>
        <w:t xml:space="preserve">The current plan is best described as a</w:t>
      </w:r>
      <w:r>
        <w:t xml:space="preserve"> </w:t>
      </w:r>
      <w:r>
        <w:rPr>
          <w:b/>
          <w:bCs/>
        </w:rPr>
        <w:t xml:space="preserve">high-potential pilot with major revision needs</w:t>
      </w:r>
      <w:r>
        <w:t xml:space="preserve">. If the team freezes a versioned rule table, hides all evaluator-only labels from the runtime, uses a format-matched all-generation baseline, adds explicit evidence-state/action definitions, runs paired analysis by query, and logs browser anomalies rather than burying them, then the first milestone can support</w:t>
      </w:r>
      <w:r>
        <w:t xml:space="preserve"> </w:t>
      </w:r>
      <w:r>
        <w:rPr>
          <w:b/>
          <w:bCs/>
        </w:rPr>
        <w:t xml:space="preserve">narrow within-fixture claims</w:t>
      </w:r>
      <w:r>
        <w:t xml:space="preserve"> </w:t>
      </w:r>
      <w:r>
        <w:t xml:space="preserve">about contract fidelity, under- versus over-refusal tradeoffs, and warm end-to-end latency for deterministic lanes. It still will not support claims about semantic correctness, legal-rights truth, universal browser-local performance, or general superiority with only 50 evaluation queries.</w:t>
      </w:r>
      <w:r>
        <w:t xml:space="preserve"> </w:t>
      </w:r>
      <w:hyperlink r:id="rId24">
        <w:r>
          <w:rPr>
            <w:rStyle w:val="Hyperlink"/>
          </w:rPr>
          <w:t xml:space="preserve">[4]</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Condition</w:t>
            </w:r>
          </w:p>
        </w:tc>
        <w:tc>
          <w:tcPr/>
          <w:p>
            <w:pPr>
              <w:pStyle w:val="Compact"/>
            </w:pPr>
            <w:r>
              <w:t xml:space="preserve">What the local model generates</w:t>
            </w:r>
          </w:p>
        </w:tc>
        <w:tc>
          <w:tcPr/>
          <w:p>
            <w:pPr>
              <w:pStyle w:val="Compact"/>
            </w:pPr>
            <w:r>
              <w:t xml:space="preserve">What the deterministic subsystem handles</w:t>
            </w:r>
          </w:p>
        </w:tc>
        <w:tc>
          <w:tcPr/>
          <w:p>
            <w:pPr>
              <w:pStyle w:val="Compact"/>
            </w:pPr>
            <w:r>
              <w:t xml:space="preserve">Intended isolated variable</w:t>
            </w:r>
          </w:p>
        </w:tc>
        <w:tc>
          <w:tcPr/>
          <w:p>
            <w:pPr>
              <w:pStyle w:val="Compact"/>
            </w:pPr>
            <w:r>
              <w:t xml:space="preserve">Required control for a valid comparison</w:t>
            </w:r>
          </w:p>
        </w:tc>
        <w:tc>
          <w:tcPr/>
          <w:p>
            <w:pPr>
              <w:pStyle w:val="Compact"/>
            </w:pPr>
            <w:r>
              <w:t xml:space="preserve">Basis</w:t>
            </w:r>
          </w:p>
        </w:tc>
      </w:tr>
      <w:tr>
        <w:tc>
          <w:tcPr/>
          <w:p>
            <w:pPr>
              <w:pStyle w:val="Compact"/>
            </w:pPr>
            <w:r>
              <w:rPr>
                <w:rStyle w:val="VerbatimChar"/>
              </w:rPr>
              <w:t xml:space="preserve">condition_1_all_generation</w:t>
            </w:r>
          </w:p>
        </w:tc>
        <w:tc>
          <w:tcPr/>
          <w:p>
            <w:pPr>
              <w:pStyle w:val="Compact"/>
            </w:pPr>
            <w:r>
              <w:t xml:space="preserve">All answer fields and prose</w:t>
            </w:r>
          </w:p>
        </w:tc>
        <w:tc>
          <w:tcPr/>
          <w:p>
            <w:pPr>
              <w:pStyle w:val="Compact"/>
            </w:pPr>
            <w:r>
              <w:t xml:space="preserve">None</w:t>
            </w:r>
          </w:p>
        </w:tc>
        <w:tc>
          <w:tcPr/>
          <w:p>
            <w:pPr>
              <w:pStyle w:val="Compact"/>
            </w:pPr>
            <w:r>
              <w:t xml:space="preserve">Baseline</w:t>
            </w:r>
          </w:p>
        </w:tc>
        <w:tc>
          <w:tcPr/>
          <w:p>
            <w:pPr>
              <w:pStyle w:val="Compact"/>
            </w:pPr>
            <w:r>
              <w:t xml:space="preserve">Must use the</w:t>
            </w:r>
            <w:r>
              <w:t xml:space="preserve"> </w:t>
            </w:r>
            <w:r>
              <w:rPr>
                <w:b/>
                <w:bCs/>
              </w:rPr>
              <w:t xml:space="preserve">same visible answer template</w:t>
            </w:r>
            <w:r>
              <w:t xml:space="preserve"> </w:t>
            </w:r>
            <w:r>
              <w:t xml:space="preserve">as the hybrid conditions so format is not a confound</w:t>
            </w:r>
          </w:p>
        </w:tc>
        <w:tc>
          <w:tcPr/>
          <w:p>
            <w:pPr>
              <w:pStyle w:val="Compact"/>
            </w:pPr>
            <w:r>
              <w:t xml:space="preserve">Reviewer judgment</w:t>
            </w:r>
          </w:p>
        </w:tc>
      </w:tr>
      <w:tr>
        <w:tc>
          <w:tcPr/>
          <w:p>
            <w:pPr>
              <w:pStyle w:val="Compact"/>
            </w:pPr>
            <w:r>
              <w:rPr>
                <w:rStyle w:val="VerbatimChar"/>
              </w:rPr>
              <w:t xml:space="preserve">condition_2_hybrid_no_refusal</w:t>
            </w:r>
          </w:p>
        </w:tc>
        <w:tc>
          <w:tcPr/>
          <w:p>
            <w:pPr>
              <w:pStyle w:val="Compact"/>
            </w:pPr>
            <w:r>
              <w:t xml:space="preserve">Guidance, explanation, recommendations, mixed-intent prose</w:t>
            </w:r>
          </w:p>
        </w:tc>
        <w:tc>
          <w:tcPr/>
          <w:p>
            <w:pPr>
              <w:pStyle w:val="Compact"/>
            </w:pPr>
            <w:r>
              <w:t xml:space="preserve">Evidence/source/rights exact fields</w:t>
            </w:r>
          </w:p>
        </w:tc>
        <w:tc>
          <w:tcPr/>
          <w:p>
            <w:pPr>
              <w:pStyle w:val="Compact"/>
            </w:pPr>
            <w:r>
              <w:t xml:space="preserve">Deterministic evidence-field delivery vs full generation</w:t>
            </w:r>
          </w:p>
        </w:tc>
        <w:tc>
          <w:tcPr/>
          <w:p>
            <w:pPr>
              <w:pStyle w:val="Compact"/>
            </w:pPr>
            <w:r>
              <w:t xml:space="preserve">Must receive the</w:t>
            </w:r>
            <w:r>
              <w:t xml:space="preserve"> </w:t>
            </w:r>
            <w:r>
              <w:rPr>
                <w:b/>
                <w:bCs/>
              </w:rPr>
              <w:t xml:space="preserve">same retrieved evidence packet</w:t>
            </w:r>
            <w:r>
              <w:t xml:space="preserve">, in the same order and schema, as Condition 1</w:t>
            </w:r>
          </w:p>
        </w:tc>
        <w:tc>
          <w:tcPr/>
          <w:p>
            <w:pPr>
              <w:pStyle w:val="Compact"/>
            </w:pPr>
            <w:r>
              <w:t xml:space="preserve">Reviewer judgment informed by attribution and verifiability evaluation practice</w:t>
            </w:r>
            <w:r>
              <w:t xml:space="preserve"> </w:t>
            </w:r>
            <w:hyperlink r:id="rId24">
              <w:r>
                <w:rPr>
                  <w:rStyle w:val="Hyperlink"/>
                </w:rPr>
                <w:t xml:space="preserve">[5]</w:t>
              </w:r>
            </w:hyperlink>
          </w:p>
        </w:tc>
      </w:tr>
      <w:tr>
        <w:tc>
          <w:tcPr/>
          <w:p>
            <w:pPr>
              <w:pStyle w:val="Compact"/>
            </w:pPr>
            <w:r>
              <w:rPr>
                <w:rStyle w:val="VerbatimChar"/>
              </w:rPr>
              <w:t xml:space="preserve">condition_3_full_hybrid</w:t>
            </w:r>
          </w:p>
        </w:tc>
        <w:tc>
          <w:tcPr/>
          <w:p>
            <w:pPr>
              <w:pStyle w:val="Compact"/>
            </w:pPr>
            <w:r>
              <w:t xml:space="preserve">Explanatory/comparative/recommendation prose for eligible tasks</w:t>
            </w:r>
          </w:p>
        </w:tc>
        <w:tc>
          <w:tcPr/>
          <w:p>
            <w:pPr>
              <w:pStyle w:val="Compact"/>
            </w:pPr>
            <w:r>
              <w:t xml:space="preserve">Evidence/source/rights exact fields and mandatory insufficient-evidence refusal</w:t>
            </w:r>
          </w:p>
        </w:tc>
        <w:tc>
          <w:tcPr/>
          <w:p>
            <w:pPr>
              <w:pStyle w:val="Compact"/>
            </w:pPr>
            <w:r>
              <w:t xml:space="preserve">Deterministic refusal vs model refusal</w:t>
            </w:r>
          </w:p>
        </w:tc>
        <w:tc>
          <w:tcPr/>
          <w:p>
            <w:pPr>
              <w:pStyle w:val="Compact"/>
            </w:pPr>
            <w:r>
              <w:t xml:space="preserve">Must differ from Condition 2</w:t>
            </w:r>
            <w:r>
              <w:t xml:space="preserve"> </w:t>
            </w:r>
            <w:r>
              <w:rPr>
                <w:b/>
                <w:bCs/>
              </w:rPr>
              <w:t xml:space="preserve">only</w:t>
            </w:r>
            <w:r>
              <w:t xml:space="preserve"> </w:t>
            </w:r>
            <w:r>
              <w:t xml:space="preserve">in refusal handling, not retrieval, not formatting, not packet structure</w:t>
            </w:r>
          </w:p>
        </w:tc>
        <w:tc>
          <w:tcPr/>
          <w:p>
            <w:pPr>
              <w:pStyle w:val="Compact"/>
            </w:pPr>
            <w:r>
              <w:t xml:space="preserve">Reviewer judgment informed by abstention literature</w:t>
            </w:r>
            <w:r>
              <w:t xml:space="preserve"> </w:t>
            </w:r>
            <w:hyperlink r:id="rId22">
              <w:r>
                <w:rPr>
                  <w:rStyle w:val="Hyperlink"/>
                </w:rPr>
                <w:t xml:space="preserve">[6]</w:t>
              </w:r>
            </w:hyperlink>
          </w:p>
        </w:tc>
      </w:tr>
      <w:tr>
        <w:tc>
          <w:tcPr/>
          <w:p>
            <w:pPr>
              <w:pStyle w:val="Compact"/>
            </w:pPr>
            <w:r>
              <w:t xml:space="preserve">Optional diagnostic</w:t>
            </w:r>
            <w:r>
              <w:t xml:space="preserve"> </w:t>
            </w:r>
            <w:r>
              <w:rPr>
                <w:rStyle w:val="VerbatimChar"/>
              </w:rPr>
              <w:t xml:space="preserve">condition_4_deterministic_only</w:t>
            </w:r>
          </w:p>
        </w:tc>
        <w:tc>
          <w:tcPr/>
          <w:p>
            <w:pPr>
              <w:pStyle w:val="Compact"/>
            </w:pPr>
            <w:r>
              <w:t xml:space="preserve">None, or only minimal fixed connective text</w:t>
            </w:r>
          </w:p>
        </w:tc>
        <w:tc>
          <w:tcPr/>
          <w:p>
            <w:pPr>
              <w:pStyle w:val="Compact"/>
            </w:pPr>
            <w:r>
              <w:t xml:space="preserve">Exact fields and refusal only</w:t>
            </w:r>
          </w:p>
        </w:tc>
        <w:tc>
          <w:tcPr/>
          <w:p>
            <w:pPr>
              <w:pStyle w:val="Compact"/>
            </w:pPr>
            <w:r>
              <w:t xml:space="preserve">Ceiling/floor for fully contractable tasks</w:t>
            </w:r>
          </w:p>
        </w:tc>
        <w:tc>
          <w:tcPr/>
          <w:p>
            <w:pPr>
              <w:pStyle w:val="Compact"/>
            </w:pPr>
            <w:r>
              <w:t xml:space="preserve">Evaluate only on exact-field and refusal-eligible subsets,</w:t>
            </w:r>
            <w:r>
              <w:t xml:space="preserve"> </w:t>
            </w:r>
            <w:r>
              <w:rPr>
                <w:b/>
                <w:bCs/>
              </w:rPr>
              <w:t xml:space="preserve">not</w:t>
            </w:r>
            <w:r>
              <w:t xml:space="preserve"> </w:t>
            </w:r>
            <w:r>
              <w:t xml:space="preserve">mixed-intent queries</w:t>
            </w:r>
          </w:p>
        </w:tc>
        <w:tc>
          <w:tcPr/>
          <w:p>
            <w:pPr>
              <w:pStyle w:val="Compact"/>
            </w:pPr>
            <w:r>
              <w:t xml:space="preserve">Reviewer judgment</w:t>
            </w:r>
          </w:p>
        </w:tc>
      </w:tr>
    </w:tbl>
    <w:p>
      <w:pPr>
        <w:pStyle w:val="BodyText"/>
      </w:pPr>
      <w:r>
        <w:rPr>
          <w:b/>
          <w:bCs/>
        </w:rPr>
        <w:t xml:space="preserve">Allowed and forbidden claims.</w:t>
      </w:r>
      <w:r>
        <w:br/>
      </w:r>
      <w:r>
        <w:t xml:space="preserve">The metric design should explicitly constrain the claims the paper makes.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 or outcome</w:t>
            </w:r>
          </w:p>
        </w:tc>
        <w:tc>
          <w:tcPr/>
          <w:p>
            <w:pPr>
              <w:pStyle w:val="Compact"/>
            </w:pPr>
            <w:r>
              <w:t xml:space="preserve">What it can support</w:t>
            </w:r>
          </w:p>
        </w:tc>
        <w:tc>
          <w:tcPr/>
          <w:p>
            <w:pPr>
              <w:pStyle w:val="Compact"/>
            </w:pPr>
            <w:r>
              <w:t xml:space="preserve">What it cannot support</w:t>
            </w:r>
          </w:p>
        </w:tc>
        <w:tc>
          <w:tcPr/>
          <w:p>
            <w:pPr>
              <w:pStyle w:val="Compact"/>
            </w:pPr>
            <w:r>
              <w:t xml:space="preserve">Basis</w:t>
            </w:r>
          </w:p>
        </w:tc>
      </w:tr>
      <w:tr>
        <w:tc>
          <w:tcPr/>
          <w:p>
            <w:pPr>
              <w:pStyle w:val="Compact"/>
            </w:pPr>
            <w:r>
              <w:rPr>
                <w:rStyle w:val="VerbatimChar"/>
              </w:rPr>
              <w:t xml:space="preserve">evidence_to_output_fidelity</w:t>
            </w:r>
          </w:p>
        </w:tc>
        <w:tc>
          <w:tcPr/>
          <w:p>
            <w:pPr>
              <w:pStyle w:val="Compact"/>
            </w:pPr>
            <w:r>
              <w:t xml:space="preserve">“The deterministic renderer preserved supplied evidence under the contract”</w:t>
            </w:r>
          </w:p>
        </w:tc>
        <w:tc>
          <w:tcPr/>
          <w:p>
            <w:pPr>
              <w:pStyle w:val="Compact"/>
            </w:pPr>
            <w:r>
              <w:t xml:space="preserve">“The evidence itself was semantically correct”</w:t>
            </w:r>
          </w:p>
        </w:tc>
        <w:tc>
          <w:tcPr/>
          <w:p>
            <w:pPr>
              <w:pStyle w:val="Compact"/>
            </w:pPr>
            <w:r>
              <w:t xml:space="preserve">Source-supported distinction between support/verifiability and correctness</w:t>
            </w:r>
            <w:r>
              <w:t xml:space="preserve"> </w:t>
            </w:r>
            <w:hyperlink r:id="rId24">
              <w:r>
                <w:rPr>
                  <w:rStyle w:val="Hyperlink"/>
                </w:rPr>
                <w:t xml:space="preserve">[5]</w:t>
              </w:r>
            </w:hyperlink>
          </w:p>
        </w:tc>
      </w:tr>
      <w:tr>
        <w:tc>
          <w:tcPr/>
          <w:p>
            <w:pPr>
              <w:pStyle w:val="Compact"/>
            </w:pPr>
            <w:r>
              <w:rPr>
                <w:rStyle w:val="VerbatimChar"/>
              </w:rPr>
              <w:t xml:space="preserve">evidence_correctness</w:t>
            </w:r>
            <w:r>
              <w:t xml:space="preserve"> </w:t>
            </w:r>
            <w:r>
              <w:t xml:space="preserve">or source audit</w:t>
            </w:r>
          </w:p>
        </w:tc>
        <w:tc>
          <w:tcPr/>
          <w:p>
            <w:pPr>
              <w:pStyle w:val="Compact"/>
            </w:pPr>
            <w:r>
              <w:t xml:space="preserve">“The supplied evidence was correct relative to source records”</w:t>
            </w:r>
          </w:p>
        </w:tc>
        <w:tc>
          <w:tcPr/>
          <w:p>
            <w:pPr>
              <w:pStyle w:val="Compact"/>
            </w:pPr>
            <w:r>
              <w:t xml:space="preserve">“The system determines truth in general”</w:t>
            </w:r>
          </w:p>
        </w:tc>
        <w:tc>
          <w:tcPr/>
          <w:p>
            <w:pPr>
              <w:pStyle w:val="Compact"/>
            </w:pPr>
            <w:r>
              <w:t xml:space="preserve">Attribution and citation-evaluation literature</w:t>
            </w:r>
            <w:r>
              <w:t xml:space="preserve"> </w:t>
            </w:r>
            <w:hyperlink r:id="rId24">
              <w:r>
                <w:rPr>
                  <w:rStyle w:val="Hyperlink"/>
                </w:rPr>
                <w:t xml:space="preserve">[7]</w:t>
              </w:r>
            </w:hyperlink>
          </w:p>
        </w:tc>
      </w:tr>
      <w:tr>
        <w:tc>
          <w:tcPr/>
          <w:p>
            <w:pPr>
              <w:pStyle w:val="Compact"/>
            </w:pPr>
            <w:r>
              <w:t xml:space="preserve">Correct refusal / under-refusal / over-refusal</w:t>
            </w:r>
          </w:p>
        </w:tc>
        <w:tc>
          <w:tcPr/>
          <w:p>
            <w:pPr>
              <w:pStyle w:val="Compact"/>
            </w:pPr>
            <w:r>
              <w:t xml:space="preserve">“Deterministic refusal reduced under-refusal on this controlled fixture”</w:t>
            </w:r>
          </w:p>
        </w:tc>
        <w:tc>
          <w:tcPr/>
          <w:p>
            <w:pPr>
              <w:pStyle w:val="Compact"/>
            </w:pPr>
            <w:r>
              <w:t xml:space="preserve">“Hybrid lanes solve hallucination”</w:t>
            </w:r>
          </w:p>
        </w:tc>
        <w:tc>
          <w:tcPr/>
          <w:p>
            <w:pPr>
              <w:pStyle w:val="Compact"/>
            </w:pPr>
            <w:r>
              <w:t xml:space="preserve">Abstention and sufficient-context literature</w:t>
            </w:r>
            <w:r>
              <w:t xml:space="preserve"> </w:t>
            </w:r>
            <w:hyperlink r:id="rId22">
              <w:r>
                <w:rPr>
                  <w:rStyle w:val="Hyperlink"/>
                </w:rPr>
                <w:t xml:space="preserve">[6]</w:t>
              </w:r>
            </w:hyperlink>
          </w:p>
        </w:tc>
      </w:tr>
      <w:tr>
        <w:tc>
          <w:tcPr/>
          <w:p>
            <w:pPr>
              <w:pStyle w:val="Compact"/>
            </w:pPr>
            <w:r>
              <w:t xml:space="preserve">Warm end-to-end latency</w:t>
            </w:r>
          </w:p>
        </w:tc>
        <w:tc>
          <w:tcPr/>
          <w:p>
            <w:pPr>
              <w:pStyle w:val="Compact"/>
            </w:pPr>
            <w:r>
              <w:t xml:space="preserve">“Deterministic lanes reduced warm user-visible latency for eligible tasks”</w:t>
            </w:r>
          </w:p>
        </w:tc>
        <w:tc>
          <w:tcPr/>
          <w:p>
            <w:pPr>
              <w:pStyle w:val="Compact"/>
            </w:pPr>
            <w:r>
              <w:t xml:space="preserve">“Qwen generation is faster” when generation was skipped</w:t>
            </w:r>
          </w:p>
        </w:tc>
        <w:tc>
          <w:tcPr/>
          <w:p>
            <w:pPr>
              <w:pStyle w:val="Compact"/>
            </w:pPr>
            <w:r>
              <w:t xml:space="preserve">WebLLM and latency-decomposition literature</w:t>
            </w:r>
            <w:r>
              <w:t xml:space="preserve"> </w:t>
            </w:r>
            <w:hyperlink r:id="rId25">
              <w:r>
                <w:rPr>
                  <w:rStyle w:val="Hyperlink"/>
                </w:rPr>
                <w:t xml:space="preserve">[8]</w:t>
              </w:r>
            </w:hyperlink>
          </w:p>
        </w:tc>
      </w:tr>
      <w:tr>
        <w:tc>
          <w:tcPr/>
          <w:p>
            <w:pPr>
              <w:pStyle w:val="Compact"/>
            </w:pPr>
            <w:r>
              <w:t xml:space="preserve">Human helpfulness ratings</w:t>
            </w:r>
          </w:p>
        </w:tc>
        <w:tc>
          <w:tcPr/>
          <w:p>
            <w:pPr>
              <w:pStyle w:val="Compact"/>
            </w:pPr>
            <w:r>
              <w:t xml:space="preserve">“Reviewers preferred X on this fixture under this rubric”</w:t>
            </w:r>
          </w:p>
        </w:tc>
        <w:tc>
          <w:tcPr/>
          <w:p>
            <w:pPr>
              <w:pStyle w:val="Compact"/>
            </w:pPr>
            <w:r>
              <w:t xml:space="preserve">“Users in general trust or prefer X”</w:t>
            </w:r>
          </w:p>
        </w:tc>
        <w:tc>
          <w:tcPr/>
          <w:p>
            <w:pPr>
              <w:pStyle w:val="Compact"/>
            </w:pPr>
            <w:r>
              <w:t xml:space="preserve">Human-evaluation and HAI literature</w:t>
            </w:r>
            <w:r>
              <w:t xml:space="preserve"> </w:t>
            </w:r>
            <w:hyperlink r:id="rId26">
              <w:r>
                <w:rPr>
                  <w:rStyle w:val="Hyperlink"/>
                </w:rPr>
                <w:t xml:space="preserve">[9]</w:t>
              </w:r>
            </w:hyperlink>
          </w:p>
        </w:tc>
      </w:tr>
      <w:tr>
        <w:tc>
          <w:tcPr/>
          <w:p>
            <w:pPr>
              <w:pStyle w:val="Compact"/>
            </w:pPr>
            <w:r>
              <w:t xml:space="preserve">Fifty-query paired results</w:t>
            </w:r>
          </w:p>
        </w:tc>
        <w:tc>
          <w:tcPr/>
          <w:p>
            <w:pPr>
              <w:pStyle w:val="Compact"/>
            </w:pPr>
            <w:r>
              <w:t xml:space="preserve">“Exploratory paired differences on this fixture”</w:t>
            </w:r>
          </w:p>
        </w:tc>
        <w:tc>
          <w:tcPr/>
          <w:p>
            <w:pPr>
              <w:pStyle w:val="Compact"/>
            </w:pPr>
            <w:r>
              <w:t xml:space="preserve">“Statistical superiority is proven” or “findings generalize to all browser-local RAG systems”</w:t>
            </w:r>
          </w:p>
        </w:tc>
        <w:tc>
          <w:tcPr/>
          <w:p>
            <w:pPr>
              <w:pStyle w:val="Compact"/>
            </w:pPr>
            <w:r>
              <w:t xml:space="preserve">Statistical-testing and reproducibility guidance</w:t>
            </w:r>
            <w:r>
              <w:t xml:space="preserve"> </w:t>
            </w:r>
            <w:hyperlink r:id="rId27">
              <w:r>
                <w:rPr>
                  <w:rStyle w:val="Hyperlink"/>
                </w:rPr>
                <w:t xml:space="preserve">[10]</w:t>
              </w:r>
            </w:hyperlink>
          </w:p>
        </w:tc>
      </w:tr>
    </w:tbl>
    <w:bookmarkEnd w:id="28"/>
    <w:bookmarkStart w:id="33" w:name="experimental-design-audit"/>
    <w:p>
      <w:pPr>
        <w:pStyle w:val="Heading2"/>
      </w:pPr>
      <w:r>
        <w:t xml:space="preserve">Experimental design audit</w:t>
      </w:r>
    </w:p>
    <w:p>
      <w:pPr>
        <w:pStyle w:val="FirstParagraph"/>
      </w:pPr>
      <w:r>
        <w:rPr>
          <w:b/>
          <w:bCs/>
        </w:rPr>
        <w:t xml:space="preserve">Validity of the three-condition ablation.</w:t>
      </w:r>
      <w:r>
        <w:br/>
      </w:r>
      <w:r>
        <w:t xml:space="preserve">The ablation is</w:t>
      </w:r>
      <w:r>
        <w:t xml:space="preserve"> </w:t>
      </w:r>
      <w:r>
        <w:rPr>
          <w:b/>
          <w:bCs/>
        </w:rPr>
        <w:t xml:space="preserve">conditionally internally valid</w:t>
      </w:r>
      <w:r>
        <w:t xml:space="preserve">, not automatically valid. Condition 2 can cleanly isolate deterministic evidence-field rendering only if the baseline is not allowed to differ in visible structure, answer slots, or evidence exposure. If Condition 1 is free-form while Condition 2 renders a fixed field skeleton, then the comparison conflates determinism with formatting discipline. The cleanest design is a</w:t>
      </w:r>
      <w:r>
        <w:t xml:space="preserve"> </w:t>
      </w:r>
      <w:r>
        <w:rPr>
          <w:b/>
          <w:bCs/>
        </w:rPr>
        <w:t xml:space="preserve">format-matched generative baseline</w:t>
      </w:r>
      <w:r>
        <w:t xml:space="preserve">: the same answer sections, labels, and field prompts appear in all conditions, but in Condition 1 the model must generate every value itself. That makes Condition 1 neither artificially weak nor secretly semi-deterministic.</w:t>
      </w:r>
      <w:r>
        <w:t xml:space="preserve"> </w:t>
      </w:r>
      <w:hyperlink r:id="rId29">
        <w:r>
          <w:rPr>
            <w:rStyle w:val="Hyperlink"/>
          </w:rPr>
          <w:t xml:space="preserve">[11]</w:t>
        </w:r>
      </w:hyperlink>
    </w:p>
    <w:p>
      <w:pPr>
        <w:pStyle w:val="BodyText"/>
      </w:pPr>
      <w:r>
        <w:t xml:space="preserve">Condition 3 can cleanly isolate deterministic refusal only if it inherits the identical evidence packet, packet order, prompt scaffolding, and output layout from Condition 2, changing only the refusal controller. Selective-QA and sufficient-context work both show that abstention behavior is sensitive to context sufficiency and calibration, so any change in retrieval, context packing, or even refusal wording can masquerade as a refusal-policy effect.</w:t>
      </w:r>
      <w:r>
        <w:t xml:space="preserve"> </w:t>
      </w:r>
      <w:hyperlink r:id="rId22">
        <w:r>
          <w:rPr>
            <w:rStyle w:val="Hyperlink"/>
          </w:rPr>
          <w:t xml:space="preserve">[12]</w:t>
        </w:r>
      </w:hyperlink>
    </w:p>
    <w:p>
      <w:pPr>
        <w:pStyle w:val="BodyText"/>
      </w:pPr>
      <w:r>
        <w:t xml:space="preserve">All three conditions should therefore receive the</w:t>
      </w:r>
      <w:r>
        <w:t xml:space="preserve"> </w:t>
      </w:r>
      <w:r>
        <w:rPr>
          <w:b/>
          <w:bCs/>
        </w:rPr>
        <w:t xml:space="preserve">same retrieved evidence packet</w:t>
      </w:r>
      <w:r>
        <w:t xml:space="preserve">, byte-identical if possible, including record order, nulls, contradictions, source-audit flags, and the exact snippet set that the packet represents. The runtime may skip model generation in some lanes, but that should happen</w:t>
      </w:r>
      <w:r>
        <w:t xml:space="preserve"> </w:t>
      </w:r>
      <w:r>
        <w:rPr>
          <w:b/>
          <w:bCs/>
        </w:rPr>
        <w:t xml:space="preserve">after</w:t>
      </w:r>
      <w:r>
        <w:t xml:space="preserve"> </w:t>
      </w:r>
      <w:r>
        <w:t xml:space="preserve">the evidence packet is frozen and logged. Without this, “hybrid” may simply mean “different evidence went in.” That would break the ablation more profoundly than any prompt difference. This recommendation is reviewer judgment, but it is directly motivated by attribution and citation-evaluation work, which treats support quality as inseparable from the exact evidence provided.</w:t>
      </w:r>
      <w:r>
        <w:t xml:space="preserve"> </w:t>
      </w:r>
      <w:hyperlink r:id="rId24">
        <w:r>
          <w:rPr>
            <w:rStyle w:val="Hyperlink"/>
          </w:rPr>
          <w:t xml:space="preserve">[5]</w:t>
        </w:r>
      </w:hyperlink>
    </w:p>
    <w:p>
      <w:pPr>
        <w:pStyle w:val="BodyText"/>
      </w:pPr>
      <w:r>
        <w:t xml:space="preserve">Order also matters. Human-evaluation best-practice work warns that within-subject designs are vulnerable to fatigue, practice, carryover, and fixed-order effects, and recommends randomization or counterbalancing. For this study, there are two distinct order problems:</w:t>
      </w:r>
      <w:r>
        <w:t xml:space="preserve"> </w:t>
      </w:r>
      <w:r>
        <w:rPr>
          <w:b/>
          <w:bCs/>
        </w:rPr>
        <w:t xml:space="preserve">execution order</w:t>
      </w:r>
      <w:r>
        <w:t xml:space="preserve"> </w:t>
      </w:r>
      <w:r>
        <w:t xml:space="preserve">for latency and</w:t>
      </w:r>
      <w:r>
        <w:t xml:space="preserve"> </w:t>
      </w:r>
      <w:r>
        <w:rPr>
          <w:b/>
          <w:bCs/>
        </w:rPr>
        <w:t xml:space="preserve">review order</w:t>
      </w:r>
      <w:r>
        <w:t xml:space="preserve"> </w:t>
      </w:r>
      <w:r>
        <w:t xml:space="preserve">for human scoring. Execution order should be randomized or balanced across conditions to reduce warmup and caching bias. Review order should be blind and randomized so raters do not systematically compare one named condition first.</w:t>
      </w:r>
      <w:r>
        <w:t xml:space="preserve"> </w:t>
      </w:r>
      <w:hyperlink r:id="rId23">
        <w:r>
          <w:rPr>
            <w:rStyle w:val="Hyperlink"/>
          </w:rPr>
          <w:t xml:space="preserve">[13]</w:t>
        </w:r>
      </w:hyperlink>
    </w:p>
    <w:p>
      <w:pPr>
        <w:pStyle w:val="BodyText"/>
      </w:pPr>
      <w:r>
        <w:t xml:space="preserve">The all-generation baseline</w:t>
      </w:r>
      <w:r>
        <w:t xml:space="preserve"> </w:t>
      </w:r>
      <w:r>
        <w:rPr>
          <w:b/>
          <w:bCs/>
        </w:rPr>
        <w:t xml:space="preserve">does need structured-output prompting</w:t>
      </w:r>
      <w:r>
        <w:t xml:space="preserve">, but not validator-enforced structured output that effectively turns it into a deterministic system. The right compromise is: same section schema and same required visible fields, but no hard parser rescue, post-hoc coercion, or function-call scaffolding that silently repairs model failures. That choice is reviewer judgment, but it is the only way to preserve the isolation logic.</w:t>
      </w:r>
    </w:p>
    <w:p>
      <w:pPr>
        <w:pStyle w:val="BodyText"/>
      </w:pPr>
      <w:r>
        <w:t xml:space="preserve">An all-deterministic counterfactual is</w:t>
      </w:r>
      <w:r>
        <w:t xml:space="preserve"> </w:t>
      </w:r>
      <w:r>
        <w:rPr>
          <w:b/>
          <w:bCs/>
        </w:rPr>
        <w:t xml:space="preserve">not required as a primary baseline</w:t>
      </w:r>
      <w:r>
        <w:t xml:space="preserve">, but it is worth adding as an</w:t>
      </w:r>
      <w:r>
        <w:t xml:space="preserve"> </w:t>
      </w:r>
      <w:r>
        <w:rPr>
          <w:b/>
          <w:bCs/>
        </w:rPr>
        <w:t xml:space="preserve">optional fourth diagnostic condition</w:t>
      </w:r>
      <w:r>
        <w:t xml:space="preserve"> </w:t>
      </w:r>
      <w:r>
        <w:t xml:space="preserve">for exact-field and refusal-only subsets. It would not answer the main paper question, because the paper is about hybrid lanes, not full determinism. But it would show the maximum attainable contract compliance where generation is unnecessary, and it would prevent reviewers from asking whether the hybrid effect is simply “more determinism is always better.” That is a useful appendix experiment, not a main contrast.</w:t>
      </w:r>
    </w:p>
    <w:p>
      <w:pPr>
        <w:pStyle w:val="BodyText"/>
      </w:pPr>
      <w:r>
        <w:rPr>
          <w:b/>
          <w:bCs/>
        </w:rPr>
        <w:t xml:space="preserve">Confounds to control.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Confound</w:t>
            </w:r>
          </w:p>
        </w:tc>
        <w:tc>
          <w:tcPr/>
          <w:p>
            <w:pPr>
              <w:pStyle w:val="Compact"/>
            </w:pPr>
            <w:r>
              <w:t xml:space="preserve">Why it matters</w:t>
            </w:r>
          </w:p>
        </w:tc>
        <w:tc>
          <w:tcPr/>
          <w:p>
            <w:pPr>
              <w:pStyle w:val="Compact"/>
            </w:pPr>
            <w:r>
              <w:t xml:space="preserve">Control</w:t>
            </w:r>
          </w:p>
        </w:tc>
        <w:tc>
          <w:tcPr/>
          <w:p>
            <w:pPr>
              <w:pStyle w:val="Compact"/>
            </w:pPr>
            <w:r>
              <w:t xml:space="preserve">Basis</w:t>
            </w:r>
          </w:p>
        </w:tc>
      </w:tr>
      <w:tr>
        <w:tc>
          <w:tcPr/>
          <w:p>
            <w:pPr>
              <w:pStyle w:val="Compact"/>
            </w:pPr>
            <w:r>
              <w:t xml:space="preserve">Different answer layouts across conditions</w:t>
            </w:r>
          </w:p>
        </w:tc>
        <w:tc>
          <w:tcPr/>
          <w:p>
            <w:pPr>
              <w:pStyle w:val="Compact"/>
            </w:pPr>
            <w:r>
              <w:t xml:space="preserve">Can inflate Condition 2 merely because fields are easier to judge or fill</w:t>
            </w:r>
          </w:p>
        </w:tc>
        <w:tc>
          <w:tcPr/>
          <w:p>
            <w:pPr>
              <w:pStyle w:val="Compact"/>
            </w:pPr>
            <w:r>
              <w:t xml:space="preserve">Use one visible answer schema in all conditions</w:t>
            </w:r>
          </w:p>
        </w:tc>
        <w:tc>
          <w:tcPr/>
          <w:p>
            <w:pPr>
              <w:pStyle w:val="Compact"/>
            </w:pPr>
            <w:r>
              <w:t xml:space="preserve">Reviewer judgment; aligned with paired comparison practice</w:t>
            </w:r>
            <w:r>
              <w:t xml:space="preserve"> </w:t>
            </w:r>
            <w:hyperlink r:id="rId30">
              <w:r>
                <w:rPr>
                  <w:rStyle w:val="Hyperlink"/>
                </w:rPr>
                <w:t xml:space="preserve">[14]</w:t>
              </w:r>
            </w:hyperlink>
          </w:p>
        </w:tc>
      </w:tr>
      <w:tr>
        <w:tc>
          <w:tcPr/>
          <w:p>
            <w:pPr>
              <w:pStyle w:val="Compact"/>
            </w:pPr>
            <w:r>
              <w:t xml:space="preserve">Different evidence packet structure or ordering</w:t>
            </w:r>
          </w:p>
        </w:tc>
        <w:tc>
          <w:tcPr/>
          <w:p>
            <w:pPr>
              <w:pStyle w:val="Compact"/>
            </w:pPr>
            <w:r>
              <w:t xml:space="preserve">Changes support burden, not just rendering</w:t>
            </w:r>
          </w:p>
        </w:tc>
        <w:tc>
          <w:tcPr/>
          <w:p>
            <w:pPr>
              <w:pStyle w:val="Compact"/>
            </w:pPr>
            <w:r>
              <w:t xml:space="preserve">Freeze and reuse identical evidence packets across conditions</w:t>
            </w:r>
          </w:p>
        </w:tc>
        <w:tc>
          <w:tcPr/>
          <w:p>
            <w:pPr>
              <w:pStyle w:val="Compact"/>
            </w:pPr>
            <w:r>
              <w:t xml:space="preserve">Reviewer judgment informed by attribution/verifiability work</w:t>
            </w:r>
            <w:r>
              <w:t xml:space="preserve"> </w:t>
            </w:r>
            <w:hyperlink r:id="rId24">
              <w:r>
                <w:rPr>
                  <w:rStyle w:val="Hyperlink"/>
                </w:rPr>
                <w:t xml:space="preserve">[15]</w:t>
              </w:r>
            </w:hyperlink>
          </w:p>
        </w:tc>
      </w:tr>
      <w:tr>
        <w:tc>
          <w:tcPr/>
          <w:p>
            <w:pPr>
              <w:pStyle w:val="Compact"/>
            </w:pPr>
            <w:r>
              <w:t xml:space="preserve">Different prompt length or prompts that reveal lane expectations</w:t>
            </w:r>
          </w:p>
        </w:tc>
        <w:tc>
          <w:tcPr/>
          <w:p>
            <w:pPr>
              <w:pStyle w:val="Compact"/>
            </w:pPr>
            <w:r>
              <w:t xml:space="preserve">Can alter generation quality and refusal propensity</w:t>
            </w:r>
          </w:p>
        </w:tc>
        <w:tc>
          <w:tcPr/>
          <w:p>
            <w:pPr>
              <w:pStyle w:val="Compact"/>
            </w:pPr>
            <w:r>
              <w:t xml:space="preserve">Freeze a prompt pack per condition and minimize non-essential differences</w:t>
            </w:r>
          </w:p>
        </w:tc>
        <w:tc>
          <w:tcPr/>
          <w:p>
            <w:pPr>
              <w:pStyle w:val="Compact"/>
            </w:pPr>
            <w:r>
              <w:t xml:space="preserve">Reviewer judgment</w:t>
            </w:r>
          </w:p>
        </w:tc>
      </w:tr>
      <w:tr>
        <w:tc>
          <w:tcPr/>
          <w:p>
            <w:pPr>
              <w:pStyle w:val="Compact"/>
            </w:pPr>
            <w:r>
              <w:t xml:space="preserve">Fixed condition order</w:t>
            </w:r>
          </w:p>
        </w:tc>
        <w:tc>
          <w:tcPr/>
          <w:p>
            <w:pPr>
              <w:pStyle w:val="Compact"/>
            </w:pPr>
            <w:r>
              <w:t xml:space="preserve">Confounds latency with warmup/caching and review with order effects</w:t>
            </w:r>
          </w:p>
        </w:tc>
        <w:tc>
          <w:tcPr/>
          <w:p>
            <w:pPr>
              <w:pStyle w:val="Compact"/>
            </w:pPr>
            <w:r>
              <w:t xml:space="preserve">Randomize or balanced-counterbalance condition order</w:t>
            </w:r>
          </w:p>
        </w:tc>
        <w:tc>
          <w:tcPr/>
          <w:p>
            <w:pPr>
              <w:pStyle w:val="Compact"/>
            </w:pPr>
            <w:r>
              <w:t xml:space="preserve">Source-supported</w:t>
            </w:r>
            <w:r>
              <w:t xml:space="preserve"> </w:t>
            </w:r>
            <w:hyperlink r:id="rId23">
              <w:r>
                <w:rPr>
                  <w:rStyle w:val="Hyperlink"/>
                </w:rPr>
                <w:t xml:space="preserve">[13]</w:t>
              </w:r>
            </w:hyperlink>
          </w:p>
        </w:tc>
      </w:tr>
      <w:tr>
        <w:tc>
          <w:tcPr/>
          <w:p>
            <w:pPr>
              <w:pStyle w:val="Compact"/>
            </w:pPr>
            <w:r>
              <w:t xml:space="preserve">Reviewer awareness of condition</w:t>
            </w:r>
          </w:p>
        </w:tc>
        <w:tc>
          <w:tcPr/>
          <w:p>
            <w:pPr>
              <w:pStyle w:val="Compact"/>
            </w:pPr>
            <w:r>
              <w:t xml:space="preserve">Encourages expectation and novelty bias</w:t>
            </w:r>
          </w:p>
        </w:tc>
        <w:tc>
          <w:tcPr/>
          <w:p>
            <w:pPr>
              <w:pStyle w:val="Compact"/>
            </w:pPr>
            <w:r>
              <w:t xml:space="preserve">Blind condition IDs and hide routing traces from raters</w:t>
            </w:r>
          </w:p>
        </w:tc>
        <w:tc>
          <w:tcPr/>
          <w:p>
            <w:pPr>
              <w:pStyle w:val="Compact"/>
            </w:pPr>
            <w:r>
              <w:t xml:space="preserve">Reviewer judgment aligned with human-eval bias literature</w:t>
            </w:r>
            <w:r>
              <w:t xml:space="preserve"> </w:t>
            </w:r>
            <w:hyperlink r:id="rId26">
              <w:r>
                <w:rPr>
                  <w:rStyle w:val="Hyperlink"/>
                </w:rPr>
                <w:t xml:space="preserve">[16]</w:t>
              </w:r>
            </w:hyperlink>
          </w:p>
        </w:tc>
      </w:tr>
      <w:tr>
        <w:tc>
          <w:tcPr/>
          <w:p>
            <w:pPr>
              <w:pStyle w:val="Compact"/>
            </w:pPr>
            <w:r>
              <w:t xml:space="preserve">Runtime visibility of</w:t>
            </w:r>
            <w:r>
              <w:t xml:space="preserve"> </w:t>
            </w:r>
            <w:r>
              <w:rPr>
                <w:rStyle w:val="VerbatimChar"/>
              </w:rPr>
              <w:t xml:space="preserve">expected_behavior</w:t>
            </w:r>
            <w:r>
              <w:t xml:space="preserve"> </w:t>
            </w:r>
            <w:r>
              <w:t xml:space="preserve">or gold intent</w:t>
            </w:r>
          </w:p>
        </w:tc>
        <w:tc>
          <w:tcPr/>
          <w:p>
            <w:pPr>
              <w:pStyle w:val="Compact"/>
            </w:pPr>
            <w:r>
              <w:t xml:space="preserve">Makes routing circular</w:t>
            </w:r>
          </w:p>
        </w:tc>
        <w:tc>
          <w:tcPr/>
          <w:p>
            <w:pPr>
              <w:pStyle w:val="Compact"/>
            </w:pPr>
            <w:r>
              <w:t xml:space="preserve">Keep evaluator labels out of runtime input</w:t>
            </w:r>
          </w:p>
        </w:tc>
        <w:tc>
          <w:tcPr/>
          <w:p>
            <w:pPr>
              <w:pStyle w:val="Compact"/>
            </w:pPr>
            <w:r>
              <w:t xml:space="preserve">Reviewer judgment</w:t>
            </w:r>
          </w:p>
        </w:tc>
      </w:tr>
      <w:tr>
        <w:tc>
          <w:tcPr/>
          <w:p>
            <w:pPr>
              <w:pStyle w:val="Compact"/>
            </w:pPr>
            <w:r>
              <w:t xml:space="preserve">Retrieval variability across reruns</w:t>
            </w:r>
          </w:p>
        </w:tc>
        <w:tc>
          <w:tcPr/>
          <w:p>
            <w:pPr>
              <w:pStyle w:val="Compact"/>
            </w:pPr>
            <w:r>
              <w:t xml:space="preserve">Turns a lane study into a retrieval study</w:t>
            </w:r>
          </w:p>
        </w:tc>
        <w:tc>
          <w:tcPr/>
          <w:p>
            <w:pPr>
              <w:pStyle w:val="Compact"/>
            </w:pPr>
            <w:r>
              <w:t xml:space="preserve">Cache or freeze retrieval outputs for the main ablation</w:t>
            </w:r>
          </w:p>
        </w:tc>
        <w:tc>
          <w:tcPr/>
          <w:p>
            <w:pPr>
              <w:pStyle w:val="Compact"/>
            </w:pPr>
            <w:r>
              <w:t xml:space="preserve">Reviewer judgment; consistent with reproducibility guidance</w:t>
            </w:r>
            <w:r>
              <w:t xml:space="preserve"> </w:t>
            </w:r>
            <w:hyperlink r:id="rId31">
              <w:r>
                <w:rPr>
                  <w:rStyle w:val="Hyperlink"/>
                </w:rPr>
                <w:t xml:space="preserve">[17]</w:t>
              </w:r>
            </w:hyperlink>
          </w:p>
        </w:tc>
      </w:tr>
    </w:tbl>
    <w:p>
      <w:pPr>
        <w:pStyle w:val="BodyText"/>
      </w:pPr>
      <w:r>
        <w:rPr>
          <w:b/>
          <w:bCs/>
        </w:rPr>
        <w:t xml:space="preserve">Rule-table and routing audit.</w:t>
      </w:r>
      <w:r>
        <w:br/>
      </w:r>
      <w:r>
        <w:t xml:space="preserve">A static rule table is the right</w:t>
      </w:r>
      <w:r>
        <w:t xml:space="preserve"> </w:t>
      </w:r>
      <w:r>
        <w:rPr>
          <w:b/>
          <w:bCs/>
        </w:rPr>
        <w:t xml:space="preserve">first-version methodology</w:t>
      </w:r>
      <w:r>
        <w:t xml:space="preserve">. For a first paper attempt, inspectability and repeatability matter more than adaptive routing sophistication. PRIMAD-style reproducibility thinking treats implementation, method, actor, and data as distinct experimental components; a versioned YAML rule table is much easier to freeze and audit than a learned router. ACM artifact guidance is equally clear that findings are not well established unless key artifacts can be independently reproduced, which strongly favors an explicit, version-controlled rule file at this stage.</w:t>
      </w:r>
      <w:r>
        <w:t xml:space="preserve"> </w:t>
      </w:r>
      <w:hyperlink r:id="rId31">
        <w:r>
          <w:rPr>
            <w:rStyle w:val="Hyperlink"/>
          </w:rPr>
          <w:t xml:space="preserve">[17]</w:t>
        </w:r>
      </w:hyperlink>
    </w:p>
    <w:p>
      <w:pPr>
        <w:pStyle w:val="BodyText"/>
      </w:pPr>
      <w:r>
        <w:t xml:space="preserve">That said, the rule table should be treated as a</w:t>
      </w:r>
      <w:r>
        <w:t xml:space="preserve"> </w:t>
      </w:r>
      <w:r>
        <w:rPr>
          <w:b/>
          <w:bCs/>
        </w:rPr>
        <w:t xml:space="preserve">pre-registered experimental artifact</w:t>
      </w:r>
      <w:r>
        <w:t xml:space="preserve">, not as a living convenience file. If rules are still being adjusted after inspecting condition outputs on the official 50-query set, the paper becomes an optimization-on-test-set story. This is especially dangerous because routing labels can become only one step removed from the expected behavior labels they are supposed to evaluate. The cleanest fix is to maintain a</w:t>
      </w:r>
      <w:r>
        <w:t xml:space="preserve"> </w:t>
      </w:r>
      <w:r>
        <w:rPr>
          <w:b/>
          <w:bCs/>
        </w:rPr>
        <w:t xml:space="preserve">development fixture</w:t>
      </w:r>
      <w:r>
        <w:t xml:space="preserve"> </w:t>
      </w:r>
      <w:r>
        <w:t xml:space="preserve">for authoring rules and a</w:t>
      </w:r>
      <w:r>
        <w:t xml:space="preserve"> </w:t>
      </w:r>
      <w:r>
        <w:rPr>
          <w:b/>
          <w:bCs/>
        </w:rPr>
        <w:t xml:space="preserve">sealed evaluation fixture</w:t>
      </w:r>
      <w:r>
        <w:t xml:space="preserve"> </w:t>
      </w:r>
      <w:r>
        <w:t xml:space="preserve">for reporting results. If resources are too tight for that split, the first 50-query milestone should be described only as exploratory. That recommendation is reviewer judgment, but it follows directly from reproducibility norms and from the overfitting risks that paired-comparison and evaluation-methodology work repeatedly highlights.</w:t>
      </w:r>
      <w:r>
        <w:t xml:space="preserve"> </w:t>
      </w:r>
      <w:hyperlink r:id="rId32">
        <w:r>
          <w:rPr>
            <w:rStyle w:val="Hyperlink"/>
          </w:rPr>
          <w:t xml:space="preserve">[18]</w:t>
        </w:r>
      </w:hyperlink>
    </w:p>
    <w:p>
      <w:pPr>
        <w:pStyle w:val="BodyText"/>
      </w:pPr>
      <w:r>
        <w:rPr>
          <w:rStyle w:val="VerbatimChar"/>
        </w:rPr>
        <w:t xml:space="preserve">routing_undefined</w:t>
      </w:r>
      <w:r>
        <w:t xml:space="preserve"> </w:t>
      </w:r>
      <w:r>
        <w:t xml:space="preserve">should be counted as a</w:t>
      </w:r>
      <w:r>
        <w:t xml:space="preserve"> </w:t>
      </w:r>
      <w:r>
        <w:rPr>
          <w:b/>
          <w:bCs/>
        </w:rPr>
        <w:t xml:space="preserve">separate routing failure</w:t>
      </w:r>
      <w:r>
        <w:t xml:space="preserve">, not automatically as a contract failure. A routing bug can propagate into a contract failure, but it is analytically cleaner to record both: first, the route decision failed; second, the downstream output may also have failed. This separation makes debugging and reporting much more informative.</w:t>
      </w:r>
    </w:p>
    <w:p>
      <w:pPr>
        <w:pStyle w:val="BodyText"/>
      </w:pPr>
      <w:r>
        <w:t xml:space="preserve">Gold intent labels should be assigned</w:t>
      </w:r>
      <w:r>
        <w:t xml:space="preserve"> </w:t>
      </w:r>
      <w:r>
        <w:rPr>
          <w:b/>
          <w:bCs/>
        </w:rPr>
        <w:t xml:space="preserve">independently of rule authors and independently of system outputs</w:t>
      </w:r>
      <w:r>
        <w:t xml:space="preserve">. The human-evaluation literature recommends independent expert annotation to expose ambiguous or under-specified guidelines before they become scoring noise. Here, the same principle applies to intent and lane gold labels.</w:t>
      </w:r>
      <w:r>
        <w:t xml:space="preserve"> </w:t>
      </w:r>
      <w:hyperlink r:id="rId26">
        <w:r>
          <w:rPr>
            <w:rStyle w:val="Hyperlink"/>
          </w:rPr>
          <w:t xml:space="preserve">[19]</w:t>
        </w:r>
      </w:hyperlink>
    </w:p>
    <w:p>
      <w:pPr>
        <w:pStyle w:val="BodyText"/>
      </w:pPr>
      <w:r>
        <w:t xml:space="preserve">Recommended additions to the rule table are straightforward:</w:t>
      </w:r>
      <w:r>
        <w:t xml:space="preserve"> </w:t>
      </w:r>
      <w:r>
        <w:rPr>
          <w:rStyle w:val="VerbatimChar"/>
        </w:rPr>
        <w:t xml:space="preserve">rule_id</w:t>
      </w:r>
      <w:r>
        <w:t xml:space="preserve">,</w:t>
      </w:r>
      <w:r>
        <w:t xml:space="preserve"> </w:t>
      </w:r>
      <w:r>
        <w:rPr>
          <w:rStyle w:val="VerbatimChar"/>
        </w:rPr>
        <w:t xml:space="preserve">rule_version</w:t>
      </w:r>
      <w:r>
        <w:t xml:space="preserve">,</w:t>
      </w:r>
      <w:r>
        <w:t xml:space="preserve"> </w:t>
      </w:r>
      <w:r>
        <w:rPr>
          <w:rStyle w:val="VerbatimChar"/>
        </w:rPr>
        <w:t xml:space="preserve">priority</w:t>
      </w:r>
      <w:r>
        <w:t xml:space="preserve">,</w:t>
      </w:r>
      <w:r>
        <w:t xml:space="preserve"> </w:t>
      </w:r>
      <w:r>
        <w:rPr>
          <w:rStyle w:val="VerbatimChar"/>
        </w:rPr>
        <w:t xml:space="preserve">trigger_predicates</w:t>
      </w:r>
      <w:r>
        <w:t xml:space="preserve">,</w:t>
      </w:r>
      <w:r>
        <w:t xml:space="preserve"> </w:t>
      </w:r>
      <w:r>
        <w:rPr>
          <w:rStyle w:val="VerbatimChar"/>
        </w:rPr>
        <w:t xml:space="preserve">required_evidence_fields</w:t>
      </w:r>
      <w:r>
        <w:t xml:space="preserve">,</w:t>
      </w:r>
      <w:r>
        <w:t xml:space="preserve"> </w:t>
      </w:r>
      <w:r>
        <w:rPr>
          <w:rStyle w:val="VerbatimChar"/>
        </w:rPr>
        <w:t xml:space="preserve">allowed_lane_family</w:t>
      </w:r>
      <w:r>
        <w:t xml:space="preserve">,</w:t>
      </w:r>
      <w:r>
        <w:t xml:space="preserve"> </w:t>
      </w:r>
      <w:r>
        <w:rPr>
          <w:rStyle w:val="VerbatimChar"/>
        </w:rPr>
        <w:t xml:space="preserve">fallback_if_undefined</w:t>
      </w:r>
      <w:r>
        <w:t xml:space="preserve">,</w:t>
      </w:r>
      <w:r>
        <w:t xml:space="preserve"> </w:t>
      </w:r>
      <w:r>
        <w:rPr>
          <w:rStyle w:val="VerbatimChar"/>
        </w:rPr>
        <w:t xml:space="preserve">refusal_action</w:t>
      </w:r>
      <w:r>
        <w:t xml:space="preserve">,</w:t>
      </w:r>
      <w:r>
        <w:t xml:space="preserve"> </w:t>
      </w:r>
      <w:r>
        <w:rPr>
          <w:rStyle w:val="VerbatimChar"/>
        </w:rPr>
        <w:t xml:space="preserve">required_placeholders</w:t>
      </w:r>
      <w:r>
        <w:t xml:space="preserve">,</w:t>
      </w:r>
      <w:r>
        <w:t xml:space="preserve"> </w:t>
      </w:r>
      <w:r>
        <w:rPr>
          <w:rStyle w:val="VerbatimChar"/>
        </w:rPr>
        <w:t xml:space="preserve">known_failure_modes</w:t>
      </w:r>
      <w:r>
        <w:t xml:space="preserve">,</w:t>
      </w:r>
      <w:r>
        <w:t xml:space="preserve"> </w:t>
      </w:r>
      <w:r>
        <w:rPr>
          <w:rStyle w:val="VerbatimChar"/>
        </w:rPr>
        <w:t xml:space="preserve">examples_in_scope</w:t>
      </w:r>
      <w:r>
        <w:t xml:space="preserve">,</w:t>
      </w:r>
      <w:r>
        <w:t xml:space="preserve"> </w:t>
      </w:r>
      <w:r>
        <w:rPr>
          <w:rStyle w:val="VerbatimChar"/>
        </w:rPr>
        <w:t xml:space="preserve">examples_out_of_scope</w:t>
      </w:r>
      <w:r>
        <w:t xml:space="preserve">, and a content hash for pre-registration. These additions are reviewer judgment.</w:t>
      </w:r>
    </w:p>
    <w:p>
      <w:pPr>
        <w:pStyle w:val="BodyText"/>
      </w:pPr>
      <w:r>
        <w:t xml:space="preserve">A useful routing confusion matrix should compare</w:t>
      </w:r>
      <w:r>
        <w:t xml:space="preserve"> </w:t>
      </w:r>
      <w:r>
        <w:rPr>
          <w:b/>
          <w:bCs/>
        </w:rPr>
        <w:t xml:space="preserve">gold lane family</w:t>
      </w:r>
      <w:r>
        <w:t xml:space="preserve"> </w:t>
      </w:r>
      <w:r>
        <w:t xml:space="preserve">against</w:t>
      </w:r>
      <w:r>
        <w:t xml:space="preserve"> </w:t>
      </w:r>
      <w:r>
        <w:rPr>
          <w:b/>
          <w:bCs/>
        </w:rPr>
        <w:t xml:space="preserve">actual lane family</w:t>
      </w:r>
      <w:r>
        <w:t xml:space="preserve"> </w:t>
      </w:r>
      <w:r>
        <w:t xml:space="preserve">using at least five buckets:</w:t>
      </w:r>
      <w:r>
        <w:t xml:space="preserve"> </w:t>
      </w:r>
      <w:r>
        <w:rPr>
          <w:rStyle w:val="VerbatimChar"/>
        </w:rPr>
        <w:t xml:space="preserve">deterministic_exact</w:t>
      </w:r>
      <w:r>
        <w:t xml:space="preserve">,</w:t>
      </w:r>
      <w:r>
        <w:t xml:space="preserve"> </w:t>
      </w:r>
      <w:r>
        <w:rPr>
          <w:rStyle w:val="VerbatimChar"/>
        </w:rPr>
        <w:t xml:space="preserve">deterministic_refusal</w:t>
      </w:r>
      <w:r>
        <w:t xml:space="preserve">,</w:t>
      </w:r>
      <w:r>
        <w:t xml:space="preserve"> </w:t>
      </w:r>
      <w:r>
        <w:rPr>
          <w:rStyle w:val="VerbatimChar"/>
        </w:rPr>
        <w:t xml:space="preserve">compound</w:t>
      </w:r>
      <w:r>
        <w:t xml:space="preserve">,</w:t>
      </w:r>
      <w:r>
        <w:t xml:space="preserve"> </w:t>
      </w:r>
      <w:r>
        <w:rPr>
          <w:rStyle w:val="VerbatimChar"/>
        </w:rPr>
        <w:t xml:space="preserve">generative_guidance</w:t>
      </w:r>
      <w:r>
        <w:t xml:space="preserve">, and</w:t>
      </w:r>
      <w:r>
        <w:t xml:space="preserve"> </w:t>
      </w:r>
      <w:r>
        <w:rPr>
          <w:rStyle w:val="VerbatimChar"/>
        </w:rPr>
        <w:t xml:space="preserve">undefined</w:t>
      </w:r>
      <w:r>
        <w:t xml:space="preserve">. Do not collapse refusal into general determinism, and do not collapse mixed-intent into ordinary generative. If you do, the most interesting routing errors disappear into averages.</w:t>
      </w:r>
    </w:p>
    <w:p>
      <w:pPr>
        <w:pStyle w:val="BodyText"/>
      </w:pPr>
      <w:r>
        <w:rPr>
          <w:b/>
          <w:bCs/>
        </w:rPr>
        <w:t xml:space="preserve">Fixture schema audit.</w:t>
      </w:r>
      <w:r>
        <w:br/>
      </w:r>
      <w:r>
        <w:t xml:space="preserve">A single canonical JSONL fixture is acceptable and can even be preferable for reproducibility, but only if it is treated as a</w:t>
      </w:r>
      <w:r>
        <w:t xml:space="preserve"> </w:t>
      </w:r>
      <w:r>
        <w:rPr>
          <w:b/>
          <w:bCs/>
        </w:rPr>
        <w:t xml:space="preserve">master artifact</w:t>
      </w:r>
      <w:r>
        <w:t xml:space="preserve"> </w:t>
      </w:r>
      <w:r>
        <w:t xml:space="preserve">from which two views are produced: a</w:t>
      </w:r>
      <w:r>
        <w:t xml:space="preserve"> </w:t>
      </w:r>
      <w:r>
        <w:rPr>
          <w:b/>
          <w:bCs/>
        </w:rPr>
        <w:t xml:space="preserve">runtime view</w:t>
      </w:r>
      <w:r>
        <w:t xml:space="preserve"> </w:t>
      </w:r>
      <w:r>
        <w:t xml:space="preserve">and an</w:t>
      </w:r>
      <w:r>
        <w:t xml:space="preserve"> </w:t>
      </w:r>
      <w:r>
        <w:rPr>
          <w:b/>
          <w:bCs/>
        </w:rPr>
        <w:t xml:space="preserve">evaluation view</w:t>
      </w:r>
      <w:r>
        <w:t xml:space="preserve">. The runtime must not see</w:t>
      </w:r>
      <w:r>
        <w:t xml:space="preserve"> </w:t>
      </w:r>
      <w:r>
        <w:rPr>
          <w:rStyle w:val="VerbatimChar"/>
        </w:rPr>
        <w:t xml:space="preserve">expected_behavior</w:t>
      </w:r>
      <w:r>
        <w:t xml:space="preserve">, gold</w:t>
      </w:r>
      <w:r>
        <w:t xml:space="preserve"> </w:t>
      </w:r>
      <w:r>
        <w:rPr>
          <w:rStyle w:val="VerbatimChar"/>
        </w:rPr>
        <w:t xml:space="preserve">intent_label</w:t>
      </w:r>
      <w:r>
        <w:t xml:space="preserve">, or any derived evaluator-only lane labels. If those fields are visible to the runner, the study risks becoming a test of whether the runtime can use the answer key. That is the single biggest schema-level threat in the current description.</w:t>
      </w:r>
    </w:p>
    <w:p>
      <w:pPr>
        <w:pStyle w:val="BodyText"/>
      </w:pPr>
      <w:r>
        <w:t xml:space="preserve">The schema also needs a firmer separation between</w:t>
      </w:r>
      <w:r>
        <w:t xml:space="preserve"> </w:t>
      </w:r>
      <w:r>
        <w:rPr>
          <w:b/>
          <w:bCs/>
        </w:rPr>
        <w:t xml:space="preserve">support state</w:t>
      </w:r>
      <w:r>
        <w:t xml:space="preserve">,</w:t>
      </w:r>
      <w:r>
        <w:t xml:space="preserve"> </w:t>
      </w:r>
      <w:r>
        <w:rPr>
          <w:b/>
          <w:bCs/>
        </w:rPr>
        <w:t xml:space="preserve">source-audit state</w:t>
      </w:r>
      <w:r>
        <w:t xml:space="preserve">, and</w:t>
      </w:r>
      <w:r>
        <w:t xml:space="preserve"> </w:t>
      </w:r>
      <w:r>
        <w:rPr>
          <w:b/>
          <w:bCs/>
        </w:rPr>
        <w:t xml:space="preserve">retrieval trace</w:t>
      </w:r>
      <w:r>
        <w:t xml:space="preserve">. Attribution and ALCE-style evaluation both assume that answer quality cannot be understood without the supporting evidence and its traceability; Sufficient Context similarly shows that insufficiency and misuse of context are different error sources. The fixture should therefore include the exact retrieved snippets, snippet-to-record mappings, source identifiers, and a decisive-field list for each query. Without that, retrieval failure and generation failure remain entangled.</w:t>
      </w:r>
      <w:r>
        <w:t xml:space="preserve"> </w:t>
      </w:r>
      <w:hyperlink r:id="rId24">
        <w:r>
          <w:rPr>
            <w:rStyle w:val="Hyperlink"/>
          </w:rPr>
          <w:t xml:space="preserve">[20]</w:t>
        </w:r>
      </w:hyperlink>
    </w:p>
    <w:p>
      <w:pPr>
        <w:pStyle w:val="BodyText"/>
      </w:pPr>
      <w:r>
        <w:t xml:space="preserve">The current schema, as described, also needs to represent contradiction and uncertainty more explicitly.</w:t>
      </w:r>
      <w:r>
        <w:t xml:space="preserve"> </w:t>
      </w:r>
      <w:r>
        <w:rPr>
          <w:rStyle w:val="VerbatimChar"/>
        </w:rPr>
        <w:t xml:space="preserve">aggregated_evidence_state</w:t>
      </w:r>
      <w:r>
        <w:t xml:space="preserve"> </w:t>
      </w:r>
      <w:r>
        <w:t xml:space="preserve">should never default to “sufficient.” It should be an explicit enum with no default, because default sufficiency silently hides the very risk the paper is trying to surface.</w:t>
      </w:r>
    </w:p>
    <w:p>
      <w:pPr>
        <w:pStyle w:val="BodyText"/>
      </w:pPr>
      <w:r>
        <w:t xml:space="preserve">A minimal canonical row should include</w:t>
      </w:r>
      <w:r>
        <w:t xml:space="preserve"> </w:t>
      </w:r>
      <w:r>
        <w:rPr>
          <w:rStyle w:val="VerbatimChar"/>
        </w:rPr>
        <w:t xml:space="preserve">query_id</w:t>
      </w:r>
      <w:r>
        <w:t xml:space="preserve">,</w:t>
      </w:r>
      <w:r>
        <w:t xml:space="preserve"> </w:t>
      </w:r>
      <w:r>
        <w:rPr>
          <w:rStyle w:val="VerbatimChar"/>
        </w:rPr>
        <w:t xml:space="preserve">query_text</w:t>
      </w:r>
      <w:r>
        <w:t xml:space="preserve">,</w:t>
      </w:r>
      <w:r>
        <w:t xml:space="preserve"> </w:t>
      </w:r>
      <w:r>
        <w:rPr>
          <w:rStyle w:val="VerbatimChar"/>
        </w:rPr>
        <w:t xml:space="preserve">task_family</w:t>
      </w:r>
      <w:r>
        <w:t xml:space="preserve">,</w:t>
      </w:r>
      <w:r>
        <w:t xml:space="preserve"> </w:t>
      </w:r>
      <w:r>
        <w:rPr>
          <w:rStyle w:val="VerbatimChar"/>
        </w:rPr>
        <w:t xml:space="preserve">evidence_packet</w:t>
      </w:r>
      <w:r>
        <w:t xml:space="preserve">,</w:t>
      </w:r>
      <w:r>
        <w:t xml:space="preserve"> </w:t>
      </w:r>
      <w:r>
        <w:rPr>
          <w:rStyle w:val="VerbatimChar"/>
        </w:rPr>
        <w:t xml:space="preserve">retrieval_trace</w:t>
      </w:r>
      <w:r>
        <w:t xml:space="preserve">,</w:t>
      </w:r>
      <w:r>
        <w:t xml:space="preserve"> </w:t>
      </w:r>
      <w:r>
        <w:rPr>
          <w:rStyle w:val="VerbatimChar"/>
        </w:rPr>
        <w:t xml:space="preserve">decisive_fields</w:t>
      </w:r>
      <w:r>
        <w:t xml:space="preserve">,</w:t>
      </w:r>
      <w:r>
        <w:t xml:space="preserve"> </w:t>
      </w:r>
      <w:r>
        <w:rPr>
          <w:rStyle w:val="VerbatimChar"/>
        </w:rPr>
        <w:t xml:space="preserve">field_state_checklist</w:t>
      </w:r>
      <w:r>
        <w:t xml:space="preserve">,</w:t>
      </w:r>
      <w:r>
        <w:t xml:space="preserve"> </w:t>
      </w:r>
      <w:r>
        <w:rPr>
          <w:rStyle w:val="VerbatimChar"/>
        </w:rPr>
        <w:t xml:space="preserve">record_level_source_audit_status</w:t>
      </w:r>
      <w:r>
        <w:t xml:space="preserve">,</w:t>
      </w:r>
      <w:r>
        <w:t xml:space="preserve"> </w:t>
      </w:r>
      <w:r>
        <w:rPr>
          <w:rStyle w:val="VerbatimChar"/>
        </w:rPr>
        <w:t xml:space="preserve">row_level_source_audit_summary</w:t>
      </w:r>
      <w:r>
        <w:t xml:space="preserve">,</w:t>
      </w:r>
      <w:r>
        <w:t xml:space="preserve"> </w:t>
      </w:r>
      <w:r>
        <w:rPr>
          <w:rStyle w:val="VerbatimChar"/>
        </w:rPr>
        <w:t xml:space="preserve">evidence_sufficiency_state</w:t>
      </w:r>
      <w:r>
        <w:t xml:space="preserve">,</w:t>
      </w:r>
      <w:r>
        <w:t xml:space="preserve"> </w:t>
      </w:r>
      <w:r>
        <w:rPr>
          <w:rStyle w:val="VerbatimChar"/>
        </w:rPr>
        <w:t xml:space="preserve">gold_lane_family</w:t>
      </w:r>
      <w:r>
        <w:t xml:space="preserve">,</w:t>
      </w:r>
      <w:r>
        <w:t xml:space="preserve"> </w:t>
      </w:r>
      <w:r>
        <w:rPr>
          <w:rStyle w:val="VerbatimChar"/>
        </w:rPr>
        <w:t xml:space="preserve">gold_refusal_action</w:t>
      </w:r>
      <w:r>
        <w:t xml:space="preserve">, and</w:t>
      </w:r>
      <w:r>
        <w:t xml:space="preserve"> </w:t>
      </w:r>
      <w:r>
        <w:rPr>
          <w:rStyle w:val="VerbatimChar"/>
        </w:rPr>
        <w:t xml:space="preserve">gold_deterministic_requirements</w:t>
      </w:r>
      <w:r>
        <w:t xml:space="preserve">. Synthetic and source-audited records should be explicitly distinguished.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Minimal fixture element</w:t>
            </w:r>
          </w:p>
        </w:tc>
        <w:tc>
          <w:tcPr/>
          <w:p>
            <w:pPr>
              <w:pStyle w:val="Compact"/>
            </w:pPr>
            <w:r>
              <w:t xml:space="preserve">Keep in runtime view</w:t>
            </w:r>
          </w:p>
        </w:tc>
        <w:tc>
          <w:tcPr/>
          <w:p>
            <w:pPr>
              <w:pStyle w:val="Compact"/>
            </w:pPr>
            <w:r>
              <w:t xml:space="preserve">Keep in evaluation view</w:t>
            </w:r>
          </w:p>
        </w:tc>
        <w:tc>
          <w:tcPr/>
          <w:p>
            <w:pPr>
              <w:pStyle w:val="Compact"/>
            </w:pPr>
            <w:r>
              <w:t xml:space="preserve">Why it is needed</w:t>
            </w:r>
          </w:p>
        </w:tc>
        <w:tc>
          <w:tcPr/>
          <w:p>
            <w:pPr>
              <w:pStyle w:val="Compact"/>
            </w:pPr>
            <w:r>
              <w:t xml:space="preserve">Basis</w:t>
            </w:r>
          </w:p>
        </w:tc>
      </w:tr>
      <w:tr>
        <w:tc>
          <w:tcPr/>
          <w:p>
            <w:pPr>
              <w:pStyle w:val="Compact"/>
            </w:pPr>
            <w:r>
              <w:rPr>
                <w:rStyle w:val="VerbatimChar"/>
              </w:rPr>
              <w:t xml:space="preserve">query_text</w:t>
            </w:r>
          </w:p>
        </w:tc>
        <w:tc>
          <w:tcPr/>
          <w:p>
            <w:pPr>
              <w:pStyle w:val="Compact"/>
            </w:pPr>
            <w:r>
              <w:t xml:space="preserve">Yes</w:t>
            </w:r>
          </w:p>
        </w:tc>
        <w:tc>
          <w:tcPr/>
          <w:p>
            <w:pPr>
              <w:pStyle w:val="Compact"/>
            </w:pPr>
            <w:r>
              <w:t xml:space="preserve">Yes</w:t>
            </w:r>
          </w:p>
        </w:tc>
        <w:tc>
          <w:tcPr/>
          <w:p>
            <w:pPr>
              <w:pStyle w:val="Compact"/>
            </w:pPr>
            <w:r>
              <w:t xml:space="preserve">Core input</w:t>
            </w:r>
          </w:p>
        </w:tc>
        <w:tc>
          <w:tcPr/>
          <w:p>
            <w:pPr>
              <w:pStyle w:val="Compact"/>
            </w:pPr>
            <w:r>
              <w:t xml:space="preserve">Prompt context</w:t>
            </w:r>
          </w:p>
        </w:tc>
      </w:tr>
      <w:tr>
        <w:tc>
          <w:tcPr/>
          <w:p>
            <w:pPr>
              <w:pStyle w:val="Compact"/>
            </w:pPr>
            <w:r>
              <w:rPr>
                <w:rStyle w:val="VerbatimChar"/>
              </w:rPr>
              <w:t xml:space="preserve">evidence_packet.records</w:t>
            </w:r>
          </w:p>
        </w:tc>
        <w:tc>
          <w:tcPr/>
          <w:p>
            <w:pPr>
              <w:pStyle w:val="Compact"/>
            </w:pPr>
            <w:r>
              <w:t xml:space="preserve">Yes</w:t>
            </w:r>
          </w:p>
        </w:tc>
        <w:tc>
          <w:tcPr/>
          <w:p>
            <w:pPr>
              <w:pStyle w:val="Compact"/>
            </w:pPr>
            <w:r>
              <w:t xml:space="preserve">Yes</w:t>
            </w:r>
          </w:p>
        </w:tc>
        <w:tc>
          <w:tcPr/>
          <w:p>
            <w:pPr>
              <w:pStyle w:val="Compact"/>
            </w:pPr>
            <w:r>
              <w:t xml:space="preserve">What the model or renderer is actually allowed to use</w:t>
            </w:r>
          </w:p>
        </w:tc>
        <w:tc>
          <w:tcPr/>
          <w:p>
            <w:pPr>
              <w:pStyle w:val="Compact"/>
            </w:pPr>
            <w:r>
              <w:t xml:space="preserve">Attribution-oriented evaluation requires exact support context</w:t>
            </w:r>
            <w:r>
              <w:t xml:space="preserve"> </w:t>
            </w:r>
            <w:hyperlink r:id="rId24">
              <w:r>
                <w:rPr>
                  <w:rStyle w:val="Hyperlink"/>
                </w:rPr>
                <w:t xml:space="preserve">[7]</w:t>
              </w:r>
            </w:hyperlink>
          </w:p>
        </w:tc>
      </w:tr>
      <w:tr>
        <w:tc>
          <w:tcPr/>
          <w:p>
            <w:pPr>
              <w:pStyle w:val="Compact"/>
            </w:pPr>
            <w:r>
              <w:t xml:space="preserve">Retrieved snippets with IDs and source pointers</w:t>
            </w:r>
          </w:p>
        </w:tc>
        <w:tc>
          <w:tcPr/>
          <w:p>
            <w:pPr>
              <w:pStyle w:val="Compact"/>
            </w:pPr>
            <w:r>
              <w:t xml:space="preserve">Yes</w:t>
            </w:r>
          </w:p>
        </w:tc>
        <w:tc>
          <w:tcPr/>
          <w:p>
            <w:pPr>
              <w:pStyle w:val="Compact"/>
            </w:pPr>
            <w:r>
              <w:t xml:space="preserve">Yes</w:t>
            </w:r>
          </w:p>
        </w:tc>
        <w:tc>
          <w:tcPr/>
          <w:p>
            <w:pPr>
              <w:pStyle w:val="Compact"/>
            </w:pPr>
            <w:r>
              <w:t xml:space="preserve">Separates retrieval failure from generation failure</w:t>
            </w:r>
          </w:p>
        </w:tc>
        <w:tc>
          <w:tcPr/>
          <w:p>
            <w:pPr>
              <w:pStyle w:val="Compact"/>
            </w:pPr>
            <w:r>
              <w:t xml:space="preserve">Source-supported recommendation</w:t>
            </w:r>
            <w:r>
              <w:t xml:space="preserve"> </w:t>
            </w:r>
            <w:hyperlink r:id="rId22">
              <w:r>
                <w:rPr>
                  <w:rStyle w:val="Hyperlink"/>
                </w:rPr>
                <w:t xml:space="preserve">[21]</w:t>
              </w:r>
            </w:hyperlink>
          </w:p>
        </w:tc>
      </w:tr>
      <w:tr>
        <w:tc>
          <w:tcPr/>
          <w:p>
            <w:pPr>
              <w:pStyle w:val="Compact"/>
            </w:pPr>
            <w:r>
              <w:rPr>
                <w:rStyle w:val="VerbatimChar"/>
              </w:rPr>
              <w:t xml:space="preserve">field_state_checklist</w:t>
            </w:r>
          </w:p>
        </w:tc>
        <w:tc>
          <w:tcPr/>
          <w:p>
            <w:pPr>
              <w:pStyle w:val="Compact"/>
            </w:pPr>
            <w:r>
              <w:t xml:space="preserve">Yes</w:t>
            </w:r>
          </w:p>
        </w:tc>
        <w:tc>
          <w:tcPr/>
          <w:p>
            <w:pPr>
              <w:pStyle w:val="Compact"/>
            </w:pPr>
            <w:r>
              <w:t xml:space="preserve">Yes</w:t>
            </w:r>
          </w:p>
        </w:tc>
        <w:tc>
          <w:tcPr/>
          <w:p>
            <w:pPr>
              <w:pStyle w:val="Compact"/>
            </w:pPr>
            <w:r>
              <w:t xml:space="preserve">Needed for deterministic rendering contract</w:t>
            </w:r>
          </w:p>
        </w:tc>
        <w:tc>
          <w:tcPr/>
          <w:p>
            <w:pPr>
              <w:pStyle w:val="Compact"/>
            </w:pPr>
            <w:r>
              <w:t xml:space="preserve">Reviewer judgment</w:t>
            </w:r>
          </w:p>
        </w:tc>
      </w:tr>
      <w:tr>
        <w:tc>
          <w:tcPr/>
          <w:p>
            <w:pPr>
              <w:pStyle w:val="Compact"/>
            </w:pPr>
            <w:r>
              <w:rPr>
                <w:rStyle w:val="VerbatimChar"/>
              </w:rPr>
              <w:t xml:space="preserve">record_level_source_audit_status</w:t>
            </w:r>
          </w:p>
        </w:tc>
        <w:tc>
          <w:tcPr/>
          <w:p>
            <w:pPr>
              <w:pStyle w:val="Compact"/>
            </w:pPr>
            <w:r>
              <w:t xml:space="preserve">Yes</w:t>
            </w:r>
          </w:p>
        </w:tc>
        <w:tc>
          <w:tcPr/>
          <w:p>
            <w:pPr>
              <w:pStyle w:val="Compact"/>
            </w:pPr>
            <w:r>
              <w:t xml:space="preserve">Yes</w:t>
            </w:r>
          </w:p>
        </w:tc>
        <w:tc>
          <w:tcPr/>
          <w:p>
            <w:pPr>
              <w:pStyle w:val="Compact"/>
            </w:pPr>
            <w:r>
              <w:t xml:space="preserve">Distinguishes fidelity from evidence correctness</w:t>
            </w:r>
          </w:p>
        </w:tc>
        <w:tc>
          <w:tcPr/>
          <w:p>
            <w:pPr>
              <w:pStyle w:val="Compact"/>
            </w:pPr>
            <w:r>
              <w:t xml:space="preserve">Source-supported distinction</w:t>
            </w:r>
            <w:r>
              <w:t xml:space="preserve"> </w:t>
            </w:r>
            <w:hyperlink r:id="rId24">
              <w:r>
                <w:rPr>
                  <w:rStyle w:val="Hyperlink"/>
                </w:rPr>
                <w:t xml:space="preserve">[15]</w:t>
              </w:r>
            </w:hyperlink>
          </w:p>
        </w:tc>
      </w:tr>
      <w:tr>
        <w:tc>
          <w:tcPr/>
          <w:p>
            <w:pPr>
              <w:pStyle w:val="Compact"/>
            </w:pPr>
            <w:r>
              <w:rPr>
                <w:rStyle w:val="VerbatimChar"/>
              </w:rPr>
              <w:t xml:space="preserve">aggregated_evidence_state</w:t>
            </w:r>
          </w:p>
        </w:tc>
        <w:tc>
          <w:tcPr/>
          <w:p>
            <w:pPr>
              <w:pStyle w:val="Compact"/>
            </w:pPr>
            <w:r>
              <w:t xml:space="preserve">Yes</w:t>
            </w:r>
          </w:p>
        </w:tc>
        <w:tc>
          <w:tcPr/>
          <w:p>
            <w:pPr>
              <w:pStyle w:val="Compact"/>
            </w:pPr>
            <w:r>
              <w:t xml:space="preserve">Yes</w:t>
            </w:r>
          </w:p>
        </w:tc>
        <w:tc>
          <w:tcPr/>
          <w:p>
            <w:pPr>
              <w:pStyle w:val="Compact"/>
            </w:pPr>
            <w:r>
              <w:t xml:space="preserve">Determines refusal eligibility</w:t>
            </w:r>
          </w:p>
        </w:tc>
        <w:tc>
          <w:tcPr/>
          <w:p>
            <w:pPr>
              <w:pStyle w:val="Compact"/>
            </w:pPr>
            <w:r>
              <w:t xml:space="preserve">Abstention-oriented evaluation</w:t>
            </w:r>
            <w:r>
              <w:t xml:space="preserve"> </w:t>
            </w:r>
            <w:hyperlink r:id="rId22">
              <w:r>
                <w:rPr>
                  <w:rStyle w:val="Hyperlink"/>
                </w:rPr>
                <w:t xml:space="preserve">[12]</w:t>
              </w:r>
            </w:hyperlink>
          </w:p>
        </w:tc>
      </w:tr>
      <w:tr>
        <w:tc>
          <w:tcPr/>
          <w:p>
            <w:pPr>
              <w:pStyle w:val="Compact"/>
            </w:pPr>
            <w:r>
              <w:rPr>
                <w:rStyle w:val="VerbatimChar"/>
              </w:rPr>
              <w:t xml:space="preserve">expected_behavior</w:t>
            </w:r>
            <w:r>
              <w:t xml:space="preserve"> </w:t>
            </w:r>
            <w:r>
              <w:t xml:space="preserve">or gold lane label</w:t>
            </w:r>
          </w:p>
        </w:tc>
        <w:tc>
          <w:tcPr/>
          <w:p>
            <w:pPr>
              <w:pStyle w:val="Compact"/>
            </w:pPr>
            <w:r>
              <w:rPr>
                <w:b/>
                <w:bCs/>
              </w:rPr>
              <w:t xml:space="preserve">No</w:t>
            </w:r>
          </w:p>
        </w:tc>
        <w:tc>
          <w:tcPr/>
          <w:p>
            <w:pPr>
              <w:pStyle w:val="Compact"/>
            </w:pPr>
            <w:r>
              <w:t xml:space="preserve">Yes</w:t>
            </w:r>
          </w:p>
        </w:tc>
        <w:tc>
          <w:tcPr/>
          <w:p>
            <w:pPr>
              <w:pStyle w:val="Compact"/>
            </w:pPr>
            <w:r>
              <w:t xml:space="preserve">Prevents routing leakage</w:t>
            </w:r>
          </w:p>
        </w:tc>
        <w:tc>
          <w:tcPr/>
          <w:p>
            <w:pPr>
              <w:pStyle w:val="Compact"/>
            </w:pPr>
            <w:r>
              <w:t xml:space="preserve">Reviewer judgment</w:t>
            </w:r>
          </w:p>
        </w:tc>
      </w:tr>
      <w:tr>
        <w:tc>
          <w:tcPr/>
          <w:p>
            <w:pPr>
              <w:pStyle w:val="Compact"/>
            </w:pPr>
            <w:r>
              <w:rPr>
                <w:rStyle w:val="VerbatimChar"/>
              </w:rPr>
              <w:t xml:space="preserve">query.intent_label</w:t>
            </w:r>
            <w:r>
              <w:t xml:space="preserve"> </w:t>
            </w:r>
            <w:r>
              <w:t xml:space="preserve">if human-assigned gold</w:t>
            </w:r>
          </w:p>
        </w:tc>
        <w:tc>
          <w:tcPr/>
          <w:p>
            <w:pPr>
              <w:pStyle w:val="Compact"/>
            </w:pPr>
            <w:r>
              <w:rPr>
                <w:b/>
                <w:bCs/>
              </w:rPr>
              <w:t xml:space="preserve">No</w:t>
            </w:r>
          </w:p>
        </w:tc>
        <w:tc>
          <w:tcPr/>
          <w:p>
            <w:pPr>
              <w:pStyle w:val="Compact"/>
            </w:pPr>
            <w:r>
              <w:t xml:space="preserve">Yes</w:t>
            </w:r>
          </w:p>
        </w:tc>
        <w:tc>
          <w:tcPr/>
          <w:p>
            <w:pPr>
              <w:pStyle w:val="Compact"/>
            </w:pPr>
            <w:r>
              <w:t xml:space="preserve">Gold labels should not drive runtime routing</w:t>
            </w:r>
          </w:p>
        </w:tc>
        <w:tc>
          <w:tcPr/>
          <w:p>
            <w:pPr>
              <w:pStyle w:val="Compact"/>
            </w:pPr>
            <w:r>
              <w:t xml:space="preserve">Reviewer judgment</w:t>
            </w:r>
          </w:p>
        </w:tc>
      </w:tr>
      <w:tr>
        <w:tc>
          <w:tcPr/>
          <w:p>
            <w:pPr>
              <w:pStyle w:val="Compact"/>
            </w:pPr>
            <w:r>
              <w:rPr>
                <w:rStyle w:val="VerbatimChar"/>
              </w:rPr>
              <w:t xml:space="preserve">synthetic_vs_audited_origin</w:t>
            </w:r>
          </w:p>
        </w:tc>
        <w:tc>
          <w:tcPr/>
          <w:p>
            <w:pPr>
              <w:pStyle w:val="Compact"/>
            </w:pPr>
            <w:r>
              <w:t xml:space="preserve">Yes</w:t>
            </w:r>
          </w:p>
        </w:tc>
        <w:tc>
          <w:tcPr/>
          <w:p>
            <w:pPr>
              <w:pStyle w:val="Compact"/>
            </w:pPr>
            <w:r>
              <w:t xml:space="preserve">Yes</w:t>
            </w:r>
          </w:p>
        </w:tc>
        <w:tc>
          <w:tcPr/>
          <w:p>
            <w:pPr>
              <w:pStyle w:val="Compact"/>
            </w:pPr>
            <w:r>
              <w:t xml:space="preserve">Prevents treating synthetic rows as source truth</w:t>
            </w:r>
          </w:p>
        </w:tc>
        <w:tc>
          <w:tcPr/>
          <w:p>
            <w:pPr>
              <w:pStyle w:val="Compact"/>
            </w:pPr>
            <w:r>
              <w:t xml:space="preserve">Reviewer judgment</w:t>
            </w:r>
          </w:p>
        </w:tc>
      </w:tr>
      <w:tr>
        <w:tc>
          <w:tcPr/>
          <w:p>
            <w:pPr>
              <w:pStyle w:val="Compact"/>
            </w:pPr>
            <w:r>
              <w:rPr>
                <w:rStyle w:val="VerbatimChar"/>
              </w:rPr>
              <w:t xml:space="preserve">contradiction_flags</w:t>
            </w:r>
            <w:r>
              <w:t xml:space="preserve"> </w:t>
            </w:r>
            <w:r>
              <w:t xml:space="preserve">and decisive record IDs</w:t>
            </w:r>
          </w:p>
        </w:tc>
        <w:tc>
          <w:tcPr/>
          <w:p>
            <w:pPr>
              <w:pStyle w:val="Compact"/>
            </w:pPr>
            <w:r>
              <w:t xml:space="preserve">Yes</w:t>
            </w:r>
          </w:p>
        </w:tc>
        <w:tc>
          <w:tcPr/>
          <w:p>
            <w:pPr>
              <w:pStyle w:val="Compact"/>
            </w:pPr>
            <w:r>
              <w:t xml:space="preserve">Yes</w:t>
            </w:r>
          </w:p>
        </w:tc>
        <w:tc>
          <w:tcPr/>
          <w:p>
            <w:pPr>
              <w:pStyle w:val="Compact"/>
            </w:pPr>
            <w:r>
              <w:t xml:space="preserve">Enables reproducible refusal adjudication</w:t>
            </w:r>
          </w:p>
        </w:tc>
        <w:tc>
          <w:tcPr/>
          <w:p>
            <w:pPr>
              <w:pStyle w:val="Compact"/>
            </w:pPr>
            <w:r>
              <w:t xml:space="preserve">Reviewer judgment</w:t>
            </w:r>
          </w:p>
        </w:tc>
      </w:tr>
    </w:tbl>
    <w:bookmarkEnd w:id="33"/>
    <w:bookmarkStart w:id="41" w:name="evaluation-rubric-audit"/>
    <w:p>
      <w:pPr>
        <w:pStyle w:val="Heading2"/>
      </w:pPr>
      <w:r>
        <w:t xml:space="preserve">Evaluation rubric audit</w:t>
      </w:r>
    </w:p>
    <w:p>
      <w:pPr>
        <w:pStyle w:val="FirstParagraph"/>
      </w:pPr>
      <w:r>
        <w:rPr>
          <w:b/>
          <w:bCs/>
        </w:rPr>
        <w:t xml:space="preserve">Deterministic lane correctness rubric.</w:t>
      </w:r>
      <w:r>
        <w:br/>
      </w:r>
      <w:r>
        <w:t xml:space="preserve">The project’s distinction between</w:t>
      </w:r>
      <w:r>
        <w:t xml:space="preserve"> </w:t>
      </w:r>
      <w:r>
        <w:rPr>
          <w:rStyle w:val="VerbatimChar"/>
        </w:rPr>
        <w:t xml:space="preserve">evidence_to_output_fidelity</w:t>
      </w:r>
      <w:r>
        <w:t xml:space="preserve"> </w:t>
      </w:r>
      <w:r>
        <w:t xml:space="preserve">and</w:t>
      </w:r>
      <w:r>
        <w:t xml:space="preserve"> </w:t>
      </w:r>
      <w:r>
        <w:rPr>
          <w:rStyle w:val="VerbatimChar"/>
        </w:rPr>
        <w:t xml:space="preserve">evidence_correctness</w:t>
      </w:r>
      <w:r>
        <w:t xml:space="preserve"> </w:t>
      </w:r>
      <w:r>
        <w:t xml:space="preserve">is methodologically sound and should be preserved, not softened. Attribution and verifiability work both imply that support-oriented correctness and semantic correctness are separable, and Sufficient Context reinforces that models can fail at either using or abstaining over available evidence. For this paper, deterministic rendering should claim only what it actually guarantees:</w:t>
      </w:r>
      <w:r>
        <w:t xml:space="preserve"> </w:t>
      </w:r>
      <w:r>
        <w:rPr>
          <w:b/>
          <w:bCs/>
        </w:rPr>
        <w:t xml:space="preserve">faithful rendering of supplied evidence under a fixed contract</w:t>
      </w:r>
      <w:r>
        <w:t xml:space="preserve">.</w:t>
      </w:r>
      <w:r>
        <w:t xml:space="preserve"> </w:t>
      </w:r>
      <w:hyperlink r:id="rId24">
        <w:r>
          <w:rPr>
            <w:rStyle w:val="Hyperlink"/>
          </w:rPr>
          <w:t xml:space="preserve">[22]</w:t>
        </w:r>
      </w:hyperlink>
    </w:p>
    <w:p>
      <w:pPr>
        <w:pStyle w:val="BodyText"/>
      </w:pPr>
      <w:r>
        <w:t xml:space="preserve">That means deterministic-lane correctness should be scored on a finite checklist: all required fields rendered; null or missing values rendered with approved placeholders; no field mutation; no unsupported upgrade; source or provenance pointer preserved; labels not misleading; multiplicity handled correctly; contradictions surfaced rather than silently resolved; and output format consistent. This is exactly the kind of decomposed checklist that recent reliability-oriented evaluation work recommends in place of loose holistic scoring.</w:t>
      </w:r>
      <w:r>
        <w:t xml:space="preserve"> </w:t>
      </w:r>
      <w:hyperlink r:id="rId26">
        <w:r>
          <w:rPr>
            <w:rStyle w:val="Hyperlink"/>
          </w:rPr>
          <w:t xml:space="preserve">[23]</w:t>
        </w:r>
      </w:hyperlink>
    </w:p>
    <w:p>
      <w:pPr>
        <w:pStyle w:val="BodyText"/>
      </w:pPr>
      <w:r>
        <w:t xml:space="preserve">A row with perfect contract fidelity but failed source audit should be scored</w:t>
      </w:r>
      <w:r>
        <w:t xml:space="preserve"> </w:t>
      </w:r>
      <w:r>
        <w:rPr>
          <w:b/>
          <w:bCs/>
        </w:rPr>
        <w:t xml:space="preserve">deterministic pass, evidence-correctness fail</w:t>
      </w:r>
      <w:r>
        <w:t xml:space="preserve">. That separation is not a nuisance; it is one of the paper’s most important methodological contributions, because it prevents the familiar objection that “metadata can still be wrong” from being wrongly treated as a renderer failure.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Status</w:t>
            </w:r>
          </w:p>
        </w:tc>
        <w:tc>
          <w:tcPr/>
          <w:p>
            <w:pPr>
              <w:pStyle w:val="Compact"/>
            </w:pPr>
            <w:r>
              <w:t xml:space="preserve">Definition</w:t>
            </w:r>
          </w:p>
        </w:tc>
        <w:tc>
          <w:tcPr/>
          <w:p>
            <w:pPr>
              <w:pStyle w:val="Compact"/>
            </w:pPr>
            <w:r>
              <w:t xml:space="preserve">Counts toward primary contract metric</w:t>
            </w:r>
          </w:p>
        </w:tc>
        <w:tc>
          <w:tcPr/>
          <w:p>
            <w:pPr>
              <w:pStyle w:val="Compact"/>
            </w:pPr>
            <w:r>
              <w:t xml:space="preserve">Counts toward evidence-correctness metric</w:t>
            </w:r>
          </w:p>
        </w:tc>
        <w:tc>
          <w:tcPr/>
          <w:p>
            <w:pPr>
              <w:pStyle w:val="Compact"/>
            </w:pPr>
            <w:r>
              <w:t xml:space="preserve">Example</w:t>
            </w:r>
          </w:p>
        </w:tc>
        <w:tc>
          <w:tcPr/>
          <w:p>
            <w:pPr>
              <w:pStyle w:val="Compact"/>
            </w:pPr>
            <w:r>
              <w:t xml:space="preserve">Basis</w:t>
            </w:r>
          </w:p>
        </w:tc>
      </w:tr>
      <w:tr>
        <w:tc>
          <w:tcPr/>
          <w:p>
            <w:pPr>
              <w:pStyle w:val="Compact"/>
            </w:pPr>
            <w:r>
              <w:t xml:space="preserve">Contract pass</w:t>
            </w:r>
          </w:p>
        </w:tc>
        <w:tc>
          <w:tcPr/>
          <w:p>
            <w:pPr>
              <w:pStyle w:val="Compact"/>
            </w:pPr>
            <w:r>
              <w:t xml:space="preserve">All required fields rendered exactly as supplied; nulls handled per contract; no misleading label or upgrade</w:t>
            </w:r>
          </w:p>
        </w:tc>
        <w:tc>
          <w:tcPr/>
          <w:p>
            <w:pPr>
              <w:pStyle w:val="Compact"/>
            </w:pPr>
            <w:r>
              <w:t xml:space="preserve">Yes, as pass</w:t>
            </w:r>
          </w:p>
        </w:tc>
        <w:tc>
          <w:tcPr/>
          <w:p>
            <w:pPr>
              <w:pStyle w:val="Compact"/>
            </w:pPr>
            <w:r>
              <w:t xml:space="preserve">Separate</w:t>
            </w:r>
          </w:p>
        </w:tc>
        <w:tc>
          <w:tcPr/>
          <w:p>
            <w:pPr>
              <w:pStyle w:val="Compact"/>
            </w:pPr>
            <w:r>
              <w:t xml:space="preserve">Source says “unknown”; output says “unknown”</w:t>
            </w:r>
          </w:p>
        </w:tc>
        <w:tc>
          <w:tcPr/>
          <w:p>
            <w:pPr>
              <w:pStyle w:val="Compact"/>
            </w:pPr>
            <w:r>
              <w:t xml:space="preserve">Source-supported distinction plus reviewer judgment</w:t>
            </w:r>
            <w:r>
              <w:t xml:space="preserve"> </w:t>
            </w:r>
            <w:hyperlink r:id="rId24">
              <w:r>
                <w:rPr>
                  <w:rStyle w:val="Hyperlink"/>
                </w:rPr>
                <w:t xml:space="preserve">[15]</w:t>
              </w:r>
            </w:hyperlink>
          </w:p>
        </w:tc>
      </w:tr>
      <w:tr>
        <w:tc>
          <w:tcPr/>
          <w:p>
            <w:pPr>
              <w:pStyle w:val="Compact"/>
            </w:pPr>
            <w:r>
              <w:t xml:space="preserve">Contract failure</w:t>
            </w:r>
          </w:p>
        </w:tc>
        <w:tc>
          <w:tcPr/>
          <w:p>
            <w:pPr>
              <w:pStyle w:val="Compact"/>
            </w:pPr>
            <w:r>
              <w:t xml:space="preserve">Missing required field, mutated value, wrong mapping, unsupported normalization, silent conflict resolution, wrong source/provenance pointer, unsupported rights/status upgrade</w:t>
            </w:r>
          </w:p>
        </w:tc>
        <w:tc>
          <w:tcPr/>
          <w:p>
            <w:pPr>
              <w:pStyle w:val="Compact"/>
            </w:pPr>
            <w:r>
              <w:t xml:space="preserve">Yes, as fail</w:t>
            </w:r>
          </w:p>
        </w:tc>
        <w:tc>
          <w:tcPr/>
          <w:p>
            <w:pPr>
              <w:pStyle w:val="Compact"/>
            </w:pPr>
            <w:r>
              <w:t xml:space="preserve">Possibly also fail</w:t>
            </w:r>
          </w:p>
        </w:tc>
        <w:tc>
          <w:tcPr/>
          <w:p>
            <w:pPr>
              <w:pStyle w:val="Compact"/>
            </w:pPr>
            <w:r>
              <w:t xml:space="preserve">Source says “CC BY-NC”; output says “CC BY”</w:t>
            </w:r>
          </w:p>
        </w:tc>
        <w:tc>
          <w:tcPr/>
          <w:p>
            <w:pPr>
              <w:pStyle w:val="Compact"/>
            </w:pPr>
            <w:r>
              <w:t xml:space="preserve">Supported by attribution/verifiability concerns</w:t>
            </w:r>
            <w:r>
              <w:t xml:space="preserve"> </w:t>
            </w:r>
            <w:hyperlink r:id="rId29">
              <w:r>
                <w:rPr>
                  <w:rStyle w:val="Hyperlink"/>
                </w:rPr>
                <w:t xml:space="preserve">[24]</w:t>
              </w:r>
            </w:hyperlink>
          </w:p>
        </w:tc>
      </w:tr>
      <w:tr>
        <w:tc>
          <w:tcPr/>
          <w:p>
            <w:pPr>
              <w:pStyle w:val="Compact"/>
            </w:pPr>
            <w:r>
              <w:t xml:space="preserve">Contract warning</w:t>
            </w:r>
          </w:p>
        </w:tc>
        <w:tc>
          <w:tcPr/>
          <w:p>
            <w:pPr>
              <w:pStyle w:val="Compact"/>
            </w:pPr>
            <w:r>
              <w:t xml:space="preserve">Cosmetic deviation that does not alter field meaning or support status, or explicit caveat badge for noisy OCR/conflict</w:t>
            </w:r>
          </w:p>
        </w:tc>
        <w:tc>
          <w:tcPr/>
          <w:p>
            <w:pPr>
              <w:pStyle w:val="Compact"/>
            </w:pPr>
            <w:r>
              <w:t xml:space="preserve">No</w:t>
            </w:r>
          </w:p>
        </w:tc>
        <w:tc>
          <w:tcPr/>
          <w:p>
            <w:pPr>
              <w:pStyle w:val="Compact"/>
            </w:pPr>
            <w:r>
              <w:t xml:space="preserve">Separate</w:t>
            </w:r>
          </w:p>
        </w:tc>
        <w:tc>
          <w:tcPr/>
          <w:p>
            <w:pPr>
              <w:pStyle w:val="Compact"/>
            </w:pPr>
            <w:r>
              <w:t xml:space="preserve">Field order differs but values and labels are intact</w:t>
            </w:r>
          </w:p>
        </w:tc>
        <w:tc>
          <w:tcPr/>
          <w:p>
            <w:pPr>
              <w:pStyle w:val="Compact"/>
            </w:pPr>
            <w:r>
              <w:t xml:space="preserve">Reviewer judgment</w:t>
            </w:r>
          </w:p>
        </w:tc>
      </w:tr>
      <w:tr>
        <w:tc>
          <w:tcPr/>
          <w:p>
            <w:pPr>
              <w:pStyle w:val="Compact"/>
            </w:pPr>
            <w:r>
              <w:t xml:space="preserve">Source-audit failure</w:t>
            </w:r>
          </w:p>
        </w:tc>
        <w:tc>
          <w:tcPr/>
          <w:p>
            <w:pPr>
              <w:pStyle w:val="Compact"/>
            </w:pPr>
            <w:r>
              <w:t xml:space="preserve">Underlying supplied record is unaudited, contradicted, OCR-corrupted, stale, or source-wrong</w:t>
            </w:r>
          </w:p>
        </w:tc>
        <w:tc>
          <w:tcPr/>
          <w:p>
            <w:pPr>
              <w:pStyle w:val="Compact"/>
            </w:pPr>
            <w:r>
              <w:t xml:space="preserve">No</w:t>
            </w:r>
          </w:p>
        </w:tc>
        <w:tc>
          <w:tcPr/>
          <w:p>
            <w:pPr>
              <w:pStyle w:val="Compact"/>
            </w:pPr>
            <w:r>
              <w:t xml:space="preserve">Yes, as fail</w:t>
            </w:r>
          </w:p>
        </w:tc>
        <w:tc>
          <w:tcPr/>
          <w:p>
            <w:pPr>
              <w:pStyle w:val="Compact"/>
            </w:pPr>
            <w:r>
              <w:t xml:space="preserve">Renderer copies an OCR-distorted date exactly</w:t>
            </w:r>
          </w:p>
        </w:tc>
        <w:tc>
          <w:tcPr/>
          <w:p>
            <w:pPr>
              <w:pStyle w:val="Compact"/>
            </w:pPr>
            <w:r>
              <w:t xml:space="preserve">Source-supported distinction</w:t>
            </w:r>
            <w:r>
              <w:t xml:space="preserve"> </w:t>
            </w:r>
            <w:hyperlink r:id="rId24">
              <w:r>
                <w:rPr>
                  <w:rStyle w:val="Hyperlink"/>
                </w:rPr>
                <w:t xml:space="preserve">[15]</w:t>
              </w:r>
            </w:hyperlink>
          </w:p>
        </w:tc>
      </w:tr>
      <w:tr>
        <w:tc>
          <w:tcPr/>
          <w:p>
            <w:pPr>
              <w:pStyle w:val="Compact"/>
            </w:pPr>
            <w:r>
              <w:t xml:space="preserve">Usability issue</w:t>
            </w:r>
          </w:p>
        </w:tc>
        <w:tc>
          <w:tcPr/>
          <w:p>
            <w:pPr>
              <w:pStyle w:val="Compact"/>
            </w:pPr>
            <w:r>
              <w:t xml:space="preserve">Output is contract-correct but hard to understand, badly caveated, or visually misleading</w:t>
            </w:r>
          </w:p>
        </w:tc>
        <w:tc>
          <w:tcPr/>
          <w:p>
            <w:pPr>
              <w:pStyle w:val="Compact"/>
            </w:pPr>
            <w:r>
              <w:t xml:space="preserve">No</w:t>
            </w:r>
          </w:p>
        </w:tc>
        <w:tc>
          <w:tcPr/>
          <w:p>
            <w:pPr>
              <w:pStyle w:val="Compact"/>
            </w:pPr>
            <w:r>
              <w:t xml:space="preserve">No</w:t>
            </w:r>
          </w:p>
        </w:tc>
        <w:tc>
          <w:tcPr/>
          <w:p>
            <w:pPr>
              <w:pStyle w:val="Compact"/>
            </w:pPr>
            <w:r>
              <w:t xml:space="preserve">Correct value buried after confusing prose</w:t>
            </w:r>
          </w:p>
        </w:tc>
        <w:tc>
          <w:tcPr/>
          <w:p>
            <w:pPr>
              <w:pStyle w:val="Compact"/>
            </w:pPr>
            <w:r>
              <w:t xml:space="preserve">HAI and human-eval literature</w:t>
            </w:r>
            <w:r>
              <w:t xml:space="preserve"> </w:t>
            </w:r>
            <w:hyperlink r:id="rId34">
              <w:r>
                <w:rPr>
                  <w:rStyle w:val="Hyperlink"/>
                </w:rPr>
                <w:t xml:space="preserve">[25]</w:t>
              </w:r>
            </w:hyperlink>
          </w:p>
        </w:tc>
      </w:tr>
    </w:tbl>
    <w:p>
      <w:pPr>
        <w:pStyle w:val="BodyText"/>
      </w:pPr>
      <w:r>
        <w:t xml:space="preserve">A practical failure taxonomy should include at least these categories:</w:t>
      </w:r>
      <w:r>
        <w:t xml:space="preserve"> </w:t>
      </w:r>
      <w:r>
        <w:rPr>
          <w:rStyle w:val="VerbatimChar"/>
        </w:rPr>
        <w:t xml:space="preserve">field_omission</w:t>
      </w:r>
      <w:r>
        <w:t xml:space="preserve">,</w:t>
      </w:r>
      <w:r>
        <w:t xml:space="preserve"> </w:t>
      </w:r>
      <w:r>
        <w:rPr>
          <w:rStyle w:val="VerbatimChar"/>
        </w:rPr>
        <w:t xml:space="preserve">field_mutation</w:t>
      </w:r>
      <w:r>
        <w:t xml:space="preserve">,</w:t>
      </w:r>
      <w:r>
        <w:t xml:space="preserve"> </w:t>
      </w:r>
      <w:r>
        <w:rPr>
          <w:rStyle w:val="VerbatimChar"/>
        </w:rPr>
        <w:t xml:space="preserve">placeholder_violation</w:t>
      </w:r>
      <w:r>
        <w:t xml:space="preserve">,</w:t>
      </w:r>
      <w:r>
        <w:t xml:space="preserve"> </w:t>
      </w:r>
      <w:r>
        <w:rPr>
          <w:rStyle w:val="VerbatimChar"/>
        </w:rPr>
        <w:t xml:space="preserve">unsupported_upgrade_rights</w:t>
      </w:r>
      <w:r>
        <w:t xml:space="preserve">,</w:t>
      </w:r>
      <w:r>
        <w:t xml:space="preserve"> </w:t>
      </w:r>
      <w:r>
        <w:rPr>
          <w:rStyle w:val="VerbatimChar"/>
        </w:rPr>
        <w:t xml:space="preserve">unsupported_upgrade_status</w:t>
      </w:r>
      <w:r>
        <w:t xml:space="preserve">,</w:t>
      </w:r>
      <w:r>
        <w:t xml:space="preserve"> </w:t>
      </w:r>
      <w:r>
        <w:rPr>
          <w:rStyle w:val="VerbatimChar"/>
        </w:rPr>
        <w:t xml:space="preserve">source_pointer_loss</w:t>
      </w:r>
      <w:r>
        <w:t xml:space="preserve">,</w:t>
      </w:r>
      <w:r>
        <w:t xml:space="preserve"> </w:t>
      </w:r>
      <w:r>
        <w:rPr>
          <w:rStyle w:val="VerbatimChar"/>
        </w:rPr>
        <w:t xml:space="preserve">conflict_suppression</w:t>
      </w:r>
      <w:r>
        <w:t xml:space="preserve">,</w:t>
      </w:r>
      <w:r>
        <w:t xml:space="preserve"> </w:t>
      </w:r>
      <w:r>
        <w:rPr>
          <w:rStyle w:val="VerbatimChar"/>
        </w:rPr>
        <w:t xml:space="preserve">record_misalignment</w:t>
      </w:r>
      <w:r>
        <w:t xml:space="preserve">,</w:t>
      </w:r>
      <w:r>
        <w:t xml:space="preserve"> </w:t>
      </w:r>
      <w:r>
        <w:rPr>
          <w:rStyle w:val="VerbatimChar"/>
        </w:rPr>
        <w:t xml:space="preserve">format_inconsistency</w:t>
      </w:r>
      <w:r>
        <w:t xml:space="preserve">,</w:t>
      </w:r>
      <w:r>
        <w:t xml:space="preserve"> </w:t>
      </w:r>
      <w:r>
        <w:rPr>
          <w:rStyle w:val="VerbatimChar"/>
        </w:rPr>
        <w:t xml:space="preserve">source_audit_fail</w:t>
      </w:r>
      <w:r>
        <w:t xml:space="preserve">,</w:t>
      </w:r>
      <w:r>
        <w:t xml:space="preserve"> </w:t>
      </w:r>
      <w:r>
        <w:rPr>
          <w:rStyle w:val="VerbatimChar"/>
        </w:rPr>
        <w:t xml:space="preserve">ocr_noise_exposed</w:t>
      </w:r>
      <w:r>
        <w:t xml:space="preserve">, and</w:t>
      </w:r>
      <w:r>
        <w:t xml:space="preserve"> </w:t>
      </w:r>
      <w:r>
        <w:rPr>
          <w:rStyle w:val="VerbatimChar"/>
        </w:rPr>
        <w:t xml:space="preserve">usability_miscue</w:t>
      </w:r>
      <w:r>
        <w:t xml:space="preserve">. That taxonomy is reviewer judgment, but it is directly motivated by the decomposition logic in checklist-based evaluation work.</w:t>
      </w:r>
      <w:r>
        <w:t xml:space="preserve"> </w:t>
      </w:r>
      <w:hyperlink r:id="rId35">
        <w:r>
          <w:rPr>
            <w:rStyle w:val="Hyperlink"/>
          </w:rPr>
          <w:t xml:space="preserve">[26]</w:t>
        </w:r>
      </w:hyperlink>
    </w:p>
    <w:p>
      <w:pPr>
        <w:pStyle w:val="BodyText"/>
      </w:pPr>
      <w:r>
        <w:rPr>
          <w:b/>
          <w:bCs/>
        </w:rPr>
        <w:t xml:space="preserve">Refusal correctness decision protocol.</w:t>
      </w:r>
      <w:r>
        <w:br/>
      </w:r>
      <w:r>
        <w:t xml:space="preserve">Refusal should not be judged by vibe. It needs a gold</w:t>
      </w:r>
      <w:r>
        <w:t xml:space="preserve"> </w:t>
      </w:r>
      <w:r>
        <w:rPr>
          <w:b/>
          <w:bCs/>
        </w:rPr>
        <w:t xml:space="preserve">evidence-state-to-action table</w:t>
      </w:r>
      <w:r>
        <w:t xml:space="preserve">. Sufficient Context and selective-QA work both make the same general point from different angles: the important question is not simply whether the model abstains, but whether it abstains</w:t>
      </w:r>
      <w:r>
        <w:t xml:space="preserve"> </w:t>
      </w:r>
      <w:r>
        <w:rPr>
          <w:b/>
          <w:bCs/>
        </w:rPr>
        <w:t xml:space="preserve">when the evidence state justifies abstention</w:t>
      </w:r>
      <w:r>
        <w:t xml:space="preserve"> </w:t>
      </w:r>
      <w:r>
        <w:t xml:space="preserve">and answers</w:t>
      </w:r>
      <w:r>
        <w:t xml:space="preserve"> </w:t>
      </w:r>
      <w:r>
        <w:rPr>
          <w:b/>
          <w:bCs/>
        </w:rPr>
        <w:t xml:space="preserve">when the evidence state justifies answering</w:t>
      </w:r>
      <w:r>
        <w:t xml:space="preserve">.</w:t>
      </w:r>
      <w:r>
        <w:t xml:space="preserve"> </w:t>
      </w:r>
      <w:hyperlink r:id="rId22">
        <w:r>
          <w:rPr>
            <w:rStyle w:val="Hyperlink"/>
          </w:rPr>
          <w:t xml:space="preserve">[6]</w:t>
        </w:r>
      </w:hyperlink>
    </w:p>
    <w:p>
      <w:pPr>
        <w:pStyle w:val="BodyText"/>
      </w:pPr>
      <w:r>
        <w:t xml:space="preserve">The review sheet categories you listed—</w:t>
      </w:r>
      <w:r>
        <w:rPr>
          <w:rStyle w:val="VerbatimChar"/>
        </w:rPr>
        <w:t xml:space="preserve">correct_refusal</w:t>
      </w:r>
      <w:r>
        <w:t xml:space="preserve">,</w:t>
      </w:r>
      <w:r>
        <w:t xml:space="preserve"> </w:t>
      </w:r>
      <w:r>
        <w:rPr>
          <w:rStyle w:val="VerbatimChar"/>
        </w:rPr>
        <w:t xml:space="preserve">over_refusal</w:t>
      </w:r>
      <w:r>
        <w:t xml:space="preserve">,</w:t>
      </w:r>
      <w:r>
        <w:t xml:space="preserve"> </w:t>
      </w:r>
      <w:r>
        <w:rPr>
          <w:rStyle w:val="VerbatimChar"/>
        </w:rPr>
        <w:t xml:space="preserve">under_refusal</w:t>
      </w:r>
      <w:r>
        <w:t xml:space="preserve">,</w:t>
      </w:r>
      <w:r>
        <w:t xml:space="preserve"> </w:t>
      </w:r>
      <w:r>
        <w:rPr>
          <w:rStyle w:val="VerbatimChar"/>
        </w:rPr>
        <w:t xml:space="preserve">qualified_answer_correct</w:t>
      </w:r>
      <w:r>
        <w:t xml:space="preserve">, and</w:t>
      </w:r>
      <w:r>
        <w:t xml:space="preserve"> </w:t>
      </w:r>
      <w:r>
        <w:rPr>
          <w:rStyle w:val="VerbatimChar"/>
        </w:rPr>
        <w:t xml:space="preserve">ambiguous_refusal_boundary</w:t>
      </w:r>
      <w:r>
        <w:t xml:space="preserve">—are sensible, but they need an operational backbone. Reviewers should first assign a gold action from the refusal table below</w:t>
      </w:r>
      <w:r>
        <w:t xml:space="preserve"> </w:t>
      </w:r>
      <w:r>
        <w:rPr>
          <w:b/>
          <w:bCs/>
        </w:rPr>
        <w:t xml:space="preserve">before</w:t>
      </w:r>
      <w:r>
        <w:t xml:space="preserve"> </w:t>
      </w:r>
      <w:r>
        <w:t xml:space="preserve">looking at whether the system refused. That avoids backward-fitting the gold label to the observed output.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Evidence state</w:t>
            </w:r>
          </w:p>
        </w:tc>
        <w:tc>
          <w:tcPr/>
          <w:p>
            <w:pPr>
              <w:pStyle w:val="Compact"/>
            </w:pPr>
            <w:r>
              <w:t xml:space="preserve">Gold action</w:t>
            </w:r>
          </w:p>
        </w:tc>
        <w:tc>
          <w:tcPr/>
          <w:p>
            <w:pPr>
              <w:pStyle w:val="Compact"/>
            </w:pPr>
            <w:r>
              <w:t xml:space="preserve">Output family</w:t>
            </w:r>
          </w:p>
        </w:tc>
        <w:tc>
          <w:tcPr/>
          <w:p>
            <w:pPr>
              <w:pStyle w:val="Compact"/>
            </w:pPr>
            <w:r>
              <w:t xml:space="preserve">Label if system refuses</w:t>
            </w:r>
          </w:p>
        </w:tc>
        <w:tc>
          <w:tcPr/>
          <w:p>
            <w:pPr>
              <w:pStyle w:val="Compact"/>
            </w:pPr>
            <w:r>
              <w:t xml:space="preserve">Reviewer notes</w:t>
            </w:r>
          </w:p>
        </w:tc>
        <w:tc>
          <w:tcPr/>
          <w:p>
            <w:pPr>
              <w:pStyle w:val="Compact"/>
            </w:pPr>
            <w:r>
              <w:t xml:space="preserve">Basis</w:t>
            </w:r>
          </w:p>
        </w:tc>
      </w:tr>
      <w:tr>
        <w:tc>
          <w:tcPr/>
          <w:p>
            <w:pPr>
              <w:pStyle w:val="Compact"/>
            </w:pPr>
            <w:r>
              <w:t xml:space="preserve">Sufficient exact evidence for all requested required fields</w:t>
            </w:r>
          </w:p>
        </w:tc>
        <w:tc>
          <w:tcPr/>
          <w:p>
            <w:pPr>
              <w:pStyle w:val="Compact"/>
            </w:pPr>
            <w:r>
              <w:t xml:space="preserve">Answer</w:t>
            </w:r>
          </w:p>
        </w:tc>
        <w:tc>
          <w:tcPr/>
          <w:p>
            <w:pPr>
              <w:pStyle w:val="Compact"/>
            </w:pPr>
            <w:r>
              <w:t xml:space="preserve">Deterministic exact or compound</w:t>
            </w:r>
          </w:p>
        </w:tc>
        <w:tc>
          <w:tcPr/>
          <w:p>
            <w:pPr>
              <w:pStyle w:val="Compact"/>
            </w:pPr>
            <w:r>
              <w:t xml:space="preserve">Over-refusal</w:t>
            </w:r>
          </w:p>
        </w:tc>
        <w:tc>
          <w:tcPr/>
          <w:p>
            <w:pPr>
              <w:pStyle w:val="Compact"/>
            </w:pPr>
            <w:r>
              <w:t xml:space="preserve">Refusal is wrong even if politely phrased</w:t>
            </w:r>
          </w:p>
        </w:tc>
        <w:tc>
          <w:tcPr/>
          <w:p>
            <w:pPr>
              <w:pStyle w:val="Compact"/>
            </w:pPr>
            <w:r>
              <w:t xml:space="preserve">Source-supported</w:t>
            </w:r>
            <w:r>
              <w:t xml:space="preserve"> </w:t>
            </w:r>
            <w:hyperlink r:id="rId22">
              <w:r>
                <w:rPr>
                  <w:rStyle w:val="Hyperlink"/>
                </w:rPr>
                <w:t xml:space="preserve">[12]</w:t>
              </w:r>
            </w:hyperlink>
          </w:p>
        </w:tc>
      </w:tr>
      <w:tr>
        <w:tc>
          <w:tcPr/>
          <w:p>
            <w:pPr>
              <w:pStyle w:val="Compact"/>
            </w:pPr>
            <w:r>
              <w:t xml:space="preserve">Sufficient evidence for some requested fields, core field missing but non-core fields available</w:t>
            </w:r>
          </w:p>
        </w:tc>
        <w:tc>
          <w:tcPr/>
          <w:p>
            <w:pPr>
              <w:pStyle w:val="Compact"/>
            </w:pPr>
            <w:r>
              <w:t xml:space="preserve">Qualified answer</w:t>
            </w:r>
          </w:p>
        </w:tc>
        <w:tc>
          <w:tcPr/>
          <w:p>
            <w:pPr>
              <w:pStyle w:val="Compact"/>
            </w:pPr>
            <w:r>
              <w:t xml:space="preserve">Deterministic fields + caveat, or compound</w:t>
            </w:r>
          </w:p>
        </w:tc>
        <w:tc>
          <w:tcPr/>
          <w:p>
            <w:pPr>
              <w:pStyle w:val="Compact"/>
            </w:pPr>
            <w:r>
              <w:t xml:space="preserve">Usually over-refusal</w:t>
            </w:r>
          </w:p>
        </w:tc>
        <w:tc>
          <w:tcPr/>
          <w:p>
            <w:pPr>
              <w:pStyle w:val="Compact"/>
            </w:pPr>
            <w:r>
              <w:t xml:space="preserve">Refusal is wrong if useful partial answer is supported</w:t>
            </w:r>
          </w:p>
        </w:tc>
        <w:tc>
          <w:tcPr/>
          <w:p>
            <w:pPr>
              <w:pStyle w:val="Compact"/>
            </w:pPr>
            <w:r>
              <w:t xml:space="preserve">Reviewer judgment informed by sufficient-context framing</w:t>
            </w:r>
            <w:r>
              <w:t xml:space="preserve"> </w:t>
            </w:r>
            <w:hyperlink r:id="rId22">
              <w:r>
                <w:rPr>
                  <w:rStyle w:val="Hyperlink"/>
                </w:rPr>
                <w:t xml:space="preserve">[27]</w:t>
              </w:r>
            </w:hyperlink>
          </w:p>
        </w:tc>
      </w:tr>
      <w:tr>
        <w:tc>
          <w:tcPr/>
          <w:p>
            <w:pPr>
              <w:pStyle w:val="Compact"/>
            </w:pPr>
            <w:r>
              <w:t xml:space="preserve">Missing decisive evidence for the requested exact claim</w:t>
            </w:r>
          </w:p>
        </w:tc>
        <w:tc>
          <w:tcPr/>
          <w:p>
            <w:pPr>
              <w:pStyle w:val="Compact"/>
            </w:pPr>
            <w:r>
              <w:t xml:space="preserve">Refuse</w:t>
            </w:r>
          </w:p>
        </w:tc>
        <w:tc>
          <w:tcPr/>
          <w:p>
            <w:pPr>
              <w:pStyle w:val="Compact"/>
            </w:pPr>
            <w:r>
              <w:t xml:space="preserve">Deterministic refusal</w:t>
            </w:r>
          </w:p>
        </w:tc>
        <w:tc>
          <w:tcPr/>
          <w:p>
            <w:pPr>
              <w:pStyle w:val="Compact"/>
            </w:pPr>
            <w:r>
              <w:t xml:space="preserve">Correct refusal if reason cites missing decisive evidence</w:t>
            </w:r>
          </w:p>
        </w:tc>
        <w:tc>
          <w:tcPr/>
          <w:p>
            <w:pPr>
              <w:pStyle w:val="Compact"/>
            </w:pPr>
            <w:r>
              <w:t xml:space="preserve">Classic insufficient-evidence refusal</w:t>
            </w:r>
          </w:p>
        </w:tc>
        <w:tc>
          <w:tcPr/>
          <w:p>
            <w:pPr>
              <w:pStyle w:val="Compact"/>
            </w:pPr>
            <w:r>
              <w:t xml:space="preserve">Source-supported</w:t>
            </w:r>
            <w:r>
              <w:t xml:space="preserve"> </w:t>
            </w:r>
            <w:hyperlink r:id="rId22">
              <w:r>
                <w:rPr>
                  <w:rStyle w:val="Hyperlink"/>
                </w:rPr>
                <w:t xml:space="preserve">[12]</w:t>
              </w:r>
            </w:hyperlink>
          </w:p>
        </w:tc>
      </w:tr>
      <w:tr>
        <w:tc>
          <w:tcPr/>
          <w:p>
            <w:pPr>
              <w:pStyle w:val="Compact"/>
            </w:pPr>
            <w:r>
              <w:t xml:space="preserve">Conflicting decisive records with no predeclared tie-break rule</w:t>
            </w:r>
          </w:p>
        </w:tc>
        <w:tc>
          <w:tcPr/>
          <w:p>
            <w:pPr>
              <w:pStyle w:val="Compact"/>
            </w:pPr>
            <w:r>
              <w:t xml:space="preserve">Qualified answer with explicit conflict, or refuse for single-value exact claim</w:t>
            </w:r>
          </w:p>
        </w:tc>
        <w:tc>
          <w:tcPr/>
          <w:p>
            <w:pPr>
              <w:pStyle w:val="Compact"/>
            </w:pPr>
            <w:r>
              <w:t xml:space="preserve">Deterministic caveat or refusal</w:t>
            </w:r>
          </w:p>
        </w:tc>
        <w:tc>
          <w:tcPr/>
          <w:p>
            <w:pPr>
              <w:pStyle w:val="Compact"/>
            </w:pPr>
            <w:r>
              <w:t xml:space="preserve">Depends on task</w:t>
            </w:r>
          </w:p>
        </w:tc>
        <w:tc>
          <w:tcPr/>
          <w:p>
            <w:pPr>
              <w:pStyle w:val="Compact"/>
            </w:pPr>
            <w:r>
              <w:t xml:space="preserve">Single-value factual questions should not silently choose a winner</w:t>
            </w:r>
          </w:p>
        </w:tc>
        <w:tc>
          <w:tcPr/>
          <w:p>
            <w:pPr>
              <w:pStyle w:val="Compact"/>
            </w:pPr>
            <w:r>
              <w:t xml:space="preserve">Reviewer judgment</w:t>
            </w:r>
          </w:p>
        </w:tc>
      </w:tr>
      <w:tr>
        <w:tc>
          <w:tcPr/>
          <w:p>
            <w:pPr>
              <w:pStyle w:val="Compact"/>
            </w:pPr>
            <w:r>
              <w:t xml:space="preserve">Rights/status field not source-audited and task asks for authoritative rights/status</w:t>
            </w:r>
          </w:p>
        </w:tc>
        <w:tc>
          <w:tcPr/>
          <w:p>
            <w:pPr>
              <w:pStyle w:val="Compact"/>
            </w:pPr>
            <w:r>
              <w:t xml:space="preserve">Refuse or qualified “source-reported, unaudited” answer, depending on contract</w:t>
            </w:r>
          </w:p>
        </w:tc>
        <w:tc>
          <w:tcPr/>
          <w:p>
            <w:pPr>
              <w:pStyle w:val="Compact"/>
            </w:pPr>
            <w:r>
              <w:t xml:space="preserve">Deterministic caveat or refusal</w:t>
            </w:r>
          </w:p>
        </w:tc>
        <w:tc>
          <w:tcPr/>
          <w:p>
            <w:pPr>
              <w:pStyle w:val="Compact"/>
            </w:pPr>
            <w:r>
              <w:t xml:space="preserve">Often correct refusal</w:t>
            </w:r>
          </w:p>
        </w:tc>
        <w:tc>
          <w:tcPr/>
          <w:p>
            <w:pPr>
              <w:pStyle w:val="Compact"/>
            </w:pPr>
            <w:r>
              <w:t xml:space="preserve">Never allow silent upgrade to authoritative legal status</w:t>
            </w:r>
          </w:p>
        </w:tc>
        <w:tc>
          <w:tcPr/>
          <w:p>
            <w:pPr>
              <w:pStyle w:val="Compact"/>
            </w:pPr>
            <w:r>
              <w:t xml:space="preserve">Reviewer judgment, aligned with claim-calibration principles</w:t>
            </w:r>
            <w:r>
              <w:t xml:space="preserve"> </w:t>
            </w:r>
            <w:hyperlink r:id="rId34">
              <w:r>
                <w:rPr>
                  <w:rStyle w:val="Hyperlink"/>
                </w:rPr>
                <w:t xml:space="preserve">[28]</w:t>
              </w:r>
            </w:hyperlink>
          </w:p>
        </w:tc>
      </w:tr>
      <w:tr>
        <w:tc>
          <w:tcPr/>
          <w:p>
            <w:pPr>
              <w:pStyle w:val="Compact"/>
            </w:pPr>
            <w:r>
              <w:t xml:space="preserve">Retrieval trace absent or decisive snippets missing</w:t>
            </w:r>
          </w:p>
        </w:tc>
        <w:tc>
          <w:tcPr/>
          <w:p>
            <w:pPr>
              <w:pStyle w:val="Compact"/>
            </w:pPr>
            <w:r>
              <w:t xml:space="preserve">Refuse for main study scoring</w:t>
            </w:r>
          </w:p>
        </w:tc>
        <w:tc>
          <w:tcPr/>
          <w:p>
            <w:pPr>
              <w:pStyle w:val="Compact"/>
            </w:pPr>
            <w:r>
              <w:t xml:space="preserve">Refusal</w:t>
            </w:r>
          </w:p>
        </w:tc>
        <w:tc>
          <w:tcPr/>
          <w:p>
            <w:pPr>
              <w:pStyle w:val="Compact"/>
            </w:pPr>
            <w:r>
              <w:t xml:space="preserve">Correct refusal</w:t>
            </w:r>
          </w:p>
        </w:tc>
        <w:tc>
          <w:tcPr/>
          <w:p>
            <w:pPr>
              <w:pStyle w:val="Compact"/>
            </w:pPr>
            <w:r>
              <w:t xml:space="preserve">Otherwise retrieval failure is mis-scored as answer failure</w:t>
            </w:r>
          </w:p>
        </w:tc>
        <w:tc>
          <w:tcPr/>
          <w:p>
            <w:pPr>
              <w:pStyle w:val="Compact"/>
            </w:pPr>
            <w:r>
              <w:t xml:space="preserve">Reviewer judgment informed by RAG decomposition literature</w:t>
            </w:r>
            <w:r>
              <w:t xml:space="preserve"> </w:t>
            </w:r>
            <w:hyperlink r:id="rId22">
              <w:r>
                <w:rPr>
                  <w:rStyle w:val="Hyperlink"/>
                </w:rPr>
                <w:t xml:space="preserve">[29]</w:t>
              </w:r>
            </w:hyperlink>
          </w:p>
        </w:tc>
      </w:tr>
      <w:tr>
        <w:tc>
          <w:tcPr/>
          <w:p>
            <w:pPr>
              <w:pStyle w:val="Compact"/>
            </w:pPr>
            <w:r>
              <w:t xml:space="preserve">Policy-barred content</w:t>
            </w:r>
          </w:p>
        </w:tc>
        <w:tc>
          <w:tcPr/>
          <w:p>
            <w:pPr>
              <w:pStyle w:val="Compact"/>
            </w:pPr>
            <w:r>
              <w:t xml:space="preserve">Refuse</w:t>
            </w:r>
          </w:p>
        </w:tc>
        <w:tc>
          <w:tcPr/>
          <w:p>
            <w:pPr>
              <w:pStyle w:val="Compact"/>
            </w:pPr>
            <w:r>
              <w:t xml:space="preserve">Policy refusal</w:t>
            </w:r>
          </w:p>
        </w:tc>
        <w:tc>
          <w:tcPr/>
          <w:p>
            <w:pPr>
              <w:pStyle w:val="Compact"/>
            </w:pPr>
            <w:r>
              <w:t xml:space="preserve">Neither over- nor under-refusal in evidence terms; separate policy bucket</w:t>
            </w:r>
          </w:p>
        </w:tc>
        <w:tc>
          <w:tcPr/>
          <w:p>
            <w:pPr>
              <w:pStyle w:val="Compact"/>
            </w:pPr>
            <w:r>
              <w:t xml:space="preserve">Must not be conflated with missing-evidence refusal</w:t>
            </w:r>
          </w:p>
        </w:tc>
        <w:tc>
          <w:tcPr/>
          <w:p>
            <w:pPr>
              <w:pStyle w:val="Compact"/>
            </w:pPr>
            <w:r>
              <w:t xml:space="preserve">Reviewer judgment</w:t>
            </w:r>
          </w:p>
        </w:tc>
      </w:tr>
    </w:tbl>
    <w:p>
      <w:pPr>
        <w:pStyle w:val="BodyText"/>
      </w:pPr>
      <w:r>
        <w:t xml:space="preserve">Wrong refusal reason should be captured separately. If the gold action is refusal but the system gives the wrong refusal rationale, I recommend scoring</w:t>
      </w:r>
      <w:r>
        <w:t xml:space="preserve"> </w:t>
      </w:r>
      <w:r>
        <w:rPr>
          <w:b/>
          <w:bCs/>
        </w:rPr>
        <w:t xml:space="preserve">action correct, rationale incorrect</w:t>
      </w:r>
      <w:r>
        <w:t xml:space="preserve">. Otherwise the study will overcount “good refusals” that happen for the wrong reason.</w:t>
      </w:r>
    </w:p>
    <w:p>
      <w:pPr>
        <w:pStyle w:val="BodyText"/>
      </w:pPr>
      <w:r>
        <w:t xml:space="preserve">The</w:t>
      </w:r>
      <w:r>
        <w:t xml:space="preserve"> </w:t>
      </w:r>
      <w:r>
        <w:rPr>
          <w:rStyle w:val="VerbatimChar"/>
        </w:rPr>
        <w:t xml:space="preserve">refusal_decision_trace</w:t>
      </w:r>
      <w:r>
        <w:t xml:space="preserve"> </w:t>
      </w:r>
      <w:r>
        <w:t xml:space="preserve">schema should record at least:</w:t>
      </w:r>
      <w:r>
        <w:t xml:space="preserve"> </w:t>
      </w:r>
      <w:r>
        <w:rPr>
          <w:rStyle w:val="VerbatimChar"/>
        </w:rPr>
        <w:t xml:space="preserve">row_id</w:t>
      </w:r>
      <w:r>
        <w:t xml:space="preserve">,</w:t>
      </w:r>
      <w:r>
        <w:t xml:space="preserve"> </w:t>
      </w:r>
      <w:r>
        <w:rPr>
          <w:rStyle w:val="VerbatimChar"/>
        </w:rPr>
        <w:t xml:space="preserve">condition</w:t>
      </w:r>
      <w:r>
        <w:t xml:space="preserve">,</w:t>
      </w:r>
      <w:r>
        <w:t xml:space="preserve"> </w:t>
      </w:r>
      <w:r>
        <w:rPr>
          <w:rStyle w:val="VerbatimChar"/>
        </w:rPr>
        <w:t xml:space="preserve">rule_id</w:t>
      </w:r>
      <w:r>
        <w:t xml:space="preserve">,</w:t>
      </w:r>
      <w:r>
        <w:t xml:space="preserve"> </w:t>
      </w:r>
      <w:r>
        <w:rPr>
          <w:rStyle w:val="VerbatimChar"/>
        </w:rPr>
        <w:t xml:space="preserve">predicted_lane</w:t>
      </w:r>
      <w:r>
        <w:t xml:space="preserve">,</w:t>
      </w:r>
      <w:r>
        <w:t xml:space="preserve"> </w:t>
      </w:r>
      <w:r>
        <w:rPr>
          <w:rStyle w:val="VerbatimChar"/>
        </w:rPr>
        <w:t xml:space="preserve">gold_lane</w:t>
      </w:r>
      <w:r>
        <w:t xml:space="preserve">,</w:t>
      </w:r>
      <w:r>
        <w:t xml:space="preserve"> </w:t>
      </w:r>
      <w:r>
        <w:rPr>
          <w:rStyle w:val="VerbatimChar"/>
        </w:rPr>
        <w:t xml:space="preserve">evidence_sufficiency_state</w:t>
      </w:r>
      <w:r>
        <w:t xml:space="preserve">,</w:t>
      </w:r>
      <w:r>
        <w:t xml:space="preserve"> </w:t>
      </w:r>
      <w:r>
        <w:rPr>
          <w:rStyle w:val="VerbatimChar"/>
        </w:rPr>
        <w:t xml:space="preserve">refusal_trigger_type</w:t>
      </w:r>
      <w:r>
        <w:t xml:space="preserve">,</w:t>
      </w:r>
      <w:r>
        <w:t xml:space="preserve"> </w:t>
      </w:r>
      <w:r>
        <w:rPr>
          <w:rStyle w:val="VerbatimChar"/>
        </w:rPr>
        <w:t xml:space="preserve">decisive_fields</w:t>
      </w:r>
      <w:r>
        <w:t xml:space="preserve">,</w:t>
      </w:r>
      <w:r>
        <w:t xml:space="preserve"> </w:t>
      </w:r>
      <w:r>
        <w:rPr>
          <w:rStyle w:val="VerbatimChar"/>
        </w:rPr>
        <w:t xml:space="preserve">missing_required_fields</w:t>
      </w:r>
      <w:r>
        <w:t xml:space="preserve">,</w:t>
      </w:r>
      <w:r>
        <w:t xml:space="preserve"> </w:t>
      </w:r>
      <w:r>
        <w:rPr>
          <w:rStyle w:val="VerbatimChar"/>
        </w:rPr>
        <w:t xml:space="preserve">conflicting_record_ids</w:t>
      </w:r>
      <w:r>
        <w:t xml:space="preserve">,</w:t>
      </w:r>
      <w:r>
        <w:t xml:space="preserve"> </w:t>
      </w:r>
      <w:r>
        <w:rPr>
          <w:rStyle w:val="VerbatimChar"/>
        </w:rPr>
        <w:t xml:space="preserve">record_audit_summary</w:t>
      </w:r>
      <w:r>
        <w:t xml:space="preserve">,</w:t>
      </w:r>
      <w:r>
        <w:t xml:space="preserve"> </w:t>
      </w:r>
      <w:r>
        <w:rPr>
          <w:rStyle w:val="VerbatimChar"/>
        </w:rPr>
        <w:t xml:space="preserve">system_action</w:t>
      </w:r>
      <w:r>
        <w:t xml:space="preserve">,</w:t>
      </w:r>
      <w:r>
        <w:t xml:space="preserve"> </w:t>
      </w:r>
      <w:r>
        <w:rPr>
          <w:rStyle w:val="VerbatimChar"/>
        </w:rPr>
        <w:t xml:space="preserve">gold_action</w:t>
      </w:r>
      <w:r>
        <w:t xml:space="preserve">,</w:t>
      </w:r>
      <w:r>
        <w:t xml:space="preserve"> </w:t>
      </w:r>
      <w:r>
        <w:rPr>
          <w:rStyle w:val="VerbatimChar"/>
        </w:rPr>
        <w:t xml:space="preserve">reason_text</w:t>
      </w:r>
      <w:r>
        <w:t xml:space="preserve">,</w:t>
      </w:r>
      <w:r>
        <w:t xml:space="preserve"> </w:t>
      </w:r>
      <w:r>
        <w:rPr>
          <w:rStyle w:val="VerbatimChar"/>
        </w:rPr>
        <w:t xml:space="preserve">reason_code</w:t>
      </w:r>
      <w:r>
        <w:t xml:space="preserve">,</w:t>
      </w:r>
      <w:r>
        <w:t xml:space="preserve"> </w:t>
      </w:r>
      <w:r>
        <w:rPr>
          <w:rStyle w:val="VerbatimChar"/>
        </w:rPr>
        <w:t xml:space="preserve">over_refusal_flag</w:t>
      </w:r>
      <w:r>
        <w:t xml:space="preserve">,</w:t>
      </w:r>
      <w:r>
        <w:t xml:space="preserve"> </w:t>
      </w:r>
      <w:r>
        <w:rPr>
          <w:rStyle w:val="VerbatimChar"/>
        </w:rPr>
        <w:t xml:space="preserve">under_refusal_flag</w:t>
      </w:r>
      <w:r>
        <w:t xml:space="preserve">, and</w:t>
      </w:r>
      <w:r>
        <w:t xml:space="preserve"> </w:t>
      </w:r>
      <w:r>
        <w:rPr>
          <w:rStyle w:val="VerbatimChar"/>
        </w:rPr>
        <w:t xml:space="preserve">boundary_ambiguity_flag</w:t>
      </w:r>
      <w:r>
        <w:t xml:space="preserve">. This is reviewer judgment, but it is the minimum needed to make refusal adjudication reproducible.</w:t>
      </w:r>
    </w:p>
    <w:p>
      <w:pPr>
        <w:pStyle w:val="BodyText"/>
      </w:pPr>
      <w:r>
        <w:t xml:space="preserve">Over-refusal and under-refusal should be measured</w:t>
      </w:r>
      <w:r>
        <w:t xml:space="preserve"> </w:t>
      </w:r>
      <w:r>
        <w:rPr>
          <w:b/>
          <w:bCs/>
        </w:rPr>
        <w:t xml:space="preserve">separately</w:t>
      </w:r>
      <w:r>
        <w:t xml:space="preserve">, not netted into a single refusal accuracy number. The abstention literature repeatedly shows that coverage and accuracy trade off, so collapsing both directions into one score hides the most policy-relevant effect.</w:t>
      </w:r>
      <w:r>
        <w:t xml:space="preserve"> </w:t>
      </w:r>
      <w:hyperlink r:id="rId36">
        <w:r>
          <w:rPr>
            <w:rStyle w:val="Hyperlink"/>
          </w:rPr>
          <w:t xml:space="preserve">[30]</w:t>
        </w:r>
      </w:hyperlink>
    </w:p>
    <w:p>
      <w:pPr>
        <w:pStyle w:val="BodyText"/>
      </w:pPr>
      <w:r>
        <w:rPr>
          <w:b/>
          <w:bCs/>
        </w:rPr>
        <w:t xml:space="preserve">Mixed-intent and compound-answer evaluation.</w:t>
      </w:r>
      <w:r>
        <w:br/>
      </w:r>
      <w:r>
        <w:t xml:space="preserve">Ten mixed-intent rows in a 50-query pilot is enough to expose some failure modes, but</w:t>
      </w:r>
      <w:r>
        <w:t xml:space="preserve"> </w:t>
      </w:r>
      <w:r>
        <w:rPr>
          <w:b/>
          <w:bCs/>
        </w:rPr>
        <w:t xml:space="preserve">not enough to support stable claims about routing ambiguity rates</w:t>
      </w:r>
      <w:r>
        <w:t xml:space="preserve">. Those rows should be analyzed as a separate stratum, not pooled into the main exact-field or refusal results. ConSiDERS explicitly warns that tasks asking multiple questions at once can bias judgments and reduce consistency; mixed-intent rows are exactly that kind of higher-complexity evaluation item.</w:t>
      </w:r>
      <w:r>
        <w:t xml:space="preserve"> </w:t>
      </w:r>
      <w:hyperlink r:id="rId26">
        <w:r>
          <w:rPr>
            <w:rStyle w:val="Hyperlink"/>
          </w:rPr>
          <w:t xml:space="preserve">[31]</w:t>
        </w:r>
      </w:hyperlink>
    </w:p>
    <w:p>
      <w:pPr>
        <w:pStyle w:val="BodyText"/>
      </w:pPr>
      <w:r>
        <w:t xml:space="preserve">Compound answers are still fair to compare across conditions, but only if their format is normalized. The safest format is a two-part answer: a deterministic block first, then a clearly marked generative paragraph or paragraphs. If the all-generation baseline uses a radically different answer style, helpfulness and trust become confounded with aesthetics rather than lane methodology. The human-AI interaction literature also supports clear communication of uncertainty and system limitations rather than burying them inside fluent prose.</w:t>
      </w:r>
      <w:r>
        <w:t xml:space="preserve"> </w:t>
      </w:r>
      <w:hyperlink r:id="rId34">
        <w:r>
          <w:rPr>
            <w:rStyle w:val="Hyperlink"/>
          </w:rPr>
          <w:t xml:space="preserve">[28]</w:t>
        </w:r>
      </w:hyperlink>
    </w:p>
    <w:p>
      <w:pPr>
        <w:pStyle w:val="BodyText"/>
      </w:pPr>
      <w:r>
        <w:t xml:space="preserve">The deterministic and generative parts should be scored separately and then rolled up into a global label. A compound answer with a perfect deterministic block but hallucinated generative explanation should</w:t>
      </w:r>
      <w:r>
        <w:t xml:space="preserve"> </w:t>
      </w:r>
      <w:r>
        <w:rPr>
          <w:b/>
          <w:bCs/>
        </w:rPr>
        <w:t xml:space="preserve">not</w:t>
      </w:r>
      <w:r>
        <w:t xml:space="preserve"> </w:t>
      </w:r>
      <w:r>
        <w:t xml:space="preserve">get full credit. Nor should a helpful generative explanation rescue an omitted required deterministic field on an exact-field task.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Compound dimension</w:t>
            </w:r>
          </w:p>
        </w:tc>
        <w:tc>
          <w:tcPr/>
          <w:p>
            <w:pPr>
              <w:pStyle w:val="Compact"/>
            </w:pPr>
            <w:r>
              <w:t xml:space="preserve">How to score</w:t>
            </w:r>
          </w:p>
        </w:tc>
        <w:tc>
          <w:tcPr/>
          <w:p>
            <w:pPr>
              <w:pStyle w:val="Compact"/>
            </w:pPr>
            <w:r>
              <w:t xml:space="preserve">Pass rule</w:t>
            </w:r>
          </w:p>
        </w:tc>
        <w:tc>
          <w:tcPr/>
          <w:p>
            <w:pPr>
              <w:pStyle w:val="Compact"/>
            </w:pPr>
            <w:r>
              <w:t xml:space="preserve">Failure consequence</w:t>
            </w:r>
          </w:p>
        </w:tc>
        <w:tc>
          <w:tcPr/>
          <w:p>
            <w:pPr>
              <w:pStyle w:val="Compact"/>
            </w:pPr>
            <w:r>
              <w:t xml:space="preserve">Basis</w:t>
            </w:r>
          </w:p>
        </w:tc>
      </w:tr>
      <w:tr>
        <w:tc>
          <w:tcPr/>
          <w:p>
            <w:pPr>
              <w:pStyle w:val="Compact"/>
            </w:pPr>
            <w:r>
              <w:t xml:space="preserve">Routing correctness</w:t>
            </w:r>
          </w:p>
        </w:tc>
        <w:tc>
          <w:tcPr/>
          <w:p>
            <w:pPr>
              <w:pStyle w:val="Compact"/>
            </w:pPr>
            <w:r>
              <w:t xml:space="preserve">Gold lane vs actual lane</w:t>
            </w:r>
          </w:p>
        </w:tc>
        <w:tc>
          <w:tcPr/>
          <w:p>
            <w:pPr>
              <w:pStyle w:val="Compact"/>
            </w:pPr>
            <w:r>
              <w:t xml:space="preserve">Must match gold lane family</w:t>
            </w:r>
          </w:p>
        </w:tc>
        <w:tc>
          <w:tcPr/>
          <w:p>
            <w:pPr>
              <w:pStyle w:val="Compact"/>
            </w:pPr>
            <w:r>
              <w:t xml:space="preserve">Separate routing failure</w:t>
            </w:r>
          </w:p>
        </w:tc>
        <w:tc>
          <w:tcPr/>
          <w:p>
            <w:pPr>
              <w:pStyle w:val="Compact"/>
            </w:pPr>
            <w:r>
              <w:t xml:space="preserve">Reviewer judgment</w:t>
            </w:r>
          </w:p>
        </w:tc>
      </w:tr>
      <w:tr>
        <w:tc>
          <w:tcPr/>
          <w:p>
            <w:pPr>
              <w:pStyle w:val="Compact"/>
            </w:pPr>
            <w:r>
              <w:t xml:space="preserve">Deterministic block fidelity</w:t>
            </w:r>
          </w:p>
        </w:tc>
        <w:tc>
          <w:tcPr/>
          <w:p>
            <w:pPr>
              <w:pStyle w:val="Compact"/>
            </w:pPr>
            <w:r>
              <w:t xml:space="preserve">Binary checklist</w:t>
            </w:r>
          </w:p>
        </w:tc>
        <w:tc>
          <w:tcPr/>
          <w:p>
            <w:pPr>
              <w:pStyle w:val="Compact"/>
            </w:pPr>
            <w:r>
              <w:t xml:space="preserve">All required exact fields/caveats/rendering rules satisfied</w:t>
            </w:r>
          </w:p>
        </w:tc>
        <w:tc>
          <w:tcPr/>
          <w:p>
            <w:pPr>
              <w:pStyle w:val="Compact"/>
            </w:pPr>
            <w:r>
              <w:t xml:space="preserve">Contract fail</w:t>
            </w:r>
          </w:p>
        </w:tc>
        <w:tc>
          <w:tcPr/>
          <w:p>
            <w:pPr>
              <w:pStyle w:val="Compact"/>
            </w:pPr>
            <w:r>
              <w:t xml:space="preserve">Checklist-based evaluation logic</w:t>
            </w:r>
            <w:r>
              <w:t xml:space="preserve"> </w:t>
            </w:r>
            <w:hyperlink r:id="rId35">
              <w:r>
                <w:rPr>
                  <w:rStyle w:val="Hyperlink"/>
                </w:rPr>
                <w:t xml:space="preserve">[32]</w:t>
              </w:r>
            </w:hyperlink>
          </w:p>
        </w:tc>
      </w:tr>
      <w:tr>
        <w:tc>
          <w:tcPr/>
          <w:p>
            <w:pPr>
              <w:pStyle w:val="Compact"/>
            </w:pPr>
            <w:r>
              <w:t xml:space="preserve">Generative block support</w:t>
            </w:r>
          </w:p>
        </w:tc>
        <w:tc>
          <w:tcPr/>
          <w:p>
            <w:pPr>
              <w:pStyle w:val="Compact"/>
            </w:pPr>
            <w:r>
              <w:t xml:space="preserve">Unsupported material claims counted</w:t>
            </w:r>
          </w:p>
        </w:tc>
        <w:tc>
          <w:tcPr/>
          <w:p>
            <w:pPr>
              <w:pStyle w:val="Compact"/>
            </w:pPr>
            <w:r>
              <w:t xml:space="preserve">No material unsupported claims if task is evidence-grounded</w:t>
            </w:r>
          </w:p>
        </w:tc>
        <w:tc>
          <w:tcPr/>
          <w:p>
            <w:pPr>
              <w:pStyle w:val="Compact"/>
            </w:pPr>
            <w:r>
              <w:t xml:space="preserve">Hallucination/unsupported-claim fail</w:t>
            </w:r>
          </w:p>
        </w:tc>
        <w:tc>
          <w:tcPr/>
          <w:p>
            <w:pPr>
              <w:pStyle w:val="Compact"/>
            </w:pPr>
            <w:r>
              <w:t xml:space="preserve">Verifiability and citation-quality literature</w:t>
            </w:r>
            <w:r>
              <w:t xml:space="preserve"> </w:t>
            </w:r>
            <w:hyperlink r:id="rId37">
              <w:r>
                <w:rPr>
                  <w:rStyle w:val="Hyperlink"/>
                </w:rPr>
                <w:t xml:space="preserve">[33]</w:t>
              </w:r>
            </w:hyperlink>
          </w:p>
        </w:tc>
      </w:tr>
      <w:tr>
        <w:tc>
          <w:tcPr/>
          <w:p>
            <w:pPr>
              <w:pStyle w:val="Compact"/>
            </w:pPr>
            <w:r>
              <w:t xml:space="preserve">Generative block helpfulness</w:t>
            </w:r>
          </w:p>
        </w:tc>
        <w:tc>
          <w:tcPr/>
          <w:p>
            <w:pPr>
              <w:pStyle w:val="Compact"/>
            </w:pPr>
            <w:r>
              <w:t xml:space="preserve">Human rating with anchors</w:t>
            </w:r>
          </w:p>
        </w:tc>
        <w:tc>
          <w:tcPr/>
          <w:p>
            <w:pPr>
              <w:pStyle w:val="Compact"/>
            </w:pPr>
            <w:r>
              <w:t xml:space="preserve">Reported separately; not a substitute for fidelity</w:t>
            </w:r>
          </w:p>
        </w:tc>
        <w:tc>
          <w:tcPr/>
          <w:p>
            <w:pPr>
              <w:pStyle w:val="Compact"/>
            </w:pPr>
            <w:r>
              <w:t xml:space="preserve">Useful but noncompliant answer remains noncompliant</w:t>
            </w:r>
          </w:p>
        </w:tc>
        <w:tc>
          <w:tcPr/>
          <w:p>
            <w:pPr>
              <w:pStyle w:val="Compact"/>
            </w:pPr>
            <w:r>
              <w:t xml:space="preserve">Human-eval literature</w:t>
            </w:r>
            <w:r>
              <w:t xml:space="preserve"> </w:t>
            </w:r>
            <w:hyperlink r:id="rId23">
              <w:r>
                <w:rPr>
                  <w:rStyle w:val="Hyperlink"/>
                </w:rPr>
                <w:t xml:space="preserve">[34]</w:t>
              </w:r>
            </w:hyperlink>
          </w:p>
        </w:tc>
      </w:tr>
      <w:tr>
        <w:tc>
          <w:tcPr/>
          <w:p>
            <w:pPr>
              <w:pStyle w:val="Compact"/>
            </w:pPr>
            <w:r>
              <w:t xml:space="preserve">Integration/usability</w:t>
            </w:r>
          </w:p>
        </w:tc>
        <w:tc>
          <w:tcPr/>
          <w:p>
            <w:pPr>
              <w:pStyle w:val="Compact"/>
            </w:pPr>
            <w:r>
              <w:t xml:space="preserve">Did caveats and blocks fit together clearly?</w:t>
            </w:r>
          </w:p>
        </w:tc>
        <w:tc>
          <w:tcPr/>
          <w:p>
            <w:pPr>
              <w:pStyle w:val="Compact"/>
            </w:pPr>
            <w:r>
              <w:t xml:space="preserve">No hidden contradiction between blocks</w:t>
            </w:r>
          </w:p>
        </w:tc>
        <w:tc>
          <w:tcPr/>
          <w:p>
            <w:pPr>
              <w:pStyle w:val="Compact"/>
            </w:pPr>
            <w:r>
              <w:t xml:space="preserve">Usability issue</w:t>
            </w:r>
          </w:p>
        </w:tc>
        <w:tc>
          <w:tcPr/>
          <w:p>
            <w:pPr>
              <w:pStyle w:val="Compact"/>
            </w:pPr>
            <w:r>
              <w:t xml:space="preserve">HAI guidance</w:t>
            </w:r>
            <w:r>
              <w:t xml:space="preserve"> </w:t>
            </w:r>
            <w:hyperlink r:id="rId34">
              <w:r>
                <w:rPr>
                  <w:rStyle w:val="Hyperlink"/>
                </w:rPr>
                <w:t xml:space="preserve">[28]</w:t>
              </w:r>
            </w:hyperlink>
          </w:p>
        </w:tc>
      </w:tr>
      <w:tr>
        <w:tc>
          <w:tcPr/>
          <w:p>
            <w:pPr>
              <w:pStyle w:val="Compact"/>
            </w:pPr>
            <w:r>
              <w:t xml:space="preserve">Overall label</w:t>
            </w:r>
          </w:p>
        </w:tc>
        <w:tc>
          <w:tcPr/>
          <w:p>
            <w:pPr>
              <w:pStyle w:val="Compact"/>
            </w:pPr>
            <w:r>
              <w:t xml:space="preserve">Hierarchical roll-up</w:t>
            </w:r>
          </w:p>
        </w:tc>
        <w:tc>
          <w:tcPr/>
          <w:p>
            <w:pPr>
              <w:pStyle w:val="Compact"/>
            </w:pPr>
            <w:r>
              <w:t xml:space="preserve">Exact-field tasks cannot pass overall if deterministic block fails</w:t>
            </w:r>
          </w:p>
        </w:tc>
        <w:tc>
          <w:tcPr/>
          <w:p>
            <w:pPr>
              <w:pStyle w:val="Compact"/>
            </w:pPr>
            <w:r>
              <w:t xml:space="preserve">Prevents “helpful prose” from masking contract failures</w:t>
            </w:r>
          </w:p>
        </w:tc>
        <w:tc>
          <w:tcPr/>
          <w:p>
            <w:pPr>
              <w:pStyle w:val="Compact"/>
            </w:pPr>
            <w:r>
              <w:t xml:space="preserve">Reviewer judgment</w:t>
            </w:r>
          </w:p>
        </w:tc>
      </w:tr>
    </w:tbl>
    <w:p>
      <w:pPr>
        <w:pStyle w:val="BodyText"/>
      </w:pPr>
      <w:r>
        <w:rPr>
          <w:b/>
          <w:bCs/>
        </w:rPr>
        <w:t xml:space="preserve">Human-review calibration and IRA plan.</w:t>
      </w:r>
      <w:r>
        <w:br/>
      </w:r>
      <w:r>
        <w:t xml:space="preserve">A minimally defensible protocol is</w:t>
      </w:r>
      <w:r>
        <w:t xml:space="preserve"> </w:t>
      </w:r>
      <w:r>
        <w:rPr>
          <w:b/>
          <w:bCs/>
        </w:rPr>
        <w:t xml:space="preserve">two independent reviewers plus one adjudicator</w:t>
      </w:r>
      <w:r>
        <w:t xml:space="preserve">. The same two blinded reviewers should rate all three condition outputs for a given query, but those outputs should be shown in randomized order with condition IDs removed. This preserves the paired structure of the study while controlling reviewer variance. Human-evaluation best-practice work recommends reporting agreement, confidence intervals where possible, and using independent expert annotation to expose guideline weaknesses before the main run.</w:t>
      </w:r>
      <w:r>
        <w:t xml:space="preserve"> </w:t>
      </w:r>
      <w:hyperlink r:id="rId23">
        <w:r>
          <w:rPr>
            <w:rStyle w:val="Hyperlink"/>
          </w:rPr>
          <w:t xml:space="preserve">[35]</w:t>
        </w:r>
      </w:hyperlink>
    </w:p>
    <w:p>
      <w:pPr>
        <w:pStyle w:val="BodyText"/>
      </w:pPr>
      <w:r>
        <w:t xml:space="preserve">Calibration should use a small dedicated set—roughly 8 to 12 queries—covering easy exact fields, partial evidence, contradictory records, OCR noise, justified refusal, over-refusal traps, and mixed-intent rows. Reviewers should annotate them independently, compare disagreement rationales, revise the guide once, and only then begin the official evaluation. That workflow is source-supported by ConSiDERS’ emphasis on independent expert use of the guideline to discover ambiguity.</w:t>
      </w:r>
      <w:r>
        <w:t xml:space="preserve"> </w:t>
      </w:r>
      <w:hyperlink r:id="rId26">
        <w:r>
          <w:rPr>
            <w:rStyle w:val="Hyperlink"/>
          </w:rPr>
          <w:t xml:space="preserve">[19]</w:t>
        </w:r>
      </w:hyperlink>
    </w:p>
    <w:p>
      <w:pPr>
        <w:pStyle w:val="BodyText"/>
      </w:pPr>
      <w:r>
        <w:t xml:space="preserve">Truth-conditional dimensions such as contract fidelity, refusal correctness, routing correctness, and unsupported-claim presence should use</w:t>
      </w:r>
      <w:r>
        <w:t xml:space="preserve"> </w:t>
      </w:r>
      <w:r>
        <w:rPr>
          <w:b/>
          <w:bCs/>
        </w:rPr>
        <w:t xml:space="preserve">objective checklist fields</w:t>
      </w:r>
      <w:r>
        <w:t xml:space="preserve">, not broad Likert scales. ConSiDERS explicitly recommends avoiding Likert-style scoring for non-perception properties like truthfulness, and recent checklist-based evaluation work reinforces that decomposed binary questions improve consistency and interpretability. Helpfulness and usability can still use anchored ordinal ratings, because they are perception-oriented.</w:t>
      </w:r>
      <w:r>
        <w:t xml:space="preserve"> </w:t>
      </w:r>
      <w:hyperlink r:id="rId26">
        <w:r>
          <w:rPr>
            <w:rStyle w:val="Hyperlink"/>
          </w:rPr>
          <w:t xml:space="preserve">[23]</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Review dimension</w:t>
            </w:r>
          </w:p>
        </w:tc>
        <w:tc>
          <w:tcPr/>
          <w:p>
            <w:pPr>
              <w:pStyle w:val="Compact"/>
            </w:pPr>
            <w:r>
              <w:t xml:space="preserve">Response type</w:t>
            </w:r>
          </w:p>
        </w:tc>
        <w:tc>
          <w:tcPr/>
          <w:p>
            <w:pPr>
              <w:pStyle w:val="Compact"/>
            </w:pPr>
            <w:r>
              <w:t xml:space="preserve">Primary agreement metric</w:t>
            </w:r>
          </w:p>
        </w:tc>
        <w:tc>
          <w:tcPr/>
          <w:p>
            <w:pPr>
              <w:pStyle w:val="Compact"/>
            </w:pPr>
            <w:r>
              <w:t xml:space="preserve">Secondary report</w:t>
            </w:r>
          </w:p>
        </w:tc>
        <w:tc>
          <w:tcPr/>
          <w:p>
            <w:pPr>
              <w:pStyle w:val="Compact"/>
            </w:pPr>
            <w:r>
              <w:t xml:space="preserve">Recalibration trigger</w:t>
            </w:r>
          </w:p>
        </w:tc>
        <w:tc>
          <w:tcPr/>
          <w:p>
            <w:pPr>
              <w:pStyle w:val="Compact"/>
            </w:pPr>
            <w:r>
              <w:t xml:space="preserve">Basis</w:t>
            </w:r>
          </w:p>
        </w:tc>
      </w:tr>
      <w:tr>
        <w:tc>
          <w:tcPr/>
          <w:p>
            <w:pPr>
              <w:pStyle w:val="Compact"/>
            </w:pPr>
            <w:r>
              <w:t xml:space="preserve">Contract pass/fail</w:t>
            </w:r>
          </w:p>
        </w:tc>
        <w:tc>
          <w:tcPr/>
          <w:p>
            <w:pPr>
              <w:pStyle w:val="Compact"/>
            </w:pPr>
            <w:r>
              <w:t xml:space="preserve">Binary nominal</w:t>
            </w:r>
          </w:p>
        </w:tc>
        <w:tc>
          <w:tcPr/>
          <w:p>
            <w:pPr>
              <w:pStyle w:val="Compact"/>
            </w:pPr>
            <w:r>
              <w:t xml:space="preserve">Cohen’s κ</w:t>
            </w:r>
          </w:p>
        </w:tc>
        <w:tc>
          <w:tcPr/>
          <w:p>
            <w:pPr>
              <w:pStyle w:val="Compact"/>
            </w:pPr>
            <w:r>
              <w:t xml:space="preserve">Percent agreement</w:t>
            </w:r>
          </w:p>
        </w:tc>
        <w:tc>
          <w:tcPr/>
          <w:p>
            <w:pPr>
              <w:pStyle w:val="Compact"/>
            </w:pPr>
            <w:r>
              <w:t xml:space="preserve">κ &lt; 0.60 or persistent systematic disagreement</w:t>
            </w:r>
          </w:p>
        </w:tc>
        <w:tc>
          <w:tcPr/>
          <w:p>
            <w:pPr>
              <w:pStyle w:val="Compact"/>
            </w:pPr>
            <w:r>
              <w:t xml:space="preserve">Kappa guidance plus reviewer judgment</w:t>
            </w:r>
            <w:r>
              <w:t xml:space="preserve"> </w:t>
            </w:r>
            <w:hyperlink r:id="rId38">
              <w:r>
                <w:rPr>
                  <w:rStyle w:val="Hyperlink"/>
                </w:rPr>
                <w:t xml:space="preserve">[36]</w:t>
              </w:r>
            </w:hyperlink>
          </w:p>
        </w:tc>
      </w:tr>
      <w:tr>
        <w:tc>
          <w:tcPr/>
          <w:p>
            <w:pPr>
              <w:pStyle w:val="Compact"/>
            </w:pPr>
            <w:r>
              <w:t xml:space="preserve">Refusal action class</w:t>
            </w:r>
          </w:p>
        </w:tc>
        <w:tc>
          <w:tcPr/>
          <w:p>
            <w:pPr>
              <w:pStyle w:val="Compact"/>
            </w:pPr>
            <w:r>
              <w:t xml:space="preserve">Nominal multiclass</w:t>
            </w:r>
          </w:p>
        </w:tc>
        <w:tc>
          <w:tcPr/>
          <w:p>
            <w:pPr>
              <w:pStyle w:val="Compact"/>
            </w:pPr>
            <w:r>
              <w:t xml:space="preserve">Cohen’s κ on collapsed pairwise labels or per-class agreement table</w:t>
            </w:r>
          </w:p>
        </w:tc>
        <w:tc>
          <w:tcPr/>
          <w:p>
            <w:pPr>
              <w:pStyle w:val="Compact"/>
            </w:pPr>
            <w:r>
              <w:t xml:space="preserve">Percent agreement, confusion matrix</w:t>
            </w:r>
          </w:p>
        </w:tc>
        <w:tc>
          <w:tcPr/>
          <w:p>
            <w:pPr>
              <w:pStyle w:val="Compact"/>
            </w:pPr>
            <w:r>
              <w:t xml:space="preserve">κ &lt; 0.60</w:t>
            </w:r>
          </w:p>
        </w:tc>
        <w:tc>
          <w:tcPr/>
          <w:p>
            <w:pPr>
              <w:pStyle w:val="Compact"/>
            </w:pPr>
            <w:r>
              <w:t xml:space="preserve">Reviewer judgment; ConSiDERS cautions on metric choice</w:t>
            </w:r>
            <w:r>
              <w:t xml:space="preserve"> </w:t>
            </w:r>
            <w:hyperlink r:id="rId26">
              <w:r>
                <w:rPr>
                  <w:rStyle w:val="Hyperlink"/>
                </w:rPr>
                <w:t xml:space="preserve">[37]</w:t>
              </w:r>
            </w:hyperlink>
          </w:p>
        </w:tc>
      </w:tr>
      <w:tr>
        <w:tc>
          <w:tcPr/>
          <w:p>
            <w:pPr>
              <w:pStyle w:val="Compact"/>
            </w:pPr>
            <w:r>
              <w:t xml:space="preserve">Hallucination severity</w:t>
            </w:r>
          </w:p>
        </w:tc>
        <w:tc>
          <w:tcPr/>
          <w:p>
            <w:pPr>
              <w:pStyle w:val="Compact"/>
            </w:pPr>
            <w:r>
              <w:t xml:space="preserve">Ordinal</w:t>
            </w:r>
          </w:p>
        </w:tc>
        <w:tc>
          <w:tcPr/>
          <w:p>
            <w:pPr>
              <w:pStyle w:val="Compact"/>
            </w:pPr>
            <w:r>
              <w:t xml:space="preserve">Weighted κ</w:t>
            </w:r>
          </w:p>
        </w:tc>
        <w:tc>
          <w:tcPr/>
          <w:p>
            <w:pPr>
              <w:pStyle w:val="Compact"/>
            </w:pPr>
            <w:r>
              <w:t xml:space="preserve">Percent agreement</w:t>
            </w:r>
          </w:p>
        </w:tc>
        <w:tc>
          <w:tcPr/>
          <w:p>
            <w:pPr>
              <w:pStyle w:val="Compact"/>
            </w:pPr>
            <w:r>
              <w:t xml:space="preserve">Weighted κ &lt; 0.60</w:t>
            </w:r>
          </w:p>
        </w:tc>
        <w:tc>
          <w:tcPr/>
          <w:p>
            <w:pPr>
              <w:pStyle w:val="Compact"/>
            </w:pPr>
            <w:r>
              <w:t xml:space="preserve">Weighted-kappa rationale plus reviewer judgment</w:t>
            </w:r>
            <w:r>
              <w:t xml:space="preserve"> </w:t>
            </w:r>
            <w:hyperlink r:id="rId39">
              <w:r>
                <w:rPr>
                  <w:rStyle w:val="Hyperlink"/>
                </w:rPr>
                <w:t xml:space="preserve">[38]</w:t>
              </w:r>
            </w:hyperlink>
          </w:p>
        </w:tc>
      </w:tr>
      <w:tr>
        <w:tc>
          <w:tcPr/>
          <w:p>
            <w:pPr>
              <w:pStyle w:val="Compact"/>
            </w:pPr>
            <w:r>
              <w:t xml:space="preserve">Helpfulness</w:t>
            </w:r>
          </w:p>
        </w:tc>
        <w:tc>
          <w:tcPr/>
          <w:p>
            <w:pPr>
              <w:pStyle w:val="Compact"/>
            </w:pPr>
            <w:r>
              <w:t xml:space="preserve">Ordinal 1–5</w:t>
            </w:r>
          </w:p>
        </w:tc>
        <w:tc>
          <w:tcPr/>
          <w:p>
            <w:pPr>
              <w:pStyle w:val="Compact"/>
            </w:pPr>
            <w:r>
              <w:t xml:space="preserve">Weighted κ as primary; ICC only if averaged score is formally analyzed</w:t>
            </w:r>
          </w:p>
        </w:tc>
        <w:tc>
          <w:tcPr/>
          <w:p>
            <w:pPr>
              <w:pStyle w:val="Compact"/>
            </w:pPr>
            <w:r>
              <w:t xml:space="preserve">Median and disagreement distribution</w:t>
            </w:r>
          </w:p>
        </w:tc>
        <w:tc>
          <w:tcPr/>
          <w:p>
            <w:pPr>
              <w:pStyle w:val="Compact"/>
            </w:pPr>
            <w:r>
              <w:t xml:space="preserve">Weighted κ &lt; 0.50 or ICC &lt; 0.75</w:t>
            </w:r>
          </w:p>
        </w:tc>
        <w:tc>
          <w:tcPr/>
          <w:p>
            <w:pPr>
              <w:pStyle w:val="Compact"/>
            </w:pPr>
            <w:r>
              <w:t xml:space="preserve">Koo &amp; Li for ICC reporting + reviewer judgment</w:t>
            </w:r>
            <w:r>
              <w:t xml:space="preserve"> </w:t>
            </w:r>
            <w:hyperlink r:id="rId40">
              <w:r>
                <w:rPr>
                  <w:rStyle w:val="Hyperlink"/>
                </w:rPr>
                <w:t xml:space="preserve">[39]</w:t>
              </w:r>
            </w:hyperlink>
          </w:p>
        </w:tc>
      </w:tr>
      <w:tr>
        <w:tc>
          <w:tcPr/>
          <w:p>
            <w:pPr>
              <w:pStyle w:val="Compact"/>
            </w:pPr>
            <w:r>
              <w:t xml:space="preserve">Overall route gold label</w:t>
            </w:r>
          </w:p>
        </w:tc>
        <w:tc>
          <w:tcPr/>
          <w:p>
            <w:pPr>
              <w:pStyle w:val="Compact"/>
            </w:pPr>
            <w:r>
              <w:t xml:space="preserve">Nominal</w:t>
            </w:r>
          </w:p>
        </w:tc>
        <w:tc>
          <w:tcPr/>
          <w:p>
            <w:pPr>
              <w:pStyle w:val="Compact"/>
            </w:pPr>
            <w:r>
              <w:t xml:space="preserve">Cohen’s κ</w:t>
            </w:r>
          </w:p>
        </w:tc>
        <w:tc>
          <w:tcPr/>
          <w:p>
            <w:pPr>
              <w:pStyle w:val="Compact"/>
            </w:pPr>
            <w:r>
              <w:t xml:space="preserve">Percent agreement</w:t>
            </w:r>
          </w:p>
        </w:tc>
        <w:tc>
          <w:tcPr/>
          <w:p>
            <w:pPr>
              <w:pStyle w:val="Compact"/>
            </w:pPr>
            <w:r>
              <w:t xml:space="preserve">κ &lt; 0.70 before main run</w:t>
            </w:r>
          </w:p>
        </w:tc>
        <w:tc>
          <w:tcPr/>
          <w:p>
            <w:pPr>
              <w:pStyle w:val="Compact"/>
            </w:pPr>
            <w:r>
              <w:t xml:space="preserve">Reviewer judgment</w:t>
            </w:r>
          </w:p>
        </w:tc>
      </w:tr>
    </w:tbl>
    <w:p>
      <w:pPr>
        <w:pStyle w:val="BodyText"/>
      </w:pPr>
      <w:r>
        <w:t xml:space="preserve">Disagreement resolution should preserve the original labels and add an adjudicated label rather than overwriting history. That is essential for later reliability reporting.</w:t>
      </w:r>
    </w:p>
    <w:p>
      <w:pPr>
        <w:pStyle w:val="BodyText"/>
      </w:pPr>
      <w:r>
        <w:rPr>
          <w:b/>
          <w:bCs/>
        </w:rPr>
        <w:t xml:space="preserve">Hallucination and unsupported-claim taxonomy.</w:t>
      </w:r>
      <w:r>
        <w:br/>
      </w:r>
      <w:r>
        <w:t xml:space="preserve">The study should define hallucination narrowly enough that deterministic contract errors are not mislabeled as model hallucinations, but broadly enough to capture unsupported generative additions. Verifiability work is useful here because it separates “supported by citations” from “appears informative,” and ALCE explicitly treats correctness and citation quality as distinct axes.</w:t>
      </w:r>
      <w:r>
        <w:t xml:space="preserve"> </w:t>
      </w:r>
      <w:hyperlink r:id="rId37">
        <w:r>
          <w:rPr>
            <w:rStyle w:val="Hyperlink"/>
          </w:rPr>
          <w:t xml:space="preserve">[33]</w:t>
        </w:r>
      </w:hyperlink>
    </w:p>
    <w:p>
      <w:pPr>
        <w:pStyle w:val="BodyText"/>
      </w:pPr>
      <w:r>
        <w:t xml:space="preserve">I recommend the following taxonomy.</w:t>
      </w:r>
      <w:r>
        <w:t xml:space="preserve"> </w:t>
      </w:r>
      <w:r>
        <w:rPr>
          <w:rStyle w:val="VerbatimChar"/>
        </w:rPr>
        <w:t xml:space="preserve">Fabricated_fact</w:t>
      </w:r>
      <w:r>
        <w:t xml:space="preserve"> </w:t>
      </w:r>
      <w:r>
        <w:t xml:space="preserve">means the output states a concrete fact absent from or contradicted by the evidence.</w:t>
      </w:r>
      <w:r>
        <w:t xml:space="preserve"> </w:t>
      </w:r>
      <w:r>
        <w:rPr>
          <w:rStyle w:val="VerbatimChar"/>
        </w:rPr>
        <w:t xml:space="preserve">Unsupported_interpretation</w:t>
      </w:r>
      <w:r>
        <w:t xml:space="preserve"> </w:t>
      </w:r>
      <w:r>
        <w:t xml:space="preserve">means the answer makes a plausible synthesis or inference that the evidence does not warrant.</w:t>
      </w:r>
      <w:r>
        <w:t xml:space="preserve"> </w:t>
      </w:r>
      <w:r>
        <w:rPr>
          <w:rStyle w:val="VerbatimChar"/>
        </w:rPr>
        <w:t xml:space="preserve">Unsupported_rights_or_status_upgrade</w:t>
      </w:r>
      <w:r>
        <w:t xml:space="preserve"> </w:t>
      </w:r>
      <w:r>
        <w:t xml:space="preserve">should be its own high-severity class, because upgrading rights, provenance, or status is materially riskier than adding generic historical color.</w:t>
      </w:r>
      <w:r>
        <w:t xml:space="preserve"> </w:t>
      </w:r>
      <w:r>
        <w:rPr>
          <w:rStyle w:val="VerbatimChar"/>
        </w:rPr>
        <w:t xml:space="preserve">Citation_or_provenance_mismatch</w:t>
      </w:r>
      <w:r>
        <w:t xml:space="preserve"> </w:t>
      </w:r>
      <w:r>
        <w:t xml:space="preserve">means a claim is attached to the wrong supporting source.</w:t>
      </w:r>
      <w:r>
        <w:t xml:space="preserve"> </w:t>
      </w:r>
      <w:r>
        <w:rPr>
          <w:rStyle w:val="VerbatimChar"/>
        </w:rPr>
        <w:t xml:space="preserve">Deterministic_field_mutation</w:t>
      </w:r>
      <w:r>
        <w:t xml:space="preserve"> </w:t>
      </w:r>
      <w:r>
        <w:t xml:space="preserve">should be scored as a contract failure, not a generative hallucination, unless a generative subsystem caused it.</w:t>
      </w:r>
    </w:p>
    <w:p>
      <w:pPr>
        <w:pStyle w:val="BodyText"/>
      </w:pPr>
      <w:r>
        <w:t xml:space="preserve">Material unsupported claims should be counted at the</w:t>
      </w:r>
      <w:r>
        <w:t xml:space="preserve"> </w:t>
      </w:r>
      <w:r>
        <w:rPr>
          <w:b/>
          <w:bCs/>
        </w:rPr>
        <w:t xml:space="preserve">claim level</w:t>
      </w:r>
      <w:r>
        <w:t xml:space="preserve">, not every token. For exact-field tasks, each required field is one material claim. For free-text explanations, a material claim is a proposition that a reviewer could independently check.</w:t>
      </w:r>
    </w:p>
    <w:p>
      <w:pPr>
        <w:pStyle w:val="BodyText"/>
      </w:pPr>
      <w:r>
        <w:t xml:space="preserve">A simple severity scale is enough for v1:</w:t>
      </w:r>
      <w:r>
        <w:t xml:space="preserve"> </w:t>
      </w:r>
      <w:r>
        <w:rPr>
          <w:rStyle w:val="VerbatimChar"/>
        </w:rPr>
        <w:t xml:space="preserve">minor</w:t>
      </w:r>
      <w:r>
        <w:t xml:space="preserve"> </w:t>
      </w:r>
      <w:r>
        <w:t xml:space="preserve">for non-material unsupported embellishment,</w:t>
      </w:r>
      <w:r>
        <w:t xml:space="preserve"> </w:t>
      </w:r>
      <w:r>
        <w:rPr>
          <w:rStyle w:val="VerbatimChar"/>
        </w:rPr>
        <w:t xml:space="preserve">material</w:t>
      </w:r>
      <w:r>
        <w:t xml:space="preserve"> </w:t>
      </w:r>
      <w:r>
        <w:t xml:space="preserve">for unsupported claim that could change a reader’s understanding, and</w:t>
      </w:r>
      <w:r>
        <w:t xml:space="preserve"> </w:t>
      </w:r>
      <w:r>
        <w:rPr>
          <w:rStyle w:val="VerbatimChar"/>
        </w:rPr>
        <w:t xml:space="preserve">critical</w:t>
      </w:r>
      <w:r>
        <w:t xml:space="preserve"> </w:t>
      </w:r>
      <w:r>
        <w:t xml:space="preserve">for contradicted exact facts or rights/status/provenance upgrades. This is reviewer judgment, but it is anchored in the trust and verifiability concerns highlighted by attribution and HAI work.</w:t>
      </w:r>
      <w:r>
        <w:t xml:space="preserve"> </w:t>
      </w:r>
      <w:hyperlink r:id="rId37">
        <w:r>
          <w:rPr>
            <w:rStyle w:val="Hyperlink"/>
          </w:rPr>
          <w:t xml:space="preserve">[40]</w:t>
        </w:r>
      </w:hyperlink>
    </w:p>
    <w:bookmarkEnd w:id="41"/>
    <w:bookmarkStart w:id="49" w:name="measurement-and-analysis-audit"/>
    <w:p>
      <w:pPr>
        <w:pStyle w:val="Heading2"/>
      </w:pPr>
      <w:r>
        <w:t xml:space="preserve">Measurement and analysis audit</w:t>
      </w:r>
    </w:p>
    <w:p>
      <w:pPr>
        <w:pStyle w:val="FirstParagraph"/>
      </w:pPr>
      <w:r>
        <w:rPr>
          <w:b/>
          <w:bCs/>
        </w:rPr>
        <w:t xml:space="preserve">Latency instrumentation and reporting plan.</w:t>
      </w:r>
      <w:r>
        <w:br/>
      </w:r>
      <w:r>
        <w:t xml:space="preserve">The latency plan must distinguish what the browser-local system actually does. Web-serving literature consistently decomposes latency into phases—DistServe explicitly separates prefill and decode through TTFT and TPOT—and browser-local inference adds further layers: model load, adapter selection, worker startup, retrieval, deterministic assembly, optional generation, and UI/main-thread effects. WebLLM’s own documentation emphasizes WebGPU acceleration and built-in worker support to keep heavy computation off the UI thread, which means whole-system latency must include both model and browser-runtime behavior.</w:t>
      </w:r>
      <w:r>
        <w:t xml:space="preserve"> </w:t>
      </w:r>
      <w:hyperlink r:id="rId42">
        <w:r>
          <w:rPr>
            <w:rStyle w:val="Hyperlink"/>
          </w:rPr>
          <w:t xml:space="preserve">[41]</w:t>
        </w:r>
      </w:hyperlink>
    </w:p>
    <w:p>
      <w:pPr>
        <w:pStyle w:val="BodyText"/>
      </w:pPr>
      <w:r>
        <w:t xml:space="preserve">Browser measurement also needs anomaly logging, not just stopwatch timing. Official web-platform sources make this concrete:</w:t>
      </w:r>
      <w:r>
        <w:t xml:space="preserve"> </w:t>
      </w:r>
      <w:r>
        <w:rPr>
          <w:rStyle w:val="VerbatimChar"/>
        </w:rPr>
        <w:t xml:space="preserve">performance.now()</w:t>
      </w:r>
      <w:r>
        <w:t xml:space="preserve"> </w:t>
      </w:r>
      <w:r>
        <w:t xml:space="preserve">provides a monotonic high-resolution clock; the Long Tasks API exposes main-thread tasks over 50 ms; Page Visibility and Page Lifecycle let you observe hidden/frozen/discarded states; GPU adapter info can capture hardware identity; and WebGPU timestamp queries can measure executed GPU work where supported. These are not luxuries. They are the minimum needed to defend a browser-local latency claim.</w:t>
      </w:r>
      <w:r>
        <w:t xml:space="preserve"> </w:t>
      </w:r>
      <w:hyperlink r:id="rId43">
        <w:r>
          <w:rPr>
            <w:rStyle w:val="Hyperlink"/>
          </w:rPr>
          <w:t xml:space="preserve">[42]</w:t>
        </w:r>
      </w:hyperlink>
    </w:p>
    <w:p>
      <w:pPr>
        <w:pStyle w:val="BodyText"/>
      </w:pPr>
      <w:r>
        <w:t xml:space="preserve">Warmup should be handled explicitly. I recommend</w:t>
      </w:r>
      <w:r>
        <w:t xml:space="preserve"> </w:t>
      </w:r>
      <w:r>
        <w:rPr>
          <w:b/>
          <w:bCs/>
        </w:rPr>
        <w:t xml:space="preserve">one cold-start run per condition</w:t>
      </w:r>
      <w:r>
        <w:t xml:space="preserve"> </w:t>
      </w:r>
      <w:r>
        <w:t xml:space="preserve">from a fresh tab or fresh browser process, then</w:t>
      </w:r>
      <w:r>
        <w:t xml:space="preserve"> </w:t>
      </w:r>
      <w:r>
        <w:rPr>
          <w:b/>
          <w:bCs/>
        </w:rPr>
        <w:t xml:space="preserve">five excluded warmup queries</w:t>
      </w:r>
      <w:r>
        <w:t xml:space="preserve">, then the measured warm block. Three warmups might be enough on some machines, but browser-local compilation, model loading, and shader initialization are variable enough that five is safer. The first measured warm query should still be reported separately, because it often retains residual one-time costs. This exact count is reviewer judgment.</w:t>
      </w:r>
    </w:p>
    <w:p>
      <w:pPr>
        <w:pStyle w:val="BodyText"/>
      </w:pPr>
      <w:r>
        <w:t xml:space="preserve">Rows with anomalies should remain in the dataset and be flagged, not silently removed. Primary tables should show anomaly-inclusive results plus a pre-registered sensitivity analysis with anomaly-flagged rows excluded. Page suspension, discard, or long-task bursts are not “bad data” in a browser study; they are part of the platform reality.</w:t>
      </w:r>
      <w:r>
        <w:t xml:space="preserve"> </w:t>
      </w:r>
      <w:hyperlink r:id="rId44">
        <w:r>
          <w:rPr>
            <w:rStyle w:val="Hyperlink"/>
          </w:rPr>
          <w:t xml:space="preserve">[43]</w:t>
        </w:r>
      </w:hyperlink>
    </w:p>
    <w:p>
      <w:pPr>
        <w:pStyle w:val="BodyText"/>
      </w:pPr>
      <w:r>
        <w:t xml:space="preserve">With only 50 queries,</w:t>
      </w:r>
      <w:r>
        <w:t xml:space="preserve"> </w:t>
      </w:r>
      <w:r>
        <w:rPr>
          <w:b/>
          <w:bCs/>
        </w:rPr>
        <w:t xml:space="preserve">P95 should not be a primary latency statistic</w:t>
      </w:r>
      <w:r>
        <w:t xml:space="preserve">, especially after stratifying by lane. Median, IQR, P90, maximum, and anomaly counts are much more defensible. The WebGPU overhead literature also suggests caution about overinterpreting any single blended number, because per-operation browser overhead can dominate at batch size 1.</w:t>
      </w:r>
      <w:r>
        <w:t xml:space="preserve"> </w:t>
      </w:r>
      <w:hyperlink r:id="rId45">
        <w:r>
          <w:rPr>
            <w:rStyle w:val="Hyperlink"/>
          </w:rPr>
          <w:t xml:space="preserve">[44]</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Latency metric</w:t>
            </w:r>
          </w:p>
        </w:tc>
        <w:tc>
          <w:tcPr/>
          <w:p>
            <w:pPr>
              <w:pStyle w:val="Compact"/>
            </w:pPr>
            <w:r>
              <w:t xml:space="preserve">Start–stop definition</w:t>
            </w:r>
          </w:p>
        </w:tc>
        <w:tc>
          <w:tcPr/>
          <w:p>
            <w:pPr>
              <w:pStyle w:val="Compact"/>
            </w:pPr>
            <w:r>
              <w:t xml:space="preserve">Includes</w:t>
            </w:r>
          </w:p>
        </w:tc>
        <w:tc>
          <w:tcPr/>
          <w:p>
            <w:pPr>
              <w:pStyle w:val="Compact"/>
            </w:pPr>
            <w:r>
              <w:t xml:space="preserve">Excludes</w:t>
            </w:r>
          </w:p>
        </w:tc>
        <w:tc>
          <w:tcPr/>
          <w:p>
            <w:pPr>
              <w:pStyle w:val="Compact"/>
            </w:pPr>
            <w:r>
              <w:t xml:space="preserve">Recommended reporting use</w:t>
            </w:r>
          </w:p>
        </w:tc>
        <w:tc>
          <w:tcPr/>
          <w:p>
            <w:pPr>
              <w:pStyle w:val="Compact"/>
            </w:pPr>
            <w:r>
              <w:t xml:space="preserve">Basis</w:t>
            </w:r>
          </w:p>
        </w:tc>
      </w:tr>
      <w:tr>
        <w:tc>
          <w:tcPr/>
          <w:p>
            <w:pPr>
              <w:pStyle w:val="Compact"/>
            </w:pPr>
            <w:r>
              <w:t xml:space="preserve">Cold-start latency</w:t>
            </w:r>
          </w:p>
        </w:tc>
        <w:tc>
          <w:tcPr/>
          <w:p>
            <w:pPr>
              <w:pStyle w:val="Compact"/>
            </w:pPr>
            <w:r>
              <w:t xml:space="preserve">User action to fully rendered first answer in fresh session</w:t>
            </w:r>
          </w:p>
        </w:tc>
        <w:tc>
          <w:tcPr/>
          <w:p>
            <w:pPr>
              <w:pStyle w:val="Compact"/>
            </w:pPr>
            <w:r>
              <w:t xml:space="preserve">Model load, adapter selection, worker init, retrieval, assembly, generation, UI render</w:t>
            </w:r>
          </w:p>
        </w:tc>
        <w:tc>
          <w:tcPr/>
          <w:p>
            <w:pPr>
              <w:pStyle w:val="Compact"/>
            </w:pPr>
            <w:r>
              <w:t xml:space="preserve">Nothing</w:t>
            </w:r>
          </w:p>
        </w:tc>
        <w:tc>
          <w:tcPr/>
          <w:p>
            <w:pPr>
              <w:pStyle w:val="Compact"/>
            </w:pPr>
            <w:r>
              <w:t xml:space="preserve">Separate table, not mixed with warm latency</w:t>
            </w:r>
          </w:p>
        </w:tc>
        <w:tc>
          <w:tcPr/>
          <w:p>
            <w:pPr>
              <w:pStyle w:val="Compact"/>
            </w:pPr>
            <w:r>
              <w:t xml:space="preserve">WebLLM/browser-local context</w:t>
            </w:r>
            <w:r>
              <w:t xml:space="preserve"> </w:t>
            </w:r>
            <w:hyperlink r:id="rId25">
              <w:r>
                <w:rPr>
                  <w:rStyle w:val="Hyperlink"/>
                </w:rPr>
                <w:t xml:space="preserve">[45]</w:t>
              </w:r>
            </w:hyperlink>
          </w:p>
        </w:tc>
      </w:tr>
      <w:tr>
        <w:tc>
          <w:tcPr/>
          <w:p>
            <w:pPr>
              <w:pStyle w:val="Compact"/>
            </w:pPr>
            <w:r>
              <w:t xml:space="preserve">Warm end-to-end latency</w:t>
            </w:r>
          </w:p>
        </w:tc>
        <w:tc>
          <w:tcPr/>
          <w:p>
            <w:pPr>
              <w:pStyle w:val="Compact"/>
            </w:pPr>
            <w:r>
              <w:t xml:space="preserve">User action to fully rendered answer after warmup</w:t>
            </w:r>
          </w:p>
        </w:tc>
        <w:tc>
          <w:tcPr/>
          <w:p>
            <w:pPr>
              <w:pStyle w:val="Compact"/>
            </w:pPr>
            <w:r>
              <w:t xml:space="preserve">Retrieval, deterministic assembly, optional generation, UI render</w:t>
            </w:r>
          </w:p>
        </w:tc>
        <w:tc>
          <w:tcPr/>
          <w:p>
            <w:pPr>
              <w:pStyle w:val="Compact"/>
            </w:pPr>
            <w:r>
              <w:t xml:space="preserve">Cold-start costs</w:t>
            </w:r>
          </w:p>
        </w:tc>
        <w:tc>
          <w:tcPr/>
          <w:p>
            <w:pPr>
              <w:pStyle w:val="Compact"/>
            </w:pPr>
            <w:r>
              <w:t xml:space="preserve">Primary user-visible latency metric</w:t>
            </w:r>
          </w:p>
        </w:tc>
        <w:tc>
          <w:tcPr/>
          <w:p>
            <w:pPr>
              <w:pStyle w:val="Compact"/>
            </w:pPr>
            <w:r>
              <w:t xml:space="preserve">Reviewer judgment</w:t>
            </w:r>
          </w:p>
        </w:tc>
      </w:tr>
      <w:tr>
        <w:tc>
          <w:tcPr/>
          <w:p>
            <w:pPr>
              <w:pStyle w:val="Compact"/>
            </w:pPr>
            <w:r>
              <w:t xml:space="preserve">Retrieval latency</w:t>
            </w:r>
          </w:p>
        </w:tc>
        <w:tc>
          <w:tcPr/>
          <w:p>
            <w:pPr>
              <w:pStyle w:val="Compact"/>
            </w:pPr>
            <w:r>
              <w:t xml:space="preserve">Retrieval request start to finalized retrieved-packet freeze</w:t>
            </w:r>
          </w:p>
        </w:tc>
        <w:tc>
          <w:tcPr/>
          <w:p>
            <w:pPr>
              <w:pStyle w:val="Compact"/>
            </w:pPr>
            <w:r>
              <w:t xml:space="preserve">Search/index access and snippet selection</w:t>
            </w:r>
          </w:p>
        </w:tc>
        <w:tc>
          <w:tcPr/>
          <w:p>
            <w:pPr>
              <w:pStyle w:val="Compact"/>
            </w:pPr>
            <w:r>
              <w:t xml:space="preserve">Assembly, generation</w:t>
            </w:r>
          </w:p>
        </w:tc>
        <w:tc>
          <w:tcPr/>
          <w:p>
            <w:pPr>
              <w:pStyle w:val="Compact"/>
            </w:pPr>
            <w:r>
              <w:t xml:space="preserve">Component analysis</w:t>
            </w:r>
          </w:p>
        </w:tc>
        <w:tc>
          <w:tcPr/>
          <w:p>
            <w:pPr>
              <w:pStyle w:val="Compact"/>
            </w:pPr>
            <w:r>
              <w:t xml:space="preserve">Reviewer judgment; needed to decompose RAG failures</w:t>
            </w:r>
            <w:r>
              <w:t xml:space="preserve"> </w:t>
            </w:r>
            <w:hyperlink r:id="rId22">
              <w:r>
                <w:rPr>
                  <w:rStyle w:val="Hyperlink"/>
                </w:rPr>
                <w:t xml:space="preserve">[27]</w:t>
              </w:r>
            </w:hyperlink>
          </w:p>
        </w:tc>
      </w:tr>
      <w:tr>
        <w:tc>
          <w:tcPr/>
          <w:p>
            <w:pPr>
              <w:pStyle w:val="Compact"/>
            </w:pPr>
            <w:r>
              <w:t xml:space="preserve">Deterministic assembly latency</w:t>
            </w:r>
          </w:p>
        </w:tc>
        <w:tc>
          <w:tcPr/>
          <w:p>
            <w:pPr>
              <w:pStyle w:val="Compact"/>
            </w:pPr>
            <w:r>
              <w:t xml:space="preserve">Packet freeze to deterministic field/refusal assembly complete</w:t>
            </w:r>
          </w:p>
        </w:tc>
        <w:tc>
          <w:tcPr/>
          <w:p>
            <w:pPr>
              <w:pStyle w:val="Compact"/>
            </w:pPr>
            <w:r>
              <w:t xml:space="preserve">Contract checks, template fill, caveat tags</w:t>
            </w:r>
          </w:p>
        </w:tc>
        <w:tc>
          <w:tcPr/>
          <w:p>
            <w:pPr>
              <w:pStyle w:val="Compact"/>
            </w:pPr>
            <w:r>
              <w:t xml:space="preserve">Model generation</w:t>
            </w:r>
          </w:p>
        </w:tc>
        <w:tc>
          <w:tcPr/>
          <w:p>
            <w:pPr>
              <w:pStyle w:val="Compact"/>
            </w:pPr>
            <w:r>
              <w:t xml:space="preserve">Main hybrid-operation measure</w:t>
            </w:r>
          </w:p>
        </w:tc>
        <w:tc>
          <w:tcPr/>
          <w:p>
            <w:pPr>
              <w:pStyle w:val="Compact"/>
            </w:pPr>
            <w:r>
              <w:t xml:space="preserve">Reviewer judgment</w:t>
            </w:r>
          </w:p>
        </w:tc>
      </w:tr>
      <w:tr>
        <w:tc>
          <w:tcPr/>
          <w:p>
            <w:pPr>
              <w:pStyle w:val="Compact"/>
            </w:pPr>
            <w:r>
              <w:t xml:space="preserve">Local generation latency</w:t>
            </w:r>
          </w:p>
        </w:tc>
        <w:tc>
          <w:tcPr/>
          <w:p>
            <w:pPr>
              <w:pStyle w:val="Compact"/>
            </w:pPr>
            <w:r>
              <w:t xml:space="preserve">First token request to final token produced by local model</w:t>
            </w:r>
          </w:p>
        </w:tc>
        <w:tc>
          <w:tcPr/>
          <w:p>
            <w:pPr>
              <w:pStyle w:val="Compact"/>
            </w:pPr>
            <w:r>
              <w:t xml:space="preserve">Prefill + decode for generated portions</w:t>
            </w:r>
          </w:p>
        </w:tc>
        <w:tc>
          <w:tcPr/>
          <w:p>
            <w:pPr>
              <w:pStyle w:val="Compact"/>
            </w:pPr>
            <w:r>
              <w:t xml:space="preserve">Retrieval and deterministic-only work</w:t>
            </w:r>
          </w:p>
        </w:tc>
        <w:tc>
          <w:tcPr/>
          <w:p>
            <w:pPr>
              <w:pStyle w:val="Compact"/>
            </w:pPr>
            <w:r>
              <w:t xml:space="preserve">Report only where generation actually occurs</w:t>
            </w:r>
          </w:p>
        </w:tc>
        <w:tc>
          <w:tcPr/>
          <w:p>
            <w:pPr>
              <w:pStyle w:val="Compact"/>
            </w:pPr>
            <w:r>
              <w:t xml:space="preserve">DistServe motivates phase separation</w:t>
            </w:r>
            <w:r>
              <w:t xml:space="preserve"> </w:t>
            </w:r>
            <w:hyperlink r:id="rId42">
              <w:r>
                <w:rPr>
                  <w:rStyle w:val="Hyperlink"/>
                </w:rPr>
                <w:t xml:space="preserve">[46]</w:t>
              </w:r>
            </w:hyperlink>
          </w:p>
        </w:tc>
      </w:tr>
      <w:tr>
        <w:tc>
          <w:tcPr/>
          <w:p>
            <w:pPr>
              <w:pStyle w:val="Compact"/>
            </w:pPr>
            <w:r>
              <w:t xml:space="preserve">UI-thread anomaly time</w:t>
            </w:r>
          </w:p>
        </w:tc>
        <w:tc>
          <w:tcPr/>
          <w:p>
            <w:pPr>
              <w:pStyle w:val="Compact"/>
            </w:pPr>
            <w:r>
              <w:t xml:space="preserve">Sum/count of long tasks during answer generation/render</w:t>
            </w:r>
          </w:p>
        </w:tc>
        <w:tc>
          <w:tcPr/>
          <w:p>
            <w:pPr>
              <w:pStyle w:val="Compact"/>
            </w:pPr>
            <w:r>
              <w:t xml:space="preserve">Main-thread stalls &gt;50 ms</w:t>
            </w:r>
          </w:p>
        </w:tc>
        <w:tc>
          <w:tcPr/>
          <w:p>
            <w:pPr>
              <w:pStyle w:val="Compact"/>
            </w:pPr>
            <w:r>
              <w:t xml:space="preserve">Worker-side compute not seen on main thread</w:t>
            </w:r>
          </w:p>
        </w:tc>
        <w:tc>
          <w:tcPr/>
          <w:p>
            <w:pPr>
              <w:pStyle w:val="Compact"/>
            </w:pPr>
            <w:r>
              <w:t xml:space="preserve">Context for user-visible jank</w:t>
            </w:r>
          </w:p>
        </w:tc>
        <w:tc>
          <w:tcPr/>
          <w:p>
            <w:pPr>
              <w:pStyle w:val="Compact"/>
            </w:pPr>
            <w:r>
              <w:t xml:space="preserve">Long Tasks API</w:t>
            </w:r>
            <w:r>
              <w:t xml:space="preserve"> </w:t>
            </w:r>
            <w:hyperlink r:id="rId46">
              <w:r>
                <w:rPr>
                  <w:rStyle w:val="Hyperlink"/>
                </w:rPr>
                <w:t xml:space="preserve">[47]</w:t>
              </w:r>
            </w:hyperlink>
          </w:p>
        </w:tc>
      </w:tr>
      <w:tr>
        <w:tc>
          <w:tcPr/>
          <w:p>
            <w:pPr>
              <w:pStyle w:val="Compact"/>
            </w:pPr>
            <w:r>
              <w:t xml:space="preserve">GPU timed span</w:t>
            </w:r>
          </w:p>
        </w:tc>
        <w:tc>
          <w:tcPr/>
          <w:p>
            <w:pPr>
              <w:pStyle w:val="Compact"/>
            </w:pPr>
            <w:r>
              <w:t xml:space="preserve">Timestamp-query delta for executed GPU compute when supported</w:t>
            </w:r>
          </w:p>
        </w:tc>
        <w:tc>
          <w:tcPr/>
          <w:p>
            <w:pPr>
              <w:pStyle w:val="Compact"/>
            </w:pPr>
            <w:r>
              <w:t xml:space="preserve">GPU pass execution</w:t>
            </w:r>
          </w:p>
        </w:tc>
        <w:tc>
          <w:tcPr/>
          <w:p>
            <w:pPr>
              <w:pStyle w:val="Compact"/>
            </w:pPr>
            <w:r>
              <w:t xml:space="preserve">JS orchestration and queueing</w:t>
            </w:r>
          </w:p>
        </w:tc>
        <w:tc>
          <w:tcPr/>
          <w:p>
            <w:pPr>
              <w:pStyle w:val="Compact"/>
            </w:pPr>
            <w:r>
              <w:t xml:space="preserve">Optional diagnostic</w:t>
            </w:r>
          </w:p>
        </w:tc>
        <w:tc>
          <w:tcPr/>
          <w:p>
            <w:pPr>
              <w:pStyle w:val="Compact"/>
            </w:pPr>
            <w:r>
              <w:t xml:space="preserve">WebGPU timestamp-query support</w:t>
            </w:r>
            <w:r>
              <w:t xml:space="preserve"> </w:t>
            </w:r>
            <w:hyperlink r:id="rId47">
              <w:r>
                <w:rPr>
                  <w:rStyle w:val="Hyperlink"/>
                </w:rPr>
                <w:t xml:space="preserve">[48]</w:t>
              </w:r>
            </w:hyperlink>
          </w:p>
        </w:tc>
      </w:tr>
      <w:tr>
        <w:tc>
          <w:tcPr/>
          <w:p>
            <w:pPr>
              <w:pStyle w:val="Compact"/>
            </w:pPr>
            <w:r>
              <w:rPr>
                <w:rStyle w:val="VerbatimChar"/>
              </w:rPr>
              <w:t xml:space="preserve">latency_saved_by_deterministic</w:t>
            </w:r>
          </w:p>
        </w:tc>
        <w:tc>
          <w:tcPr/>
          <w:p>
            <w:pPr>
              <w:pStyle w:val="Compact"/>
            </w:pPr>
            <w:r>
              <w:t xml:space="preserve">Matched-query difference between C1 warm latency and hybrid warm latency on generation-skipping rows</w:t>
            </w:r>
          </w:p>
        </w:tc>
        <w:tc>
          <w:tcPr/>
          <w:p>
            <w:pPr>
              <w:pStyle w:val="Compact"/>
            </w:pPr>
            <w:r>
              <w:t xml:space="preserve">End-to-end saving</w:t>
            </w:r>
          </w:p>
        </w:tc>
        <w:tc>
          <w:tcPr/>
          <w:p>
            <w:pPr>
              <w:pStyle w:val="Compact"/>
            </w:pPr>
            <w:r>
              <w:t xml:space="preserve">Any claim that “generation got faster”</w:t>
            </w:r>
          </w:p>
        </w:tc>
        <w:tc>
          <w:tcPr/>
          <w:p>
            <w:pPr>
              <w:pStyle w:val="Compact"/>
            </w:pPr>
            <w:r>
              <w:t xml:space="preserve">Allowed paired difference claim</w:t>
            </w:r>
          </w:p>
        </w:tc>
        <w:tc>
          <w:tcPr/>
          <w:p>
            <w:pPr>
              <w:pStyle w:val="Compact"/>
            </w:pPr>
            <w:r>
              <w:t xml:space="preserve">Reviewer judgment; aligned with phase decomposition</w:t>
            </w:r>
            <w:r>
              <w:t xml:space="preserve"> </w:t>
            </w:r>
            <w:hyperlink r:id="rId42">
              <w:r>
                <w:rPr>
                  <w:rStyle w:val="Hyperlink"/>
                </w:rPr>
                <w:t xml:space="preserve">[49]</w:t>
              </w:r>
            </w:hyperlink>
          </w:p>
        </w:tc>
      </w:tr>
    </w:tbl>
    <w:p>
      <w:pPr>
        <w:pStyle w:val="BodyText"/>
      </w:pPr>
      <w:r>
        <w:t xml:space="preserve">A fixed hardware/browser configuration is required for the first study. WebGPU and browser-local inference are still highly platform-sensitive; WebLLM reports up to 80% of native performance on the same device, while recent WebGPU dispatch-overhead work shows strong differences across browsers, vendors, and backends. That makes single-platform pinning a methodological necessity for v1, not a weakness to apologize for.</w:t>
      </w:r>
      <w:r>
        <w:t xml:space="preserve"> </w:t>
      </w:r>
      <w:hyperlink r:id="rId25">
        <w:r>
          <w:rPr>
            <w:rStyle w:val="Hyperlink"/>
          </w:rPr>
          <w:t xml:space="preserve">[50]</w:t>
        </w:r>
      </w:hyperlink>
    </w:p>
    <w:p>
      <w:pPr>
        <w:pStyle w:val="BodyText"/>
      </w:pPr>
      <w:r>
        <w:rPr>
          <w:b/>
          <w:bCs/>
        </w:rPr>
        <w:t xml:space="preserve">What latency claims are allowed and forbidden.</w:t>
      </w:r>
      <w:r>
        <w:br/>
      </w:r>
      <w:r>
        <w:t xml:space="preserve">Allowed: “On this hardware/browser/model configuration, deterministic lanes reduced</w:t>
      </w:r>
      <w:r>
        <w:t xml:space="preserve"> </w:t>
      </w:r>
      <w:r>
        <w:rPr>
          <w:b/>
          <w:bCs/>
        </w:rPr>
        <w:t xml:space="preserve">warm user-visible latency</w:t>
      </w:r>
      <w:r>
        <w:t xml:space="preserve"> </w:t>
      </w:r>
      <w:r>
        <w:t xml:space="preserve">for exact-field/refusal-eligible tasks.” Forbidden: “Qwen generation is faster,” if the hybrid lane simply skipped generation; “browser-local hybrid is faster in general,” if only one model, browser, and machine were tested; and “tail latency improved,” if the study has only 50 rows and sparse per-lane counts.</w:t>
      </w:r>
      <w:r>
        <w:t xml:space="preserve"> </w:t>
      </w:r>
      <w:hyperlink r:id="rId45">
        <w:r>
          <w:rPr>
            <w:rStyle w:val="Hyperlink"/>
          </w:rPr>
          <w:t xml:space="preserve">[51]</w:t>
        </w:r>
      </w:hyperlink>
    </w:p>
    <w:p>
      <w:pPr>
        <w:pStyle w:val="BodyText"/>
      </w:pPr>
      <w:r>
        <w:rPr>
          <w:b/>
          <w:bCs/>
        </w:rPr>
        <w:t xml:space="preserve">Small-n statistical analysis plan.</w:t>
      </w:r>
      <w:r>
        <w:br/>
      </w:r>
      <w:r>
        <w:t xml:space="preserve">The 50-query milestone should be treated as a</w:t>
      </w:r>
      <w:r>
        <w:t xml:space="preserve"> </w:t>
      </w:r>
      <w:r>
        <w:rPr>
          <w:b/>
          <w:bCs/>
        </w:rPr>
        <w:t xml:space="preserve">paired, exploratory, within-fixture study</w:t>
      </w:r>
      <w:r>
        <w:t xml:space="preserve">. Paired-evaluation literature in NLP argues that when systems are compared on the same items, analyses should preserve that pairing rather than average it away. More general NLP significance-testing guidance similarly emphasizes that test choice depends on the structure of the task and matched observations.</w:t>
      </w:r>
      <w:r>
        <w:t xml:space="preserve"> </w:t>
      </w:r>
      <w:hyperlink r:id="rId30">
        <w:r>
          <w:rPr>
            <w:rStyle w:val="Hyperlink"/>
          </w:rPr>
          <w:t xml:space="preserve">[52]</w:t>
        </w:r>
      </w:hyperlink>
    </w:p>
    <w:p>
      <w:pPr>
        <w:pStyle w:val="BodyText"/>
      </w:pPr>
      <w:r>
        <w:t xml:space="preserve">For binary outcomes such as contract pass/fail or under-refusal versus not-under-refusal, planned contrasts should use</w:t>
      </w:r>
      <w:r>
        <w:t xml:space="preserve"> </w:t>
      </w:r>
      <w:r>
        <w:rPr>
          <w:b/>
          <w:bCs/>
        </w:rPr>
        <w:t xml:space="preserve">paired methods</w:t>
      </w:r>
      <w:r>
        <w:t xml:space="preserve">. A practical plan is to pre-register two primary pairwise comparisons—Condition 1 vs Condition 2 and Condition 2 vs Condition 3—and use exact or mid-p McNemar analysis when discordant counts are small. For ordinal or non-normal paired outcomes such as helpfulness or latency differences, use Wilcoxon signed-rank or paired permutation/sensitivity analysis, and always pair by query. Do</w:t>
      </w:r>
      <w:r>
        <w:t xml:space="preserve"> </w:t>
      </w:r>
      <w:r>
        <w:rPr>
          <w:b/>
          <w:bCs/>
        </w:rPr>
        <w:t xml:space="preserve">not</w:t>
      </w:r>
      <w:r>
        <w:t xml:space="preserve"> </w:t>
      </w:r>
      <w:r>
        <w:t xml:space="preserve">use Mann–Whitney U or independent-proportion tests as primary analyses, because they discard the matched design. Dror et al. and related NLP test-selection guidance directly support this kind of design-sensitive choice.</w:t>
      </w:r>
      <w:r>
        <w:t xml:space="preserve"> </w:t>
      </w:r>
      <w:hyperlink r:id="rId27">
        <w:r>
          <w:rPr>
            <w:rStyle w:val="Hyperlink"/>
          </w:rPr>
          <w:t xml:space="preserve">[53]</w:t>
        </w:r>
      </w:hyperlink>
    </w:p>
    <w:p>
      <w:pPr>
        <w:pStyle w:val="BodyText"/>
      </w:pPr>
      <w:r>
        <w:t xml:space="preserve">P-values should be secondary to effect sizes and confidence intervals. NLPStatTest is blunt on this: p-values alone are insufficient because statistical significance differs from practical significance, and effect sizes should be reported. With only 50 queries, that point matters even more.</w:t>
      </w:r>
      <w:r>
        <w:t xml:space="preserve"> </w:t>
      </w:r>
      <w:hyperlink r:id="rId48">
        <w:r>
          <w:rPr>
            <w:rStyle w:val="Hyperlink"/>
          </w:rPr>
          <w:t xml:space="preserve">[54]</w:t>
        </w:r>
      </w:hyperlink>
    </w:p>
    <w:p>
      <w:pPr>
        <w:pStyle w:val="BodyText"/>
      </w:pPr>
      <w:r>
        <w:t xml:space="preserve">Bootstrap can still be useful for confidence intervals on paired differences, but it should not be your only inferential backbone for primary claims. Dror et al. note that bootstrap tests are less effective for small test sets, which is exactly the present setting. That is one reason to keep the paper’s tone exploratory.</w:t>
      </w:r>
      <w:r>
        <w:t xml:space="preserve"> </w:t>
      </w:r>
      <w:hyperlink r:id="rId27">
        <w:r>
          <w:rPr>
            <w:rStyle w:val="Hyperlink"/>
          </w:rPr>
          <w:t xml:space="preserve">[55]</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Outcome</w:t>
            </w:r>
          </w:p>
        </w:tc>
        <w:tc>
          <w:tcPr/>
          <w:p>
            <w:pPr>
              <w:pStyle w:val="Compact"/>
            </w:pPr>
            <w:r>
              <w:t xml:space="preserve">Unit of pairing</w:t>
            </w:r>
          </w:p>
        </w:tc>
        <w:tc>
          <w:tcPr/>
          <w:p>
            <w:pPr>
              <w:pStyle w:val="Compact"/>
            </w:pPr>
            <w:r>
              <w:t xml:space="preserve">Recommended primary analysis</w:t>
            </w:r>
          </w:p>
        </w:tc>
        <w:tc>
          <w:tcPr/>
          <w:p>
            <w:pPr>
              <w:pStyle w:val="Compact"/>
            </w:pPr>
            <w:r>
              <w:t xml:space="preserve">Recommended effect size / interval</w:t>
            </w:r>
          </w:p>
        </w:tc>
        <w:tc>
          <w:tcPr/>
          <w:p>
            <w:pPr>
              <w:pStyle w:val="Compact"/>
            </w:pPr>
            <w:r>
              <w:t xml:space="preserve">Avoid</w:t>
            </w:r>
          </w:p>
        </w:tc>
        <w:tc>
          <w:tcPr/>
          <w:p>
            <w:pPr>
              <w:pStyle w:val="Compact"/>
            </w:pPr>
            <w:r>
              <w:t xml:space="preserve">Basis</w:t>
            </w:r>
          </w:p>
        </w:tc>
      </w:tr>
      <w:tr>
        <w:tc>
          <w:tcPr/>
          <w:p>
            <w:pPr>
              <w:pStyle w:val="Compact"/>
            </w:pPr>
            <w:r>
              <w:t xml:space="preserve">Contract pass/fail</w:t>
            </w:r>
          </w:p>
        </w:tc>
        <w:tc>
          <w:tcPr/>
          <w:p>
            <w:pPr>
              <w:pStyle w:val="Compact"/>
            </w:pPr>
            <w:r>
              <w:t xml:space="preserve">Query</w:t>
            </w:r>
          </w:p>
        </w:tc>
        <w:tc>
          <w:tcPr/>
          <w:p>
            <w:pPr>
              <w:pStyle w:val="Compact"/>
            </w:pPr>
            <w:r>
              <w:t xml:space="preserve">Exact or mid-p McNemar on planned pairs</w:t>
            </w:r>
          </w:p>
        </w:tc>
        <w:tc>
          <w:tcPr/>
          <w:p>
            <w:pPr>
              <w:pStyle w:val="Compact"/>
            </w:pPr>
            <w:r>
              <w:t xml:space="preserve">Paired risk difference with CI; discordant counts</w:t>
            </w:r>
          </w:p>
        </w:tc>
        <w:tc>
          <w:tcPr/>
          <w:p>
            <w:pPr>
              <w:pStyle w:val="Compact"/>
            </w:pPr>
            <w:r>
              <w:t xml:space="preserve">Independent χ² or unpaired proportions</w:t>
            </w:r>
          </w:p>
        </w:tc>
        <w:tc>
          <w:tcPr/>
          <w:p>
            <w:pPr>
              <w:pStyle w:val="Compact"/>
            </w:pPr>
            <w:r>
              <w:t xml:space="preserve">Paired-test guidance</w:t>
            </w:r>
            <w:r>
              <w:t xml:space="preserve"> </w:t>
            </w:r>
            <w:hyperlink r:id="rId27">
              <w:r>
                <w:rPr>
                  <w:rStyle w:val="Hyperlink"/>
                </w:rPr>
                <w:t xml:space="preserve">[53]</w:t>
              </w:r>
            </w:hyperlink>
          </w:p>
        </w:tc>
      </w:tr>
      <w:tr>
        <w:tc>
          <w:tcPr/>
          <w:p>
            <w:pPr>
              <w:pStyle w:val="Compact"/>
            </w:pPr>
            <w:r>
              <w:t xml:space="preserve">Under-refusal / over-refusal</w:t>
            </w:r>
          </w:p>
        </w:tc>
        <w:tc>
          <w:tcPr/>
          <w:p>
            <w:pPr>
              <w:pStyle w:val="Compact"/>
            </w:pPr>
            <w:r>
              <w:t xml:space="preserve">Query</w:t>
            </w:r>
          </w:p>
        </w:tc>
        <w:tc>
          <w:tcPr/>
          <w:p>
            <w:pPr>
              <w:pStyle w:val="Compact"/>
            </w:pPr>
            <w:r>
              <w:t xml:space="preserve">Pairwise McNemar after predefining each error direction separately</w:t>
            </w:r>
          </w:p>
        </w:tc>
        <w:tc>
          <w:tcPr/>
          <w:p>
            <w:pPr>
              <w:pStyle w:val="Compact"/>
            </w:pPr>
            <w:r>
              <w:t xml:space="preserve">Paired error-rate difference</w:t>
            </w:r>
          </w:p>
        </w:tc>
        <w:tc>
          <w:tcPr/>
          <w:p>
            <w:pPr>
              <w:pStyle w:val="Compact"/>
            </w:pPr>
            <w:r>
              <w:t xml:space="preserve">Single merged refusal accuracy</w:t>
            </w:r>
          </w:p>
        </w:tc>
        <w:tc>
          <w:tcPr/>
          <w:p>
            <w:pPr>
              <w:pStyle w:val="Compact"/>
            </w:pPr>
            <w:r>
              <w:t xml:space="preserve">Abstention literature + paired methods</w:t>
            </w:r>
            <w:r>
              <w:t xml:space="preserve"> </w:t>
            </w:r>
            <w:hyperlink r:id="rId36">
              <w:r>
                <w:rPr>
                  <w:rStyle w:val="Hyperlink"/>
                </w:rPr>
                <w:t xml:space="preserve">[56]</w:t>
              </w:r>
            </w:hyperlink>
          </w:p>
        </w:tc>
      </w:tr>
      <w:tr>
        <w:tc>
          <w:tcPr/>
          <w:p>
            <w:pPr>
              <w:pStyle w:val="Compact"/>
            </w:pPr>
            <w:r>
              <w:t xml:space="preserve">Warm latency</w:t>
            </w:r>
          </w:p>
        </w:tc>
        <w:tc>
          <w:tcPr/>
          <w:p>
            <w:pPr>
              <w:pStyle w:val="Compact"/>
            </w:pPr>
            <w:r>
              <w:t xml:space="preserve">Query</w:t>
            </w:r>
          </w:p>
        </w:tc>
        <w:tc>
          <w:tcPr/>
          <w:p>
            <w:pPr>
              <w:pStyle w:val="Compact"/>
            </w:pPr>
            <w:r>
              <w:t xml:space="preserve">Wilcoxon signed-rank on paired differences; paired bootstrap CI as sensitivity</w:t>
            </w:r>
          </w:p>
        </w:tc>
        <w:tc>
          <w:tcPr/>
          <w:p>
            <w:pPr>
              <w:pStyle w:val="Compact"/>
            </w:pPr>
            <w:r>
              <w:t xml:space="preserve">Hodges–Lehmann median difference or paired median CI</w:t>
            </w:r>
          </w:p>
        </w:tc>
        <w:tc>
          <w:tcPr/>
          <w:p>
            <w:pPr>
              <w:pStyle w:val="Compact"/>
            </w:pPr>
            <w:r>
              <w:t xml:space="preserve">Unpaired t-test; P95-first reporting</w:t>
            </w:r>
          </w:p>
        </w:tc>
        <w:tc>
          <w:tcPr/>
          <w:p>
            <w:pPr>
              <w:pStyle w:val="Compact"/>
            </w:pPr>
            <w:r>
              <w:t xml:space="preserve">Dror + NLPStatTest + browser-latency cautions</w:t>
            </w:r>
            <w:r>
              <w:t xml:space="preserve"> </w:t>
            </w:r>
            <w:hyperlink r:id="rId27">
              <w:r>
                <w:rPr>
                  <w:rStyle w:val="Hyperlink"/>
                </w:rPr>
                <w:t xml:space="preserve">[57]</w:t>
              </w:r>
            </w:hyperlink>
          </w:p>
        </w:tc>
      </w:tr>
      <w:tr>
        <w:tc>
          <w:tcPr/>
          <w:p>
            <w:pPr>
              <w:pStyle w:val="Compact"/>
            </w:pPr>
            <w:r>
              <w:t xml:space="preserve">Helpfulness</w:t>
            </w:r>
          </w:p>
        </w:tc>
        <w:tc>
          <w:tcPr/>
          <w:p>
            <w:pPr>
              <w:pStyle w:val="Compact"/>
            </w:pPr>
            <w:r>
              <w:t xml:space="preserve">Query</w:t>
            </w:r>
          </w:p>
        </w:tc>
        <w:tc>
          <w:tcPr/>
          <w:p>
            <w:pPr>
              <w:pStyle w:val="Compact"/>
            </w:pPr>
            <w:r>
              <w:t xml:space="preserve">Wilcoxon signed-rank on ordinal paired scores</w:t>
            </w:r>
          </w:p>
        </w:tc>
        <w:tc>
          <w:tcPr/>
          <w:p>
            <w:pPr>
              <w:pStyle w:val="Compact"/>
            </w:pPr>
            <w:r>
              <w:t xml:space="preserve">Median paired difference; weighted-κ/ICC for reliability</w:t>
            </w:r>
          </w:p>
        </w:tc>
        <w:tc>
          <w:tcPr/>
          <w:p>
            <w:pPr>
              <w:pStyle w:val="Compact"/>
            </w:pPr>
            <w:r>
              <w:t xml:space="preserve">Mann–Whitney U as primary</w:t>
            </w:r>
          </w:p>
        </w:tc>
        <w:tc>
          <w:tcPr/>
          <w:p>
            <w:pPr>
              <w:pStyle w:val="Compact"/>
            </w:pPr>
            <w:r>
              <w:t xml:space="preserve">Human-eval and paired-analysis guidance</w:t>
            </w:r>
            <w:r>
              <w:t xml:space="preserve"> </w:t>
            </w:r>
            <w:hyperlink r:id="rId26">
              <w:r>
                <w:rPr>
                  <w:rStyle w:val="Hyperlink"/>
                </w:rPr>
                <w:t xml:space="preserve">[58]</w:t>
              </w:r>
            </w:hyperlink>
          </w:p>
        </w:tc>
      </w:tr>
      <w:tr>
        <w:tc>
          <w:tcPr/>
          <w:p>
            <w:pPr>
              <w:pStyle w:val="Compact"/>
            </w:pPr>
            <w:r>
              <w:t xml:space="preserve">Routing confusion</w:t>
            </w:r>
          </w:p>
        </w:tc>
        <w:tc>
          <w:tcPr/>
          <w:p>
            <w:pPr>
              <w:pStyle w:val="Compact"/>
            </w:pPr>
            <w:r>
              <w:t xml:space="preserve">Query</w:t>
            </w:r>
          </w:p>
        </w:tc>
        <w:tc>
          <w:tcPr/>
          <w:p>
            <w:pPr>
              <w:pStyle w:val="Compact"/>
            </w:pPr>
            <w:r>
              <w:t xml:space="preserve">Descriptive confusion matrix; exact counts</w:t>
            </w:r>
          </w:p>
        </w:tc>
        <w:tc>
          <w:tcPr/>
          <w:p>
            <w:pPr>
              <w:pStyle w:val="Compact"/>
            </w:pPr>
            <w:r>
              <w:t xml:space="preserve">None required; emphasize error types</w:t>
            </w:r>
          </w:p>
        </w:tc>
        <w:tc>
          <w:tcPr/>
          <w:p>
            <w:pPr>
              <w:pStyle w:val="Compact"/>
            </w:pPr>
            <w:r>
              <w:t xml:space="preserve">Overinterpreted significance tests on sparse cells</w:t>
            </w:r>
          </w:p>
        </w:tc>
        <w:tc>
          <w:tcPr/>
          <w:p>
            <w:pPr>
              <w:pStyle w:val="Compact"/>
            </w:pPr>
            <w:r>
              <w:t xml:space="preserve">Reviewer judgment</w:t>
            </w:r>
          </w:p>
        </w:tc>
      </w:tr>
      <w:tr>
        <w:tc>
          <w:tcPr/>
          <w:p>
            <w:pPr>
              <w:pStyle w:val="Compact"/>
            </w:pPr>
            <w:r>
              <w:t xml:space="preserve">Mixed-intent subset</w:t>
            </w:r>
          </w:p>
        </w:tc>
        <w:tc>
          <w:tcPr/>
          <w:p>
            <w:pPr>
              <w:pStyle w:val="Compact"/>
            </w:pPr>
            <w:r>
              <w:t xml:space="preserve">Query</w:t>
            </w:r>
          </w:p>
        </w:tc>
        <w:tc>
          <w:tcPr/>
          <w:p>
            <w:pPr>
              <w:pStyle w:val="Compact"/>
            </w:pPr>
            <w:r>
              <w:t xml:space="preserve">Descriptive only in pilot; same paired tests only if counts are adequate</w:t>
            </w:r>
          </w:p>
        </w:tc>
        <w:tc>
          <w:tcPr/>
          <w:p>
            <w:pPr>
              <w:pStyle w:val="Compact"/>
            </w:pPr>
            <w:r>
              <w:t xml:space="preserve">Confidence intervals, not strong superiority language</w:t>
            </w:r>
          </w:p>
        </w:tc>
        <w:tc>
          <w:tcPr/>
          <w:p>
            <w:pPr>
              <w:pStyle w:val="Compact"/>
            </w:pPr>
            <w:r>
              <w:t xml:space="preserve">Pooling into main exact-field claims</w:t>
            </w:r>
          </w:p>
        </w:tc>
        <w:tc>
          <w:tcPr/>
          <w:p>
            <w:pPr>
              <w:pStyle w:val="Compact"/>
            </w:pPr>
            <w:r>
              <w:t xml:space="preserve">Reviewer judgment</w:t>
            </w:r>
          </w:p>
        </w:tc>
      </w:tr>
    </w:tbl>
    <w:p>
      <w:pPr>
        <w:pStyle w:val="BodyText"/>
      </w:pPr>
      <w:r>
        <w:t xml:space="preserve">Recommended plots are a paired-difference plot for latency, a disagreement matrix for route decisions, a stacked bar chart for refusal outcomes, and a stratified bar chart separating exact-field, refusal, and mixed-intent subsets. These are reviewer judgments.</w:t>
      </w:r>
    </w:p>
    <w:p>
      <w:pPr>
        <w:pStyle w:val="BodyText"/>
      </w:pPr>
      <w:r>
        <w:rPr>
          <w:b/>
          <w:bCs/>
        </w:rPr>
        <w:t xml:space="preserve">Claims permitted at</w:t>
      </w:r>
      <w:r>
        <w:rPr>
          <w:b/>
          <w:bCs/>
        </w:rPr>
        <w:t xml:space="preserve"> </w:t>
      </w:r>
      <w:r>
        <w:rPr>
          <w:rStyle w:val="VerbatimChar"/>
          <w:b/>
          <w:bCs/>
        </w:rPr>
        <w:t xml:space="preserve">n = 50</w:t>
      </w:r>
      <w:r>
        <w:rPr>
          <w:b/>
          <w:bCs/>
        </w:rPr>
        <w:t xml:space="preserve">.</w:t>
      </w:r>
      <w:r>
        <w:br/>
      </w:r>
      <w:r>
        <w:t xml:space="preserve">Permitted: exploratory within-fixture comparisons, directional claims about field mutation reduction, descriptive paired latency differences, and explicit statements that Condition 3 may reduce under-refusal while increasing over-refusal. Not permitted: universal superiority, claims of semantic correctness, broad browser-local generalization, or strong tail-latency claims.</w:t>
      </w:r>
      <w:r>
        <w:t xml:space="preserve"> </w:t>
      </w:r>
      <w:hyperlink r:id="rId48">
        <w:r>
          <w:rPr>
            <w:rStyle w:val="Hyperlink"/>
          </w:rPr>
          <w:t xml:space="preserve">[59]</w:t>
        </w:r>
      </w:hyperlink>
    </w:p>
    <w:bookmarkEnd w:id="49"/>
    <w:bookmarkStart w:id="50" w:name="reproducibility-and-validity-limits"/>
    <w:p>
      <w:pPr>
        <w:pStyle w:val="Heading2"/>
      </w:pPr>
      <w:r>
        <w:t xml:space="preserve">Reproducibility and validity limits</w:t>
      </w:r>
    </w:p>
    <w:p>
      <w:pPr>
        <w:pStyle w:val="FirstParagraph"/>
      </w:pPr>
      <w:r>
        <w:rPr>
          <w:b/>
          <w:bCs/>
        </w:rPr>
        <w:t xml:space="preserve">Reproducibility package checklist.</w:t>
      </w:r>
      <w:r>
        <w:br/>
      </w:r>
      <w:r>
        <w:t xml:space="preserve">The current artifact list is a good start, but it is still short of what a reproducible study needs. ACM’s artifact guidance emphasizes that reproducibility depends on auditable digital objects, and the IR reproducibility literature’s PRIMAD framing makes clear that platform, implementation, method, actors, and data all need explicit capture. For this project, that means frozen prompt packs, model/browser/hardware details, query order seeds, condition-order schedules, reviewer guides, and raw run records are not optional metadata—they are part of the experiment.</w:t>
      </w:r>
      <w:r>
        <w:t xml:space="preserve"> </w:t>
      </w:r>
      <w:hyperlink r:id="rId32">
        <w:r>
          <w:rPr>
            <w:rStyle w:val="Hyperlink"/>
          </w:rPr>
          <w:t xml:space="preserve">[60]</w:t>
        </w:r>
      </w:hyperlink>
    </w:p>
    <w:p>
      <w:pPr>
        <w:pStyle w:val="BodyText"/>
      </w:pPr>
      <w:r>
        <w:t xml:space="preserve">At minimum, the repository should freeze a prompt pack for each condition; the exact model identifier and local quantization/build; browser version; OS version; GPU adapter information; rule-table hash; refusal-matrix hash; fixture hash; query-order seed; condition-order schedule; anomaly policy; analysis notebook/script; and the review guide used by human raters. If outputs are public-safe, representative raw outputs should be committed alongside aggregate results. Source-audit logs should be separate from fixture labels so that changes in audit status do not silently modify the evaluation set after pre-registration. This package design is reviewer judgment, but it is directly aligned with artifact-review norms.</w:t>
      </w:r>
      <w:r>
        <w:t xml:space="preserve"> </w:t>
      </w:r>
      <w:hyperlink r:id="rId32">
        <w:r>
          <w:rPr>
            <w:rStyle w:val="Hyperlink"/>
          </w:rPr>
          <w:t xml:space="preserve">[61]</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Artifact</w:t>
            </w:r>
          </w:p>
        </w:tc>
        <w:tc>
          <w:tcPr/>
          <w:p>
            <w:pPr>
              <w:pStyle w:val="Compact"/>
            </w:pPr>
            <w:r>
              <w:t xml:space="preserve">Freeze before main run</w:t>
            </w:r>
          </w:p>
        </w:tc>
        <w:tc>
          <w:tcPr/>
          <w:p>
            <w:pPr>
              <w:pStyle w:val="Compact"/>
            </w:pPr>
            <w:r>
              <w:t xml:space="preserve">Public-safe by default</w:t>
            </w:r>
          </w:p>
        </w:tc>
        <w:tc>
          <w:tcPr/>
          <w:p>
            <w:pPr>
              <w:pStyle w:val="Compact"/>
            </w:pPr>
            <w:r>
              <w:t xml:space="preserve">Why it must exist</w:t>
            </w:r>
          </w:p>
        </w:tc>
        <w:tc>
          <w:tcPr/>
          <w:p>
            <w:pPr>
              <w:pStyle w:val="Compact"/>
            </w:pPr>
            <w:r>
              <w:t xml:space="preserve">Basis</w:t>
            </w:r>
          </w:p>
        </w:tc>
      </w:tr>
      <w:tr>
        <w:tc>
          <w:tcPr/>
          <w:p>
            <w:pPr>
              <w:pStyle w:val="Compact"/>
            </w:pPr>
            <w:r>
              <w:rPr>
                <w:rStyle w:val="VerbatimChar"/>
              </w:rPr>
              <w:t xml:space="preserve">config/lane_rules_v1.yaml</w:t>
            </w:r>
            <w:r>
              <w:t xml:space="preserve"> </w:t>
            </w:r>
            <w:r>
              <w:t xml:space="preserve">with content hash</w:t>
            </w:r>
          </w:p>
        </w:tc>
        <w:tc>
          <w:tcPr/>
          <w:p>
            <w:pPr>
              <w:pStyle w:val="Compact"/>
            </w:pPr>
            <w:r>
              <w:t xml:space="preserve">Yes</w:t>
            </w:r>
          </w:p>
        </w:tc>
        <w:tc>
          <w:tcPr/>
          <w:p>
            <w:pPr>
              <w:pStyle w:val="Compact"/>
            </w:pPr>
            <w:r>
              <w:t xml:space="preserve">Yes</w:t>
            </w:r>
          </w:p>
        </w:tc>
        <w:tc>
          <w:tcPr/>
          <w:p>
            <w:pPr>
              <w:pStyle w:val="Compact"/>
            </w:pPr>
            <w:r>
              <w:t xml:space="preserve">Defines routing behavior</w:t>
            </w:r>
          </w:p>
        </w:tc>
        <w:tc>
          <w:tcPr/>
          <w:p>
            <w:pPr>
              <w:pStyle w:val="Compact"/>
            </w:pPr>
            <w:r>
              <w:t xml:space="preserve">PRIMAD / artifact review</w:t>
            </w:r>
            <w:r>
              <w:t xml:space="preserve"> </w:t>
            </w:r>
            <w:hyperlink r:id="rId31">
              <w:r>
                <w:rPr>
                  <w:rStyle w:val="Hyperlink"/>
                </w:rPr>
                <w:t xml:space="preserve">[17]</w:t>
              </w:r>
            </w:hyperlink>
          </w:p>
        </w:tc>
      </w:tr>
      <w:tr>
        <w:tc>
          <w:tcPr/>
          <w:p>
            <w:pPr>
              <w:pStyle w:val="Compact"/>
            </w:pPr>
            <w:r>
              <w:t xml:space="preserve">Refusal decision matrix</w:t>
            </w:r>
          </w:p>
        </w:tc>
        <w:tc>
          <w:tcPr/>
          <w:p>
            <w:pPr>
              <w:pStyle w:val="Compact"/>
            </w:pPr>
            <w:r>
              <w:t xml:space="preserve">Yes</w:t>
            </w:r>
          </w:p>
        </w:tc>
        <w:tc>
          <w:tcPr/>
          <w:p>
            <w:pPr>
              <w:pStyle w:val="Compact"/>
            </w:pPr>
            <w:r>
              <w:t xml:space="preserve">Yes</w:t>
            </w:r>
          </w:p>
        </w:tc>
        <w:tc>
          <w:tcPr/>
          <w:p>
            <w:pPr>
              <w:pStyle w:val="Compact"/>
            </w:pPr>
            <w:r>
              <w:t xml:space="preserve">Defines gold action policy</w:t>
            </w:r>
          </w:p>
        </w:tc>
        <w:tc>
          <w:tcPr/>
          <w:p>
            <w:pPr>
              <w:pStyle w:val="Compact"/>
            </w:pPr>
            <w:r>
              <w:t xml:space="preserve">Same</w:t>
            </w:r>
          </w:p>
        </w:tc>
      </w:tr>
      <w:tr>
        <w:tc>
          <w:tcPr/>
          <w:p>
            <w:pPr>
              <w:pStyle w:val="Compact"/>
            </w:pPr>
            <w:r>
              <w:t xml:space="preserve">Prompt pack for each condition</w:t>
            </w:r>
          </w:p>
        </w:tc>
        <w:tc>
          <w:tcPr/>
          <w:p>
            <w:pPr>
              <w:pStyle w:val="Compact"/>
            </w:pPr>
            <w:r>
              <w:t xml:space="preserve">Yes</w:t>
            </w:r>
          </w:p>
        </w:tc>
        <w:tc>
          <w:tcPr/>
          <w:p>
            <w:pPr>
              <w:pStyle w:val="Compact"/>
            </w:pPr>
            <w:r>
              <w:t xml:space="preserve">Yes</w:t>
            </w:r>
          </w:p>
        </w:tc>
        <w:tc>
          <w:tcPr/>
          <w:p>
            <w:pPr>
              <w:pStyle w:val="Compact"/>
            </w:pPr>
            <w:r>
              <w:t xml:space="preserve">Prevents post hoc prompt drift</w:t>
            </w:r>
          </w:p>
        </w:tc>
        <w:tc>
          <w:tcPr/>
          <w:p>
            <w:pPr>
              <w:pStyle w:val="Compact"/>
            </w:pPr>
            <w:r>
              <w:t xml:space="preserve">Reviewer judgment</w:t>
            </w:r>
          </w:p>
        </w:tc>
      </w:tr>
      <w:tr>
        <w:tc>
          <w:tcPr/>
          <w:p>
            <w:pPr>
              <w:pStyle w:val="Compact"/>
            </w:pPr>
            <w:r>
              <w:t xml:space="preserve">Frozen evaluation fixture hash</w:t>
            </w:r>
          </w:p>
        </w:tc>
        <w:tc>
          <w:tcPr/>
          <w:p>
            <w:pPr>
              <w:pStyle w:val="Compact"/>
            </w:pPr>
            <w:r>
              <w:t xml:space="preserve">Yes</w:t>
            </w:r>
          </w:p>
        </w:tc>
        <w:tc>
          <w:tcPr/>
          <w:p>
            <w:pPr>
              <w:pStyle w:val="Compact"/>
            </w:pPr>
            <w:r>
              <w:t xml:space="preserve">Yes if sources are public-safe</w:t>
            </w:r>
          </w:p>
        </w:tc>
        <w:tc>
          <w:tcPr/>
          <w:p>
            <w:pPr>
              <w:pStyle w:val="Compact"/>
            </w:pPr>
            <w:r>
              <w:t xml:space="preserve">Defines test data</w:t>
            </w:r>
          </w:p>
        </w:tc>
        <w:tc>
          <w:tcPr/>
          <w:p>
            <w:pPr>
              <w:pStyle w:val="Compact"/>
            </w:pPr>
            <w:r>
              <w:t xml:space="preserve">PRIMAD / artifact review</w:t>
            </w:r>
            <w:r>
              <w:t xml:space="preserve"> </w:t>
            </w:r>
            <w:hyperlink r:id="rId31">
              <w:r>
                <w:rPr>
                  <w:rStyle w:val="Hyperlink"/>
                </w:rPr>
                <w:t xml:space="preserve">[17]</w:t>
              </w:r>
            </w:hyperlink>
          </w:p>
        </w:tc>
      </w:tr>
      <w:tr>
        <w:tc>
          <w:tcPr/>
          <w:p>
            <w:pPr>
              <w:pStyle w:val="Compact"/>
            </w:pPr>
            <w:r>
              <w:t xml:space="preserve">Separate runtime-view fixture</w:t>
            </w:r>
          </w:p>
        </w:tc>
        <w:tc>
          <w:tcPr/>
          <w:p>
            <w:pPr>
              <w:pStyle w:val="Compact"/>
            </w:pPr>
            <w:r>
              <w:t xml:space="preserve">Yes</w:t>
            </w:r>
          </w:p>
        </w:tc>
        <w:tc>
          <w:tcPr/>
          <w:p>
            <w:pPr>
              <w:pStyle w:val="Compact"/>
            </w:pPr>
            <w:r>
              <w:t xml:space="preserve">Yes</w:t>
            </w:r>
          </w:p>
        </w:tc>
        <w:tc>
          <w:tcPr/>
          <w:p>
            <w:pPr>
              <w:pStyle w:val="Compact"/>
            </w:pPr>
            <w:r>
              <w:t xml:space="preserve">Prevents leakage</w:t>
            </w:r>
          </w:p>
        </w:tc>
        <w:tc>
          <w:tcPr/>
          <w:p>
            <w:pPr>
              <w:pStyle w:val="Compact"/>
            </w:pPr>
            <w:r>
              <w:t xml:space="preserve">Reviewer judgment</w:t>
            </w:r>
          </w:p>
        </w:tc>
      </w:tr>
      <w:tr>
        <w:tc>
          <w:tcPr/>
          <w:p>
            <w:pPr>
              <w:pStyle w:val="Compact"/>
            </w:pPr>
            <w:r>
              <w:t xml:space="preserve">Model ID, quantization/build, and runtime version</w:t>
            </w:r>
          </w:p>
        </w:tc>
        <w:tc>
          <w:tcPr/>
          <w:p>
            <w:pPr>
              <w:pStyle w:val="Compact"/>
            </w:pPr>
            <w:r>
              <w:t xml:space="preserve">Yes</w:t>
            </w:r>
          </w:p>
        </w:tc>
        <w:tc>
          <w:tcPr/>
          <w:p>
            <w:pPr>
              <w:pStyle w:val="Compact"/>
            </w:pPr>
            <w:r>
              <w:t xml:space="preserve">Yes</w:t>
            </w:r>
          </w:p>
        </w:tc>
        <w:tc>
          <w:tcPr/>
          <w:p>
            <w:pPr>
              <w:pStyle w:val="Compact"/>
            </w:pPr>
            <w:r>
              <w:t xml:space="preserve">Browser-local inference is performance-sensitive</w:t>
            </w:r>
          </w:p>
        </w:tc>
        <w:tc>
          <w:tcPr/>
          <w:p>
            <w:pPr>
              <w:pStyle w:val="Compact"/>
            </w:pPr>
            <w:r>
              <w:t xml:space="preserve">WebLLM context</w:t>
            </w:r>
            <w:r>
              <w:t xml:space="preserve"> </w:t>
            </w:r>
            <w:hyperlink r:id="rId25">
              <w:r>
                <w:rPr>
                  <w:rStyle w:val="Hyperlink"/>
                </w:rPr>
                <w:t xml:space="preserve">[62]</w:t>
              </w:r>
            </w:hyperlink>
          </w:p>
        </w:tc>
      </w:tr>
      <w:tr>
        <w:tc>
          <w:tcPr/>
          <w:p>
            <w:pPr>
              <w:pStyle w:val="Compact"/>
            </w:pPr>
            <w:r>
              <w:t xml:space="preserve">Browser, OS, and GPU adapter info</w:t>
            </w:r>
          </w:p>
        </w:tc>
        <w:tc>
          <w:tcPr/>
          <w:p>
            <w:pPr>
              <w:pStyle w:val="Compact"/>
            </w:pPr>
            <w:r>
              <w:t xml:space="preserve">Yes</w:t>
            </w:r>
          </w:p>
        </w:tc>
        <w:tc>
          <w:tcPr/>
          <w:p>
            <w:pPr>
              <w:pStyle w:val="Compact"/>
            </w:pPr>
            <w:r>
              <w:t xml:space="preserve">Yes</w:t>
            </w:r>
          </w:p>
        </w:tc>
        <w:tc>
          <w:tcPr/>
          <w:p>
            <w:pPr>
              <w:pStyle w:val="Compact"/>
            </w:pPr>
            <w:r>
              <w:t xml:space="preserve">WebGPU behavior is platform-sensitive</w:t>
            </w:r>
          </w:p>
        </w:tc>
        <w:tc>
          <w:tcPr/>
          <w:p>
            <w:pPr>
              <w:pStyle w:val="Compact"/>
            </w:pPr>
            <w:r>
              <w:t xml:space="preserve">WebGPU / adapter docs</w:t>
            </w:r>
            <w:r>
              <w:t xml:space="preserve"> </w:t>
            </w:r>
            <w:hyperlink r:id="rId45">
              <w:r>
                <w:rPr>
                  <w:rStyle w:val="Hyperlink"/>
                </w:rPr>
                <w:t xml:space="preserve">[63]</w:t>
              </w:r>
            </w:hyperlink>
          </w:p>
        </w:tc>
      </w:tr>
      <w:tr>
        <w:tc>
          <w:tcPr/>
          <w:p>
            <w:pPr>
              <w:pStyle w:val="Compact"/>
            </w:pPr>
            <w:r>
              <w:t xml:space="preserve">Query order seed and condition schedule</w:t>
            </w:r>
          </w:p>
        </w:tc>
        <w:tc>
          <w:tcPr/>
          <w:p>
            <w:pPr>
              <w:pStyle w:val="Compact"/>
            </w:pPr>
            <w:r>
              <w:t xml:space="preserve">Yes</w:t>
            </w:r>
          </w:p>
        </w:tc>
        <w:tc>
          <w:tcPr/>
          <w:p>
            <w:pPr>
              <w:pStyle w:val="Compact"/>
            </w:pPr>
            <w:r>
              <w:t xml:space="preserve">Yes</w:t>
            </w:r>
          </w:p>
        </w:tc>
        <w:tc>
          <w:tcPr/>
          <w:p>
            <w:pPr>
              <w:pStyle w:val="Compact"/>
            </w:pPr>
            <w:r>
              <w:t xml:space="preserve">Controls warmup/order bias</w:t>
            </w:r>
          </w:p>
        </w:tc>
        <w:tc>
          <w:tcPr/>
          <w:p>
            <w:pPr>
              <w:pStyle w:val="Compact"/>
            </w:pPr>
            <w:r>
              <w:t xml:space="preserve">Human-eval and latency validity</w:t>
            </w:r>
            <w:r>
              <w:t xml:space="preserve"> </w:t>
            </w:r>
            <w:hyperlink r:id="rId23">
              <w:r>
                <w:rPr>
                  <w:rStyle w:val="Hyperlink"/>
                </w:rPr>
                <w:t xml:space="preserve">[13]</w:t>
              </w:r>
            </w:hyperlink>
          </w:p>
        </w:tc>
      </w:tr>
      <w:tr>
        <w:tc>
          <w:tcPr/>
          <w:p>
            <w:pPr>
              <w:pStyle w:val="Compact"/>
            </w:pPr>
            <w:r>
              <w:t xml:space="preserve">Raw run records and rendered outputs</w:t>
            </w:r>
          </w:p>
        </w:tc>
        <w:tc>
          <w:tcPr/>
          <w:p>
            <w:pPr>
              <w:pStyle w:val="Compact"/>
            </w:pPr>
            <w:r>
              <w:t xml:space="preserve">Generated, then immutable</w:t>
            </w:r>
          </w:p>
        </w:tc>
        <w:tc>
          <w:tcPr/>
          <w:p>
            <w:pPr>
              <w:pStyle w:val="Compact"/>
            </w:pPr>
            <w:r>
              <w:t xml:space="preserve">Usually yes after redaction</w:t>
            </w:r>
          </w:p>
        </w:tc>
        <w:tc>
          <w:tcPr/>
          <w:p>
            <w:pPr>
              <w:pStyle w:val="Compact"/>
            </w:pPr>
            <w:r>
              <w:t xml:space="preserve">Enables re-analysis</w:t>
            </w:r>
          </w:p>
        </w:tc>
        <w:tc>
          <w:tcPr/>
          <w:p>
            <w:pPr>
              <w:pStyle w:val="Compact"/>
            </w:pPr>
            <w:r>
              <w:t xml:space="preserve">Artifact norms</w:t>
            </w:r>
            <w:r>
              <w:t xml:space="preserve"> </w:t>
            </w:r>
            <w:hyperlink r:id="rId32">
              <w:r>
                <w:rPr>
                  <w:rStyle w:val="Hyperlink"/>
                </w:rPr>
                <w:t xml:space="preserve">[61]</w:t>
              </w:r>
            </w:hyperlink>
          </w:p>
        </w:tc>
      </w:tr>
      <w:tr>
        <w:tc>
          <w:tcPr/>
          <w:p>
            <w:pPr>
              <w:pStyle w:val="Compact"/>
            </w:pPr>
            <w:r>
              <w:t xml:space="preserve">Environment stability logs</w:t>
            </w:r>
          </w:p>
        </w:tc>
        <w:tc>
          <w:tcPr/>
          <w:p>
            <w:pPr>
              <w:pStyle w:val="Compact"/>
            </w:pPr>
            <w:r>
              <w:t xml:space="preserve">Generated, then immutable</w:t>
            </w:r>
          </w:p>
        </w:tc>
        <w:tc>
          <w:tcPr/>
          <w:p>
            <w:pPr>
              <w:pStyle w:val="Compact"/>
            </w:pPr>
            <w:r>
              <w:t xml:space="preserve">Yes</w:t>
            </w:r>
          </w:p>
        </w:tc>
        <w:tc>
          <w:tcPr/>
          <w:p>
            <w:pPr>
              <w:pStyle w:val="Compact"/>
            </w:pPr>
            <w:r>
              <w:t xml:space="preserve">Makes anomaly handling auditable</w:t>
            </w:r>
          </w:p>
        </w:tc>
        <w:tc>
          <w:tcPr/>
          <w:p>
            <w:pPr>
              <w:pStyle w:val="Compact"/>
            </w:pPr>
            <w:r>
              <w:t xml:space="preserve">Browser-platform sources</w:t>
            </w:r>
            <w:r>
              <w:t xml:space="preserve"> </w:t>
            </w:r>
            <w:hyperlink r:id="rId44">
              <w:r>
                <w:rPr>
                  <w:rStyle w:val="Hyperlink"/>
                </w:rPr>
                <w:t xml:space="preserve">[64]</w:t>
              </w:r>
            </w:hyperlink>
          </w:p>
        </w:tc>
      </w:tr>
      <w:tr>
        <w:tc>
          <w:tcPr/>
          <w:p>
            <w:pPr>
              <w:pStyle w:val="Compact"/>
            </w:pPr>
            <w:r>
              <w:t xml:space="preserve">Reviewer guide and calibration set</w:t>
            </w:r>
          </w:p>
        </w:tc>
        <w:tc>
          <w:tcPr/>
          <w:p>
            <w:pPr>
              <w:pStyle w:val="Compact"/>
            </w:pPr>
            <w:r>
              <w:t xml:space="preserve">Yes</w:t>
            </w:r>
          </w:p>
        </w:tc>
        <w:tc>
          <w:tcPr/>
          <w:p>
            <w:pPr>
              <w:pStyle w:val="Compact"/>
            </w:pPr>
            <w:r>
              <w:t xml:space="preserve">Yes</w:t>
            </w:r>
          </w:p>
        </w:tc>
        <w:tc>
          <w:tcPr/>
          <w:p>
            <w:pPr>
              <w:pStyle w:val="Compact"/>
            </w:pPr>
            <w:r>
              <w:t xml:space="preserve">Needed for human-eval reproducibility</w:t>
            </w:r>
          </w:p>
        </w:tc>
        <w:tc>
          <w:tcPr/>
          <w:p>
            <w:pPr>
              <w:pStyle w:val="Compact"/>
            </w:pPr>
            <w:r>
              <w:t xml:space="preserve">Human-eval best practice</w:t>
            </w:r>
            <w:r>
              <w:t xml:space="preserve"> </w:t>
            </w:r>
            <w:hyperlink r:id="rId23">
              <w:r>
                <w:rPr>
                  <w:rStyle w:val="Hyperlink"/>
                </w:rPr>
                <w:t xml:space="preserve">[35]</w:t>
              </w:r>
            </w:hyperlink>
          </w:p>
        </w:tc>
      </w:tr>
      <w:tr>
        <w:tc>
          <w:tcPr/>
          <w:p>
            <w:pPr>
              <w:pStyle w:val="Compact"/>
            </w:pPr>
            <w:r>
              <w:t xml:space="preserve">Analysis code and plotting scripts</w:t>
            </w:r>
          </w:p>
        </w:tc>
        <w:tc>
          <w:tcPr/>
          <w:p>
            <w:pPr>
              <w:pStyle w:val="Compact"/>
            </w:pPr>
            <w:r>
              <w:t xml:space="preserve">Yes</w:t>
            </w:r>
          </w:p>
        </w:tc>
        <w:tc>
          <w:tcPr/>
          <w:p>
            <w:pPr>
              <w:pStyle w:val="Compact"/>
            </w:pPr>
            <w:r>
              <w:t xml:space="preserve">Yes</w:t>
            </w:r>
          </w:p>
        </w:tc>
        <w:tc>
          <w:tcPr/>
          <w:p>
            <w:pPr>
              <w:pStyle w:val="Compact"/>
            </w:pPr>
            <w:r>
              <w:t xml:space="preserve">Independent reproduction of tables/figures</w:t>
            </w:r>
          </w:p>
        </w:tc>
        <w:tc>
          <w:tcPr/>
          <w:p>
            <w:pPr>
              <w:pStyle w:val="Compact"/>
            </w:pPr>
            <w:r>
              <w:t xml:space="preserve">Artifact norms</w:t>
            </w:r>
            <w:r>
              <w:t xml:space="preserve"> </w:t>
            </w:r>
            <w:hyperlink r:id="rId32">
              <w:r>
                <w:rPr>
                  <w:rStyle w:val="Hyperlink"/>
                </w:rPr>
                <w:t xml:space="preserve">[61]</w:t>
              </w:r>
            </w:hyperlink>
          </w:p>
        </w:tc>
      </w:tr>
    </w:tbl>
    <w:p>
      <w:pPr>
        <w:pStyle w:val="BodyText"/>
      </w:pPr>
      <w:r>
        <w:t xml:space="preserve">A sensible folder structure would isolate</w:t>
      </w:r>
      <w:r>
        <w:t xml:space="preserve"> </w:t>
      </w:r>
      <w:r>
        <w:rPr>
          <w:rStyle w:val="VerbatimChar"/>
        </w:rPr>
        <w:t xml:space="preserve">artifacts/frozen_protocol</w:t>
      </w:r>
      <w:r>
        <w:t xml:space="preserve">,</w:t>
      </w:r>
      <w:r>
        <w:t xml:space="preserve"> </w:t>
      </w:r>
      <w:r>
        <w:rPr>
          <w:rStyle w:val="VerbatimChar"/>
        </w:rPr>
        <w:t xml:space="preserve">fixtures/runtime_view</w:t>
      </w:r>
      <w:r>
        <w:t xml:space="preserve">,</w:t>
      </w:r>
      <w:r>
        <w:t xml:space="preserve"> </w:t>
      </w:r>
      <w:r>
        <w:rPr>
          <w:rStyle w:val="VerbatimChar"/>
        </w:rPr>
        <w:t xml:space="preserve">fixtures/eval_view</w:t>
      </w:r>
      <w:r>
        <w:t xml:space="preserve">,</w:t>
      </w:r>
      <w:r>
        <w:t xml:space="preserve"> </w:t>
      </w:r>
      <w:r>
        <w:rPr>
          <w:rStyle w:val="VerbatimChar"/>
        </w:rPr>
        <w:t xml:space="preserve">runs/raw</w:t>
      </w:r>
      <w:r>
        <w:t xml:space="preserve">,</w:t>
      </w:r>
      <w:r>
        <w:t xml:space="preserve"> </w:t>
      </w:r>
      <w:r>
        <w:rPr>
          <w:rStyle w:val="VerbatimChar"/>
        </w:rPr>
        <w:t xml:space="preserve">runs/derived</w:t>
      </w:r>
      <w:r>
        <w:t xml:space="preserve">,</w:t>
      </w:r>
      <w:r>
        <w:t xml:space="preserve"> </w:t>
      </w:r>
      <w:r>
        <w:rPr>
          <w:rStyle w:val="VerbatimChar"/>
        </w:rPr>
        <w:t xml:space="preserve">review/calibration</w:t>
      </w:r>
      <w:r>
        <w:t xml:space="preserve">,</w:t>
      </w:r>
      <w:r>
        <w:t xml:space="preserve"> </w:t>
      </w:r>
      <w:r>
        <w:rPr>
          <w:rStyle w:val="VerbatimChar"/>
        </w:rPr>
        <w:t xml:space="preserve">review/adjudicated</w:t>
      </w:r>
      <w:r>
        <w:t xml:space="preserve">, and</w:t>
      </w:r>
      <w:r>
        <w:t xml:space="preserve"> </w:t>
      </w:r>
      <w:r>
        <w:rPr>
          <w:rStyle w:val="VerbatimChar"/>
        </w:rPr>
        <w:t xml:space="preserve">analysis</w:t>
      </w:r>
      <w:r>
        <w:t xml:space="preserve">. That is reviewer judgment.</w:t>
      </w:r>
    </w:p>
    <w:p>
      <w:pPr>
        <w:pStyle w:val="BodyText"/>
      </w:pPr>
      <w:r>
        <w:rPr>
          <w:b/>
          <w:bCs/>
        </w:rPr>
        <w:t xml:space="preserve">Threats to validity.</w:t>
      </w:r>
      <w:r>
        <w:br/>
      </w:r>
      <w:r>
        <w:t xml:space="preserve">The most serious threat structure is well captured by a PRIMAD lens:</w:t>
      </w:r>
      <w:r>
        <w:t xml:space="preserve"> </w:t>
      </w:r>
      <w:r>
        <w:rPr>
          <w:b/>
          <w:bCs/>
        </w:rPr>
        <w:t xml:space="preserve">platform</w:t>
      </w:r>
      <w:r>
        <w:t xml:space="preserve"> </w:t>
      </w:r>
      <w:r>
        <w:t xml:space="preserve">sensitivity in browser-local inference,</w:t>
      </w:r>
      <w:r>
        <w:t xml:space="preserve"> </w:t>
      </w:r>
      <w:r>
        <w:rPr>
          <w:b/>
          <w:bCs/>
        </w:rPr>
        <w:t xml:space="preserve">method</w:t>
      </w:r>
      <w:r>
        <w:t xml:space="preserve"> </w:t>
      </w:r>
      <w:r>
        <w:t xml:space="preserve">ambiguity in routing and refusal,</w:t>
      </w:r>
      <w:r>
        <w:t xml:space="preserve"> </w:t>
      </w:r>
      <w:r>
        <w:rPr>
          <w:b/>
          <w:bCs/>
        </w:rPr>
        <w:t xml:space="preserve">actor</w:t>
      </w:r>
      <w:r>
        <w:t xml:space="preserve"> </w:t>
      </w:r>
      <w:r>
        <w:t xml:space="preserve">variability in human review, and</w:t>
      </w:r>
      <w:r>
        <w:t xml:space="preserve"> </w:t>
      </w:r>
      <w:r>
        <w:rPr>
          <w:b/>
          <w:bCs/>
        </w:rPr>
        <w:t xml:space="preserve">data</w:t>
      </w:r>
      <w:r>
        <w:t xml:space="preserve"> </w:t>
      </w:r>
      <w:r>
        <w:t xml:space="preserve">leakage in the fixture.</w:t>
      </w:r>
      <w:r>
        <w:t xml:space="preserve"> </w:t>
      </w:r>
      <w:hyperlink r:id="rId31">
        <w:r>
          <w:rPr>
            <w:rStyle w:val="Hyperlink"/>
          </w:rPr>
          <w:t xml:space="preserve">[65]</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Threat</w:t>
            </w:r>
          </w:p>
        </w:tc>
        <w:tc>
          <w:tcPr/>
          <w:p>
            <w:pPr>
              <w:pStyle w:val="Compact"/>
            </w:pPr>
            <w:r>
              <w:t xml:space="preserve">Why it is material</w:t>
            </w:r>
          </w:p>
        </w:tc>
        <w:tc>
          <w:tcPr/>
          <w:p>
            <w:pPr>
              <w:pStyle w:val="Compact"/>
            </w:pPr>
            <w:r>
              <w:t xml:space="preserve">Mitigation</w:t>
            </w:r>
          </w:p>
        </w:tc>
        <w:tc>
          <w:tcPr/>
          <w:p>
            <w:pPr>
              <w:pStyle w:val="Compact"/>
            </w:pPr>
            <w:r>
              <w:t xml:space="preserve">Residual limitation</w:t>
            </w:r>
          </w:p>
        </w:tc>
        <w:tc>
          <w:tcPr/>
          <w:p>
            <w:pPr>
              <w:pStyle w:val="Compact"/>
            </w:pPr>
            <w:r>
              <w:t xml:space="preserve">Basis</w:t>
            </w:r>
          </w:p>
        </w:tc>
      </w:tr>
      <w:tr>
        <w:tc>
          <w:tcPr/>
          <w:p>
            <w:pPr>
              <w:pStyle w:val="Compact"/>
            </w:pPr>
            <w:r>
              <w:t xml:space="preserve">Gold-label leakage into runtime</w:t>
            </w:r>
          </w:p>
        </w:tc>
        <w:tc>
          <w:tcPr/>
          <w:p>
            <w:pPr>
              <w:pStyle w:val="Compact"/>
            </w:pPr>
            <w:r>
              <w:t xml:space="preserve">Would make routing evaluation circular</w:t>
            </w:r>
          </w:p>
        </w:tc>
        <w:tc>
          <w:tcPr/>
          <w:p>
            <w:pPr>
              <w:pStyle w:val="Compact"/>
            </w:pPr>
            <w:r>
              <w:t xml:space="preserve">Separate runtime and eval fixture views</w:t>
            </w:r>
          </w:p>
        </w:tc>
        <w:tc>
          <w:tcPr/>
          <w:p>
            <w:pPr>
              <w:pStyle w:val="Compact"/>
            </w:pPr>
            <w:r>
              <w:t xml:space="preserve">Schema complexity increases</w:t>
            </w:r>
          </w:p>
        </w:tc>
        <w:tc>
          <w:tcPr/>
          <w:p>
            <w:pPr>
              <w:pStyle w:val="Compact"/>
            </w:pPr>
            <w:r>
              <w:t xml:space="preserve">Reviewer judgment</w:t>
            </w:r>
          </w:p>
        </w:tc>
      </w:tr>
      <w:tr>
        <w:tc>
          <w:tcPr/>
          <w:p>
            <w:pPr>
              <w:pStyle w:val="Compact"/>
            </w:pPr>
            <w:r>
              <w:t xml:space="preserve">Format confound in C1 vs C2</w:t>
            </w:r>
          </w:p>
        </w:tc>
        <w:tc>
          <w:tcPr/>
          <w:p>
            <w:pPr>
              <w:pStyle w:val="Compact"/>
            </w:pPr>
            <w:r>
              <w:t xml:space="preserve">Could attribute template effects to determinism</w:t>
            </w:r>
          </w:p>
        </w:tc>
        <w:tc>
          <w:tcPr/>
          <w:p>
            <w:pPr>
              <w:pStyle w:val="Compact"/>
            </w:pPr>
            <w:r>
              <w:t xml:space="preserve">Force shared visible schema across conditions</w:t>
            </w:r>
          </w:p>
        </w:tc>
        <w:tc>
          <w:tcPr/>
          <w:p>
            <w:pPr>
              <w:pStyle w:val="Compact"/>
            </w:pPr>
            <w:r>
              <w:t xml:space="preserve">Baseline may still be nudged by section labels</w:t>
            </w:r>
          </w:p>
        </w:tc>
        <w:tc>
          <w:tcPr/>
          <w:p>
            <w:pPr>
              <w:pStyle w:val="Compact"/>
            </w:pPr>
            <w:r>
              <w:t xml:space="preserve">Reviewer judgment</w:t>
            </w:r>
          </w:p>
        </w:tc>
      </w:tr>
      <w:tr>
        <w:tc>
          <w:tcPr/>
          <w:p>
            <w:pPr>
              <w:pStyle w:val="Compact"/>
            </w:pPr>
            <w:r>
              <w:t xml:space="preserve">Warmup and cache effects</w:t>
            </w:r>
          </w:p>
        </w:tc>
        <w:tc>
          <w:tcPr/>
          <w:p>
            <w:pPr>
              <w:pStyle w:val="Compact"/>
            </w:pPr>
            <w:r>
              <w:t xml:space="preserve">Could fake latency gains</w:t>
            </w:r>
          </w:p>
        </w:tc>
        <w:tc>
          <w:tcPr/>
          <w:p>
            <w:pPr>
              <w:pStyle w:val="Compact"/>
            </w:pPr>
            <w:r>
              <w:t xml:space="preserve">Randomize condition order; separate cold and warm reporting</w:t>
            </w:r>
          </w:p>
        </w:tc>
        <w:tc>
          <w:tcPr/>
          <w:p>
            <w:pPr>
              <w:pStyle w:val="Compact"/>
            </w:pPr>
            <w:r>
              <w:t xml:space="preserve">Some GPU/browser state remains hard to reset</w:t>
            </w:r>
          </w:p>
        </w:tc>
        <w:tc>
          <w:tcPr/>
          <w:p>
            <w:pPr>
              <w:pStyle w:val="Compact"/>
            </w:pPr>
            <w:r>
              <w:t xml:space="preserve">Order-effect and browser literature</w:t>
            </w:r>
            <w:r>
              <w:t xml:space="preserve"> </w:t>
            </w:r>
            <w:hyperlink r:id="rId23">
              <w:r>
                <w:rPr>
                  <w:rStyle w:val="Hyperlink"/>
                </w:rPr>
                <w:t xml:space="preserve">[66]</w:t>
              </w:r>
            </w:hyperlink>
          </w:p>
        </w:tc>
      </w:tr>
      <w:tr>
        <w:tc>
          <w:tcPr/>
          <w:p>
            <w:pPr>
              <w:pStyle w:val="Compact"/>
            </w:pPr>
            <w:r>
              <w:t xml:space="preserve">Reviewer unblinding</w:t>
            </w:r>
          </w:p>
        </w:tc>
        <w:tc>
          <w:tcPr/>
          <w:p>
            <w:pPr>
              <w:pStyle w:val="Compact"/>
            </w:pPr>
            <w:r>
              <w:t xml:space="preserve">Can bias helpfulness and refusal scores</w:t>
            </w:r>
          </w:p>
        </w:tc>
        <w:tc>
          <w:tcPr/>
          <w:p>
            <w:pPr>
              <w:pStyle w:val="Compact"/>
            </w:pPr>
            <w:r>
              <w:t xml:space="preserve">Blind IDs; normalize formatting where possible</w:t>
            </w:r>
          </w:p>
        </w:tc>
        <w:tc>
          <w:tcPr/>
          <w:p>
            <w:pPr>
              <w:pStyle w:val="Compact"/>
            </w:pPr>
            <w:r>
              <w:t xml:space="preserve">Deterministic outputs may still be visually recognizable</w:t>
            </w:r>
          </w:p>
        </w:tc>
        <w:tc>
          <w:tcPr/>
          <w:p>
            <w:pPr>
              <w:pStyle w:val="Compact"/>
            </w:pPr>
            <w:r>
              <w:t xml:space="preserve">HAI and human-eval bias literature</w:t>
            </w:r>
            <w:r>
              <w:t xml:space="preserve"> </w:t>
            </w:r>
            <w:hyperlink r:id="rId26">
              <w:r>
                <w:rPr>
                  <w:rStyle w:val="Hyperlink"/>
                </w:rPr>
                <w:t xml:space="preserve">[16]</w:t>
              </w:r>
            </w:hyperlink>
          </w:p>
        </w:tc>
      </w:tr>
      <w:tr>
        <w:tc>
          <w:tcPr/>
          <w:p>
            <w:pPr>
              <w:pStyle w:val="Compact"/>
            </w:pPr>
            <w:r>
              <w:t xml:space="preserve">Rule-table overfit to 50 rows</w:t>
            </w:r>
          </w:p>
        </w:tc>
        <w:tc>
          <w:tcPr/>
          <w:p>
            <w:pPr>
              <w:pStyle w:val="Compact"/>
            </w:pPr>
            <w:r>
              <w:t xml:space="preserve">Inflates apparent routing performance</w:t>
            </w:r>
          </w:p>
        </w:tc>
        <w:tc>
          <w:tcPr/>
          <w:p>
            <w:pPr>
              <w:pStyle w:val="Compact"/>
            </w:pPr>
            <w:r>
              <w:t xml:space="preserve">Pre-register rules; use dev/eval split</w:t>
            </w:r>
          </w:p>
        </w:tc>
        <w:tc>
          <w:tcPr/>
          <w:p>
            <w:pPr>
              <w:pStyle w:val="Compact"/>
            </w:pPr>
            <w:r>
              <w:t xml:space="preserve">Small pilot may still underrepresent real ambiguity</w:t>
            </w:r>
          </w:p>
        </w:tc>
        <w:tc>
          <w:tcPr/>
          <w:p>
            <w:pPr>
              <w:pStyle w:val="Compact"/>
            </w:pPr>
            <w:r>
              <w:t xml:space="preserve">Reproducibility logic</w:t>
            </w:r>
            <w:r>
              <w:t xml:space="preserve"> </w:t>
            </w:r>
            <w:hyperlink r:id="rId32">
              <w:r>
                <w:rPr>
                  <w:rStyle w:val="Hyperlink"/>
                </w:rPr>
                <w:t xml:space="preserve">[61]</w:t>
              </w:r>
            </w:hyperlink>
          </w:p>
        </w:tc>
      </w:tr>
      <w:tr>
        <w:tc>
          <w:tcPr/>
          <w:p>
            <w:pPr>
              <w:pStyle w:val="Compact"/>
            </w:pPr>
            <w:r>
              <w:t xml:space="preserve">Retrieval/generation conflation</w:t>
            </w:r>
          </w:p>
        </w:tc>
        <w:tc>
          <w:tcPr/>
          <w:p>
            <w:pPr>
              <w:pStyle w:val="Compact"/>
            </w:pPr>
            <w:r>
              <w:t xml:space="preserve">Hides where errors originate</w:t>
            </w:r>
          </w:p>
        </w:tc>
        <w:tc>
          <w:tcPr/>
          <w:p>
            <w:pPr>
              <w:pStyle w:val="Compact"/>
            </w:pPr>
            <w:r>
              <w:t xml:space="preserve">Log snippets, decisive fields, retrieval traces</w:t>
            </w:r>
          </w:p>
        </w:tc>
        <w:tc>
          <w:tcPr/>
          <w:p>
            <w:pPr>
              <w:pStyle w:val="Compact"/>
            </w:pPr>
            <w:r>
              <w:t xml:space="preserve">Some failure chains remain multi-causal</w:t>
            </w:r>
          </w:p>
        </w:tc>
        <w:tc>
          <w:tcPr/>
          <w:p>
            <w:pPr>
              <w:pStyle w:val="Compact"/>
            </w:pPr>
            <w:r>
              <w:t xml:space="preserve">RAG decomposition literature</w:t>
            </w:r>
            <w:r>
              <w:t xml:space="preserve"> </w:t>
            </w:r>
            <w:hyperlink r:id="rId22">
              <w:r>
                <w:rPr>
                  <w:rStyle w:val="Hyperlink"/>
                </w:rPr>
                <w:t xml:space="preserve">[29]</w:t>
              </w:r>
            </w:hyperlink>
          </w:p>
        </w:tc>
      </w:tr>
      <w:tr>
        <w:tc>
          <w:tcPr/>
          <w:p>
            <w:pPr>
              <w:pStyle w:val="Compact"/>
            </w:pPr>
            <w:r>
              <w:t xml:space="preserve">Platform-specific WebGPU variance</w:t>
            </w:r>
          </w:p>
        </w:tc>
        <w:tc>
          <w:tcPr/>
          <w:p>
            <w:pPr>
              <w:pStyle w:val="Compact"/>
            </w:pPr>
            <w:r>
              <w:t xml:space="preserve">Limits external validity of latency findings</w:t>
            </w:r>
          </w:p>
        </w:tc>
        <w:tc>
          <w:tcPr/>
          <w:p>
            <w:pPr>
              <w:pStyle w:val="Compact"/>
            </w:pPr>
            <w:r>
              <w:t xml:space="preserve">Pin one platform now; replicate later</w:t>
            </w:r>
          </w:p>
        </w:tc>
        <w:tc>
          <w:tcPr/>
          <w:p>
            <w:pPr>
              <w:pStyle w:val="Compact"/>
            </w:pPr>
            <w:r>
              <w:t xml:space="preserve">First study remains platform-specific</w:t>
            </w:r>
          </w:p>
        </w:tc>
        <w:tc>
          <w:tcPr/>
          <w:p>
            <w:pPr>
              <w:pStyle w:val="Compact"/>
            </w:pPr>
            <w:r>
              <w:t xml:space="preserve">WebLLM and WebGPU-overhead work</w:t>
            </w:r>
            <w:r>
              <w:t xml:space="preserve"> </w:t>
            </w:r>
            <w:hyperlink r:id="rId25">
              <w:r>
                <w:rPr>
                  <w:rStyle w:val="Hyperlink"/>
                </w:rPr>
                <w:t xml:space="preserve">[50]</w:t>
              </w:r>
            </w:hyperlink>
          </w:p>
        </w:tc>
      </w:tr>
      <w:tr>
        <w:tc>
          <w:tcPr/>
          <w:p>
            <w:pPr>
              <w:pStyle w:val="Compact"/>
            </w:pPr>
            <w:r>
              <w:t xml:space="preserve">Small</w:t>
            </w:r>
            <w:r>
              <w:t xml:space="preserve"> </w:t>
            </w:r>
            <w:r>
              <w:rPr>
                <w:rStyle w:val="VerbatimChar"/>
              </w:rPr>
              <w:t xml:space="preserve">n</w:t>
            </w:r>
            <w:r>
              <w:t xml:space="preserve"> </w:t>
            </w:r>
            <w:r>
              <w:t xml:space="preserve">with many metrics</w:t>
            </w:r>
          </w:p>
        </w:tc>
        <w:tc>
          <w:tcPr/>
          <w:p>
            <w:pPr>
              <w:pStyle w:val="Compact"/>
            </w:pPr>
            <w:r>
              <w:t xml:space="preserve">Encourages overclaiming</w:t>
            </w:r>
          </w:p>
        </w:tc>
        <w:tc>
          <w:tcPr/>
          <w:p>
            <w:pPr>
              <w:pStyle w:val="Compact"/>
            </w:pPr>
            <w:r>
              <w:t xml:space="preserve">Pre-register primary contrasts and metric families</w:t>
            </w:r>
          </w:p>
        </w:tc>
        <w:tc>
          <w:tcPr/>
          <w:p>
            <w:pPr>
              <w:pStyle w:val="Compact"/>
            </w:pPr>
            <w:r>
              <w:t xml:space="preserve">Pilot remains exploratory</w:t>
            </w:r>
          </w:p>
        </w:tc>
        <w:tc>
          <w:tcPr/>
          <w:p>
            <w:pPr>
              <w:pStyle w:val="Compact"/>
            </w:pPr>
            <w:r>
              <w:t xml:space="preserve">Statistical guidance</w:t>
            </w:r>
            <w:r>
              <w:t xml:space="preserve"> </w:t>
            </w:r>
            <w:hyperlink r:id="rId27">
              <w:r>
                <w:rPr>
                  <w:rStyle w:val="Hyperlink"/>
                </w:rPr>
                <w:t xml:space="preserve">[67]</w:t>
              </w:r>
            </w:hyperlink>
          </w:p>
        </w:tc>
      </w:tr>
      <w:tr>
        <w:tc>
          <w:tcPr/>
          <w:p>
            <w:pPr>
              <w:pStyle w:val="Compact"/>
            </w:pPr>
            <w:r>
              <w:t xml:space="preserve">Likert-heavy review sheet</w:t>
            </w:r>
          </w:p>
        </w:tc>
        <w:tc>
          <w:tcPr/>
          <w:p>
            <w:pPr>
              <w:pStyle w:val="Compact"/>
            </w:pPr>
            <w:r>
              <w:t xml:space="preserve">Reduces label reliability on factual dimensions</w:t>
            </w:r>
          </w:p>
        </w:tc>
        <w:tc>
          <w:tcPr/>
          <w:p>
            <w:pPr>
              <w:pStyle w:val="Compact"/>
            </w:pPr>
            <w:r>
              <w:t xml:space="preserve">Convert primary dimensions to binary/ordinal checklists</w:t>
            </w:r>
          </w:p>
        </w:tc>
        <w:tc>
          <w:tcPr/>
          <w:p>
            <w:pPr>
              <w:pStyle w:val="Compact"/>
            </w:pPr>
            <w:r>
              <w:t xml:space="preserve">Some helpfulness judgments remain subjective</w:t>
            </w:r>
          </w:p>
        </w:tc>
        <w:tc>
          <w:tcPr/>
          <w:p>
            <w:pPr>
              <w:pStyle w:val="Compact"/>
            </w:pPr>
            <w:r>
              <w:t xml:space="preserve">ConSiDERS and CheckEval</w:t>
            </w:r>
            <w:r>
              <w:t xml:space="preserve"> </w:t>
            </w:r>
            <w:hyperlink r:id="rId26">
              <w:r>
                <w:rPr>
                  <w:rStyle w:val="Hyperlink"/>
                </w:rPr>
                <w:t xml:space="preserve">[23]</w:t>
              </w:r>
            </w:hyperlink>
          </w:p>
        </w:tc>
      </w:tr>
      <w:tr>
        <w:tc>
          <w:tcPr/>
          <w:p>
            <w:pPr>
              <w:pStyle w:val="Compact"/>
            </w:pPr>
            <w:r>
              <w:t xml:space="preserve">Rights/status truth claims</w:t>
            </w:r>
          </w:p>
        </w:tc>
        <w:tc>
          <w:tcPr/>
          <w:p>
            <w:pPr>
              <w:pStyle w:val="Compact"/>
            </w:pPr>
            <w:r>
              <w:t xml:space="preserve">High-stakes semantics exceed renderer guarantee</w:t>
            </w:r>
          </w:p>
        </w:tc>
        <w:tc>
          <w:tcPr/>
          <w:p>
            <w:pPr>
              <w:pStyle w:val="Compact"/>
            </w:pPr>
            <w:r>
              <w:t xml:space="preserve">Keep audit status separate; forbid legal-authority claims</w:t>
            </w:r>
          </w:p>
        </w:tc>
        <w:tc>
          <w:tcPr/>
          <w:p>
            <w:pPr>
              <w:pStyle w:val="Compact"/>
            </w:pPr>
            <w:r>
              <w:t xml:space="preserve">Users may still overtrust neat deterministic output</w:t>
            </w:r>
          </w:p>
        </w:tc>
        <w:tc>
          <w:tcPr/>
          <w:p>
            <w:pPr>
              <w:pStyle w:val="Compact"/>
            </w:pPr>
            <w:r>
              <w:t xml:space="preserve">Verifiability + HAI concerns</w:t>
            </w:r>
            <w:r>
              <w:t xml:space="preserve"> </w:t>
            </w:r>
            <w:hyperlink r:id="rId37">
              <w:r>
                <w:rPr>
                  <w:rStyle w:val="Hyperlink"/>
                </w:rPr>
                <w:t xml:space="preserve">[40]</w:t>
              </w:r>
            </w:hyperlink>
          </w:p>
        </w:tc>
      </w:tr>
    </w:tbl>
    <w:p>
      <w:pPr>
        <w:pStyle w:val="BodyText"/>
      </w:pPr>
      <w:r>
        <w:rPr>
          <w:b/>
          <w:bCs/>
        </w:rPr>
        <w:t xml:space="preserve">Open questions that must remain limitations.</w:t>
      </w:r>
      <w:r>
        <w:br/>
      </w:r>
      <w:r>
        <w:t xml:space="preserve">Even after revision, some limitations should remain explicit in the paper. A deterministic lane can guarantee contract fidelity but not the semantic truth of the underlying metadata. A browser-local latency result on one model, browser, and GPU cannot generalize to all local RAG systems because both WebLLM and recent WebGPU work show strong platform dependence. A 50-query pilot can reveal workflow failures and produce paired exploratory estimates, but it does not establish universal superiority or reliable tail-latency behavior. Finally, the study can evaluate refusal correctness and user-facing caveating, but it does not directly measure real-user trust calibration or downstream task success unless a separate user study is added.</w:t>
      </w:r>
      <w:r>
        <w:t xml:space="preserve"> </w:t>
      </w:r>
      <w:hyperlink r:id="rId25">
        <w:r>
          <w:rPr>
            <w:rStyle w:val="Hyperlink"/>
          </w:rPr>
          <w:t xml:space="preserve">[68]</w:t>
        </w:r>
      </w:hyperlink>
    </w:p>
    <w:bookmarkEnd w:id="50"/>
    <w:bookmarkStart w:id="51" w:name="concrete-protocol-revision-list"/>
    <w:p>
      <w:pPr>
        <w:pStyle w:val="Heading2"/>
      </w:pPr>
      <w:r>
        <w:t xml:space="preserve">Concrete protocol revision list</w:t>
      </w:r>
    </w:p>
    <w:p>
      <w:pPr>
        <w:pStyle w:val="FirstParagraph"/>
      </w:pPr>
      <w:r>
        <w:rPr>
          <w:b/>
          <w:bCs/>
        </w:rPr>
        <w:t xml:space="preserve">Concrete recommended changes before running the first experiment.</w:t>
      </w:r>
      <w:r>
        <w:br/>
      </w:r>
      <w:r>
        <w:t xml:space="preserve">The following changes are the minimum set I would make before letting the study produce paper-facing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Change</w:t>
            </w:r>
          </w:p>
        </w:tc>
        <w:tc>
          <w:tcPr/>
          <w:p>
            <w:pPr>
              <w:pStyle w:val="Compact"/>
            </w:pPr>
            <w:r>
              <w:t xml:space="preserve">Why it is blocking or high leverage</w:t>
            </w:r>
          </w:p>
        </w:tc>
        <w:tc>
          <w:tcPr/>
          <w:p>
            <w:pPr>
              <w:pStyle w:val="Compact"/>
            </w:pPr>
            <w:r>
              <w:t xml:space="preserve">Basis</w:t>
            </w:r>
          </w:p>
        </w:tc>
      </w:tr>
      <w:tr>
        <w:tc>
          <w:tcPr/>
          <w:p>
            <w:pPr>
              <w:pStyle w:val="Compact"/>
            </w:pPr>
            <w:r>
              <w:t xml:space="preserve">Blocking</w:t>
            </w:r>
          </w:p>
        </w:tc>
        <w:tc>
          <w:tcPr/>
          <w:p>
            <w:pPr>
              <w:pStyle w:val="Compact"/>
            </w:pPr>
            <w:r>
              <w:t xml:space="preserve">Create separate</w:t>
            </w:r>
            <w:r>
              <w:t xml:space="preserve"> </w:t>
            </w:r>
            <w:r>
              <w:rPr>
                <w:rStyle w:val="VerbatimChar"/>
              </w:rPr>
              <w:t xml:space="preserve">runtime_view</w:t>
            </w:r>
            <w:r>
              <w:t xml:space="preserve"> </w:t>
            </w:r>
            <w:r>
              <w:t xml:space="preserve">and</w:t>
            </w:r>
            <w:r>
              <w:t xml:space="preserve"> </w:t>
            </w:r>
            <w:r>
              <w:rPr>
                <w:rStyle w:val="VerbatimChar"/>
              </w:rPr>
              <w:t xml:space="preserve">eval_view</w:t>
            </w:r>
            <w:r>
              <w:t xml:space="preserve"> </w:t>
            </w:r>
            <w:r>
              <w:t xml:space="preserve">fixtures</w:t>
            </w:r>
          </w:p>
        </w:tc>
        <w:tc>
          <w:tcPr/>
          <w:p>
            <w:pPr>
              <w:pStyle w:val="Compact"/>
            </w:pPr>
            <w:r>
              <w:t xml:space="preserve">Prevents direct gold-label leakage into routing/runtime decisions</w:t>
            </w:r>
          </w:p>
        </w:tc>
        <w:tc>
          <w:tcPr/>
          <w:p>
            <w:pPr>
              <w:pStyle w:val="Compact"/>
            </w:pPr>
            <w:r>
              <w:t xml:space="preserve">Reviewer judgment</w:t>
            </w:r>
          </w:p>
        </w:tc>
      </w:tr>
      <w:tr>
        <w:tc>
          <w:tcPr/>
          <w:p>
            <w:pPr>
              <w:pStyle w:val="Compact"/>
            </w:pPr>
            <w:r>
              <w:t xml:space="preserve">Blocking</w:t>
            </w:r>
          </w:p>
        </w:tc>
        <w:tc>
          <w:tcPr/>
          <w:p>
            <w:pPr>
              <w:pStyle w:val="Compact"/>
            </w:pPr>
            <w:r>
              <w:t xml:space="preserve">Freeze identical evidence packets for all conditions</w:t>
            </w:r>
          </w:p>
        </w:tc>
        <w:tc>
          <w:tcPr/>
          <w:p>
            <w:pPr>
              <w:pStyle w:val="Compact"/>
            </w:pPr>
            <w:r>
              <w:t xml:space="preserve">Necessary for any clean ablation</w:t>
            </w:r>
          </w:p>
        </w:tc>
        <w:tc>
          <w:tcPr/>
          <w:p>
            <w:pPr>
              <w:pStyle w:val="Compact"/>
            </w:pPr>
            <w:r>
              <w:t xml:space="preserve">Reviewer judgment informed by attribution/verifiability work</w:t>
            </w:r>
            <w:r>
              <w:t xml:space="preserve"> </w:t>
            </w:r>
            <w:hyperlink r:id="rId24">
              <w:r>
                <w:rPr>
                  <w:rStyle w:val="Hyperlink"/>
                </w:rPr>
                <w:t xml:space="preserve">[15]</w:t>
              </w:r>
            </w:hyperlink>
          </w:p>
        </w:tc>
      </w:tr>
      <w:tr>
        <w:tc>
          <w:tcPr/>
          <w:p>
            <w:pPr>
              <w:pStyle w:val="Compact"/>
            </w:pPr>
            <w:r>
              <w:t xml:space="preserve">Blocking</w:t>
            </w:r>
          </w:p>
        </w:tc>
        <w:tc>
          <w:tcPr/>
          <w:p>
            <w:pPr>
              <w:pStyle w:val="Compact"/>
            </w:pPr>
            <w:r>
              <w:t xml:space="preserve">Use a format-matched all-generation baseline</w:t>
            </w:r>
          </w:p>
        </w:tc>
        <w:tc>
          <w:tcPr/>
          <w:p>
            <w:pPr>
              <w:pStyle w:val="Compact"/>
            </w:pPr>
            <w:r>
              <w:t xml:space="preserve">Otherwise C1 vs C2 confounds determinism with layout</w:t>
            </w:r>
          </w:p>
        </w:tc>
        <w:tc>
          <w:tcPr/>
          <w:p>
            <w:pPr>
              <w:pStyle w:val="Compact"/>
            </w:pPr>
            <w:r>
              <w:t xml:space="preserve">Reviewer judgment</w:t>
            </w:r>
          </w:p>
        </w:tc>
      </w:tr>
      <w:tr>
        <w:tc>
          <w:tcPr/>
          <w:p>
            <w:pPr>
              <w:pStyle w:val="Compact"/>
            </w:pPr>
            <w:r>
              <w:t xml:space="preserve">Blocking</w:t>
            </w:r>
          </w:p>
        </w:tc>
        <w:tc>
          <w:tcPr/>
          <w:p>
            <w:pPr>
              <w:pStyle w:val="Compact"/>
            </w:pPr>
            <w:r>
              <w:t xml:space="preserve">Write an explicit evidence-state-to-action refusal matrix and trace schema</w:t>
            </w:r>
          </w:p>
        </w:tc>
        <w:tc>
          <w:tcPr/>
          <w:p>
            <w:pPr>
              <w:pStyle w:val="Compact"/>
            </w:pPr>
            <w:r>
              <w:t xml:space="preserve">Makes</w:t>
            </w:r>
            <w:r>
              <w:t xml:space="preserve"> </w:t>
            </w:r>
            <w:r>
              <w:rPr>
                <w:rStyle w:val="VerbatimChar"/>
              </w:rPr>
              <w:t xml:space="preserve">correct_refusal</w:t>
            </w:r>
            <w:r>
              <w:t xml:space="preserve"> </w:t>
            </w:r>
            <w:r>
              <w:t xml:space="preserve">reproducible</w:t>
            </w:r>
          </w:p>
        </w:tc>
        <w:tc>
          <w:tcPr/>
          <w:p>
            <w:pPr>
              <w:pStyle w:val="Compact"/>
            </w:pPr>
            <w:r>
              <w:t xml:space="preserve">Abstention/Sufficient Context motivation</w:t>
            </w:r>
            <w:r>
              <w:t xml:space="preserve"> </w:t>
            </w:r>
            <w:hyperlink r:id="rId22">
              <w:r>
                <w:rPr>
                  <w:rStyle w:val="Hyperlink"/>
                </w:rPr>
                <w:t xml:space="preserve">[12]</w:t>
              </w:r>
            </w:hyperlink>
          </w:p>
        </w:tc>
      </w:tr>
      <w:tr>
        <w:tc>
          <w:tcPr/>
          <w:p>
            <w:pPr>
              <w:pStyle w:val="Compact"/>
            </w:pPr>
            <w:r>
              <w:t xml:space="preserve">Blocking</w:t>
            </w:r>
          </w:p>
        </w:tc>
        <w:tc>
          <w:tcPr/>
          <w:p>
            <w:pPr>
              <w:pStyle w:val="Compact"/>
            </w:pPr>
            <w:r>
              <w:t xml:space="preserve">Convert the review sheet into decomposed objective checks for factual dimensions</w:t>
            </w:r>
          </w:p>
        </w:tc>
        <w:tc>
          <w:tcPr/>
          <w:p>
            <w:pPr>
              <w:pStyle w:val="Compact"/>
            </w:pPr>
            <w:r>
              <w:t xml:space="preserve">Needed for reliable labels</w:t>
            </w:r>
          </w:p>
        </w:tc>
        <w:tc>
          <w:tcPr/>
          <w:p>
            <w:pPr>
              <w:pStyle w:val="Compact"/>
            </w:pPr>
            <w:r>
              <w:t xml:space="preserve">ConSiDERS and CheckEval</w:t>
            </w:r>
            <w:r>
              <w:t xml:space="preserve"> </w:t>
            </w:r>
            <w:hyperlink r:id="rId26">
              <w:r>
                <w:rPr>
                  <w:rStyle w:val="Hyperlink"/>
                </w:rPr>
                <w:t xml:space="preserve">[23]</w:t>
              </w:r>
            </w:hyperlink>
          </w:p>
        </w:tc>
      </w:tr>
      <w:tr>
        <w:tc>
          <w:tcPr/>
          <w:p>
            <w:pPr>
              <w:pStyle w:val="Compact"/>
            </w:pPr>
            <w:r>
              <w:t xml:space="preserve">High</w:t>
            </w:r>
          </w:p>
        </w:tc>
        <w:tc>
          <w:tcPr/>
          <w:p>
            <w:pPr>
              <w:pStyle w:val="Compact"/>
            </w:pPr>
            <w:r>
              <w:t xml:space="preserve">Pre-register rule-table hash, refusal matrix, prompt pack, analysis plan, and anomaly policy</w:t>
            </w:r>
          </w:p>
        </w:tc>
        <w:tc>
          <w:tcPr/>
          <w:p>
            <w:pPr>
              <w:pStyle w:val="Compact"/>
            </w:pPr>
            <w:r>
              <w:t xml:space="preserve">Prevents silent tuning on the evaluation set</w:t>
            </w:r>
          </w:p>
        </w:tc>
        <w:tc>
          <w:tcPr/>
          <w:p>
            <w:pPr>
              <w:pStyle w:val="Compact"/>
            </w:pPr>
            <w:r>
              <w:t xml:space="preserve">ACM artifact and PRIMAD logic</w:t>
            </w:r>
            <w:r>
              <w:t xml:space="preserve"> </w:t>
            </w:r>
            <w:hyperlink r:id="rId32">
              <w:r>
                <w:rPr>
                  <w:rStyle w:val="Hyperlink"/>
                </w:rPr>
                <w:t xml:space="preserve">[60]</w:t>
              </w:r>
            </w:hyperlink>
          </w:p>
        </w:tc>
      </w:tr>
      <w:tr>
        <w:tc>
          <w:tcPr/>
          <w:p>
            <w:pPr>
              <w:pStyle w:val="Compact"/>
            </w:pPr>
            <w:r>
              <w:t xml:space="preserve">High</w:t>
            </w:r>
          </w:p>
        </w:tc>
        <w:tc>
          <w:tcPr/>
          <w:p>
            <w:pPr>
              <w:pStyle w:val="Compact"/>
            </w:pPr>
            <w:r>
              <w:t xml:space="preserve">Add exact retrieved snippets, decisive field IDs, and contradiction flags to fixture rows</w:t>
            </w:r>
          </w:p>
        </w:tc>
        <w:tc>
          <w:tcPr/>
          <w:p>
            <w:pPr>
              <w:pStyle w:val="Compact"/>
            </w:pPr>
            <w:r>
              <w:t xml:space="preserve">Separates retrieval failure from generation failure</w:t>
            </w:r>
          </w:p>
        </w:tc>
        <w:tc>
          <w:tcPr/>
          <w:p>
            <w:pPr>
              <w:pStyle w:val="Compact"/>
            </w:pPr>
            <w:r>
              <w:t xml:space="preserve">Source-supported</w:t>
            </w:r>
            <w:r>
              <w:t xml:space="preserve"> </w:t>
            </w:r>
            <w:hyperlink r:id="rId22">
              <w:r>
                <w:rPr>
                  <w:rStyle w:val="Hyperlink"/>
                </w:rPr>
                <w:t xml:space="preserve">[21]</w:t>
              </w:r>
            </w:hyperlink>
          </w:p>
        </w:tc>
      </w:tr>
      <w:tr>
        <w:tc>
          <w:tcPr/>
          <w:p>
            <w:pPr>
              <w:pStyle w:val="Compact"/>
            </w:pPr>
            <w:r>
              <w:t xml:space="preserve">High</w:t>
            </w:r>
          </w:p>
        </w:tc>
        <w:tc>
          <w:tcPr/>
          <w:p>
            <w:pPr>
              <w:pStyle w:val="Compact"/>
            </w:pPr>
            <w:r>
              <w:t xml:space="preserve">Run cold-start and warm-start latency as separate analyses</w:t>
            </w:r>
          </w:p>
        </w:tc>
        <w:tc>
          <w:tcPr/>
          <w:p>
            <w:pPr>
              <w:pStyle w:val="Compact"/>
            </w:pPr>
            <w:r>
              <w:t xml:space="preserve">Prevents misleading averages</w:t>
            </w:r>
          </w:p>
        </w:tc>
        <w:tc>
          <w:tcPr/>
          <w:p>
            <w:pPr>
              <w:pStyle w:val="Compact"/>
            </w:pPr>
            <w:r>
              <w:t xml:space="preserve">Browser-local latency decomposition</w:t>
            </w:r>
            <w:r>
              <w:t xml:space="preserve"> </w:t>
            </w:r>
            <w:hyperlink r:id="rId25">
              <w:r>
                <w:rPr>
                  <w:rStyle w:val="Hyperlink"/>
                </w:rPr>
                <w:t xml:space="preserve">[69]</w:t>
              </w:r>
            </w:hyperlink>
          </w:p>
        </w:tc>
      </w:tr>
      <w:tr>
        <w:tc>
          <w:tcPr/>
          <w:p>
            <w:pPr>
              <w:pStyle w:val="Compact"/>
            </w:pPr>
            <w:r>
              <w:t xml:space="preserve">High</w:t>
            </w:r>
          </w:p>
        </w:tc>
        <w:tc>
          <w:tcPr/>
          <w:p>
            <w:pPr>
              <w:pStyle w:val="Compact"/>
            </w:pPr>
            <w:r>
              <w:t xml:space="preserve">Log browser anomalies with Long Tasks, visibility/lifecycle, and adapter info</w:t>
            </w:r>
          </w:p>
        </w:tc>
        <w:tc>
          <w:tcPr/>
          <w:p>
            <w:pPr>
              <w:pStyle w:val="Compact"/>
            </w:pPr>
            <w:r>
              <w:t xml:space="preserve">Makes latency auditable</w:t>
            </w:r>
          </w:p>
        </w:tc>
        <w:tc>
          <w:tcPr/>
          <w:p>
            <w:pPr>
              <w:pStyle w:val="Compact"/>
            </w:pPr>
            <w:r>
              <w:t xml:space="preserve">Official browser/platform sources</w:t>
            </w:r>
            <w:r>
              <w:t xml:space="preserve"> </w:t>
            </w:r>
            <w:hyperlink r:id="rId46">
              <w:r>
                <w:rPr>
                  <w:rStyle w:val="Hyperlink"/>
                </w:rPr>
                <w:t xml:space="preserve">[70]</w:t>
              </w:r>
            </w:hyperlink>
          </w:p>
        </w:tc>
      </w:tr>
      <w:tr>
        <w:tc>
          <w:tcPr/>
          <w:p>
            <w:pPr>
              <w:pStyle w:val="Compact"/>
            </w:pPr>
            <w:r>
              <w:t xml:space="preserve">High</w:t>
            </w:r>
          </w:p>
        </w:tc>
        <w:tc>
          <w:tcPr/>
          <w:p>
            <w:pPr>
              <w:pStyle w:val="Compact"/>
            </w:pPr>
            <w:r>
              <w:t xml:space="preserve">Treat the initial 50 as exploratory unless rules are authored on a separate dev set</w:t>
            </w:r>
          </w:p>
        </w:tc>
        <w:tc>
          <w:tcPr/>
          <w:p>
            <w:pPr>
              <w:pStyle w:val="Compact"/>
            </w:pPr>
            <w:r>
              <w:t xml:space="preserve">Avoids test-set overfit masquerading as science</w:t>
            </w:r>
          </w:p>
        </w:tc>
        <w:tc>
          <w:tcPr/>
          <w:p>
            <w:pPr>
              <w:pStyle w:val="Compact"/>
            </w:pPr>
            <w:r>
              <w:t xml:space="preserve">Reviewer judgment</w:t>
            </w:r>
          </w:p>
        </w:tc>
      </w:tr>
      <w:tr>
        <w:tc>
          <w:tcPr/>
          <w:p>
            <w:pPr>
              <w:pStyle w:val="Compact"/>
            </w:pPr>
            <w:r>
              <w:t xml:space="preserve">Medium</w:t>
            </w:r>
          </w:p>
        </w:tc>
        <w:tc>
          <w:tcPr/>
          <w:p>
            <w:pPr>
              <w:pStyle w:val="Compact"/>
            </w:pPr>
            <w:r>
              <w:t xml:space="preserve">Add optional all-deterministic diagnostic on exact-field/refusal subset</w:t>
            </w:r>
          </w:p>
        </w:tc>
        <w:tc>
          <w:tcPr/>
          <w:p>
            <w:pPr>
              <w:pStyle w:val="Compact"/>
            </w:pPr>
            <w:r>
              <w:t xml:space="preserve">Useful sanity check, not a primary baseline</w:t>
            </w:r>
          </w:p>
        </w:tc>
        <w:tc>
          <w:tcPr/>
          <w:p>
            <w:pPr>
              <w:pStyle w:val="Compact"/>
            </w:pPr>
            <w:r>
              <w:t xml:space="preserve">Reviewer judgment</w:t>
            </w:r>
          </w:p>
        </w:tc>
      </w:tr>
      <w:tr>
        <w:tc>
          <w:tcPr/>
          <w:p>
            <w:pPr>
              <w:pStyle w:val="Compact"/>
            </w:pPr>
            <w:r>
              <w:t xml:space="preserve">Medium</w:t>
            </w:r>
          </w:p>
        </w:tc>
        <w:tc>
          <w:tcPr/>
          <w:p>
            <w:pPr>
              <w:pStyle w:val="Compact"/>
            </w:pPr>
            <w:r>
              <w:t xml:space="preserve">Increase mixed-intent share in a later phase or keep it explicitly pilot-only now</w:t>
            </w:r>
          </w:p>
        </w:tc>
        <w:tc>
          <w:tcPr/>
          <w:p>
            <w:pPr>
              <w:pStyle w:val="Compact"/>
            </w:pPr>
            <w:r>
              <w:t xml:space="preserve">Ten rows are too few for robust ambiguity-rate claims</w:t>
            </w:r>
          </w:p>
        </w:tc>
        <w:tc>
          <w:tcPr/>
          <w:p>
            <w:pPr>
              <w:pStyle w:val="Compact"/>
            </w:pPr>
            <w:r>
              <w:t xml:space="preserve">Reviewer judgment</w:t>
            </w:r>
          </w:p>
        </w:tc>
      </w:tr>
      <w:tr>
        <w:tc>
          <w:tcPr/>
          <w:p>
            <w:pPr>
              <w:pStyle w:val="Compact"/>
            </w:pPr>
            <w:r>
              <w:t xml:space="preserve">Medium</w:t>
            </w:r>
          </w:p>
        </w:tc>
        <w:tc>
          <w:tcPr/>
          <w:p>
            <w:pPr>
              <w:pStyle w:val="Compact"/>
            </w:pPr>
            <w:r>
              <w:t xml:space="preserve">Report paired effect sizes and CIs alongside p-values</w:t>
            </w:r>
          </w:p>
        </w:tc>
        <w:tc>
          <w:tcPr/>
          <w:p>
            <w:pPr>
              <w:pStyle w:val="Compact"/>
            </w:pPr>
            <w:r>
              <w:t xml:space="preserve">Prevents overclaiming from small</w:t>
            </w:r>
            <w:r>
              <w:t xml:space="preserve"> </w:t>
            </w:r>
            <w:r>
              <w:rPr>
                <w:rStyle w:val="VerbatimChar"/>
              </w:rPr>
              <w:t xml:space="preserve">n</w:t>
            </w:r>
          </w:p>
        </w:tc>
        <w:tc>
          <w:tcPr/>
          <w:p>
            <w:pPr>
              <w:pStyle w:val="Compact"/>
            </w:pPr>
            <w:r>
              <w:t xml:space="preserve">NLP statistical guidance</w:t>
            </w:r>
            <w:r>
              <w:t xml:space="preserve"> </w:t>
            </w:r>
            <w:hyperlink r:id="rId48">
              <w:r>
                <w:rPr>
                  <w:rStyle w:val="Hyperlink"/>
                </w:rPr>
                <w:t xml:space="preserve">[71]</w:t>
              </w:r>
            </w:hyperlink>
          </w:p>
        </w:tc>
      </w:tr>
      <w:tr>
        <w:tc>
          <w:tcPr/>
          <w:p>
            <w:pPr>
              <w:pStyle w:val="Compact"/>
            </w:pPr>
            <w:r>
              <w:t xml:space="preserve">Medium</w:t>
            </w:r>
          </w:p>
        </w:tc>
        <w:tc>
          <w:tcPr/>
          <w:p>
            <w:pPr>
              <w:pStyle w:val="Compact"/>
            </w:pPr>
            <w:r>
              <w:t xml:space="preserve">Preserve both pre-adjudication and adjudicated reviewer labels</w:t>
            </w:r>
          </w:p>
        </w:tc>
        <w:tc>
          <w:tcPr/>
          <w:p>
            <w:pPr>
              <w:pStyle w:val="Compact"/>
            </w:pPr>
            <w:r>
              <w:t xml:space="preserve">Needed for transparent IRA reporting</w:t>
            </w:r>
          </w:p>
        </w:tc>
        <w:tc>
          <w:tcPr/>
          <w:p>
            <w:pPr>
              <w:pStyle w:val="Compact"/>
            </w:pPr>
            <w:r>
              <w:t xml:space="preserve">Human-eval best practice</w:t>
            </w:r>
            <w:r>
              <w:t xml:space="preserve"> </w:t>
            </w:r>
            <w:hyperlink r:id="rId23">
              <w:r>
                <w:rPr>
                  <w:rStyle w:val="Hyperlink"/>
                </w:rPr>
                <w:t xml:space="preserve">[35]</w:t>
              </w:r>
            </w:hyperlink>
          </w:p>
        </w:tc>
      </w:tr>
    </w:tbl>
    <w:p>
      <w:pPr>
        <w:pStyle w:val="BodyText"/>
      </w:pPr>
      <w:r>
        <w:rPr>
          <w:b/>
          <w:bCs/>
        </w:rPr>
        <w:t xml:space="preserve">Claim that is currently supportable after these revisions.</w:t>
      </w:r>
      <w:r>
        <w:br/>
      </w:r>
      <w:r>
        <w:t xml:space="preserve">“In this controlled fixture, deterministic source/rights lanes reduced field mutation relative to an all-generation baseline, while the study explicitly distinguishes evidence-to-output fidelity from source correctness.”</w:t>
      </w:r>
      <w:r>
        <w:t xml:space="preserve"> </w:t>
      </w:r>
      <w:hyperlink r:id="rId24">
        <w:r>
          <w:rPr>
            <w:rStyle w:val="Hyperlink"/>
          </w:rPr>
          <w:t xml:space="preserve">[15]</w:t>
        </w:r>
      </w:hyperlink>
    </w:p>
    <w:p>
      <w:pPr>
        <w:pStyle w:val="BodyText"/>
      </w:pPr>
      <w:r>
        <w:rPr>
          <w:b/>
          <w:bCs/>
        </w:rPr>
        <w:t xml:space="preserve">Claim that is not yet supportable.</w:t>
      </w:r>
      <w:r>
        <w:br/>
      </w:r>
      <w:r>
        <w:t xml:space="preserve">“Deterministic answers are semantically correct,” “the system determines legal reuse rights,” “hybrid lanes solve hallucination,” “Qwen generation is faster,” and “fifty queries prove statistical superiority.”</w:t>
      </w:r>
      <w:r>
        <w:t xml:space="preserve"> </w:t>
      </w:r>
      <w:hyperlink r:id="rId37">
        <w:r>
          <w:rPr>
            <w:rStyle w:val="Hyperlink"/>
          </w:rPr>
          <w:t xml:space="preserve">[72]</w:t>
        </w:r>
      </w:hyperlink>
    </w:p>
    <w:bookmarkEnd w:id="51"/>
    <w:bookmarkStart w:id="60" w:name="sources-and-final-verdict"/>
    <w:p>
      <w:pPr>
        <w:pStyle w:val="Heading2"/>
      </w:pPr>
      <w:r>
        <w:t xml:space="preserve">Sources and final verdict</w:t>
      </w:r>
    </w:p>
    <w:p>
      <w:pPr>
        <w:pStyle w:val="FirstParagraph"/>
      </w:pPr>
      <w:r>
        <w:rPr>
          <w:b/>
          <w:bCs/>
        </w:rPr>
        <w:t xml:space="preserve">Full source list with links.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Title</w:t>
            </w:r>
          </w:p>
        </w:tc>
        <w:tc>
          <w:tcPr/>
          <w:p>
            <w:pPr>
              <w:pStyle w:val="Compact"/>
            </w:pPr>
            <w:r>
              <w:t xml:space="preserve">Authors or organization</w:t>
            </w:r>
          </w:p>
        </w:tc>
        <w:tc>
          <w:tcPr/>
          <w:p>
            <w:pPr>
              <w:pStyle w:val="Compact"/>
              <w:jc w:val="right"/>
            </w:pPr>
            <w:r>
              <w:t xml:space="preserve">Year</w:t>
            </w:r>
          </w:p>
        </w:tc>
        <w:tc>
          <w:tcPr/>
          <w:p>
            <w:pPr>
              <w:pStyle w:val="Compact"/>
            </w:pPr>
            <w:r>
              <w:t xml:space="preserve">Link</w:t>
            </w:r>
          </w:p>
        </w:tc>
        <w:tc>
          <w:tcPr/>
          <w:p>
            <w:pPr>
              <w:pStyle w:val="Compact"/>
            </w:pPr>
            <w:r>
              <w:t xml:space="preserve">What the source establishes</w:t>
            </w:r>
          </w:p>
        </w:tc>
        <w:tc>
          <w:tcPr/>
          <w:p>
            <w:pPr>
              <w:pStyle w:val="Compact"/>
            </w:pPr>
            <w:r>
              <w:t xml:space="preserve">How it changes or supports the method</w:t>
            </w:r>
          </w:p>
        </w:tc>
      </w:tr>
      <w:tr>
        <w:tc>
          <w:tcPr/>
          <w:p>
            <w:pPr>
              <w:pStyle w:val="Compact"/>
            </w:pPr>
            <w:r>
              <w:rPr>
                <w:i/>
                <w:iCs/>
              </w:rPr>
              <w:t xml:space="preserve">Retrieval-Augmented Generation for Knowledge-Intensive NLP Tasks</w:t>
            </w:r>
          </w:p>
        </w:tc>
        <w:tc>
          <w:tcPr/>
          <w:p>
            <w:pPr>
              <w:pStyle w:val="Compact"/>
            </w:pPr>
            <w:r>
              <w:t xml:space="preserve">Patrick Lewis et al.</w:t>
            </w:r>
          </w:p>
        </w:tc>
        <w:tc>
          <w:tcPr/>
          <w:p>
            <w:pPr>
              <w:pStyle w:val="Compact"/>
              <w:jc w:val="right"/>
            </w:pPr>
            <w:r>
              <w:t xml:space="preserve">2020</w:t>
            </w:r>
          </w:p>
        </w:tc>
        <w:tc>
          <w:tcPr/>
          <w:p>
            <w:pPr>
              <w:pStyle w:val="Compact"/>
            </w:pPr>
            <w:hyperlink r:id="rId21">
              <w:r>
                <w:rPr>
                  <w:rStyle w:val="Hyperlink"/>
                </w:rPr>
                <w:t xml:space="preserve">[73]</w:t>
              </w:r>
            </w:hyperlink>
          </w:p>
        </w:tc>
        <w:tc>
          <w:tcPr/>
          <w:p>
            <w:pPr>
              <w:pStyle w:val="Compact"/>
            </w:pPr>
            <w:r>
              <w:t xml:space="preserve">RAG addresses provenance/updateability limitations in parametric-only models</w:t>
            </w:r>
          </w:p>
        </w:tc>
        <w:tc>
          <w:tcPr/>
          <w:p>
            <w:pPr>
              <w:pStyle w:val="Compact"/>
            </w:pPr>
            <w:r>
              <w:t xml:space="preserve">Supports the paper’s focus on evidence-bearing answers rather than unconstrained generation</w:t>
            </w:r>
          </w:p>
        </w:tc>
      </w:tr>
      <w:tr>
        <w:tc>
          <w:tcPr/>
          <w:p>
            <w:pPr>
              <w:pStyle w:val="Compact"/>
            </w:pPr>
            <w:r>
              <w:rPr>
                <w:i/>
                <w:iCs/>
              </w:rPr>
              <w:t xml:space="preserve">Attributed Question Answering: Evaluation and Modeling for Attributed Large Language Models</w:t>
            </w:r>
          </w:p>
        </w:tc>
        <w:tc>
          <w:tcPr/>
          <w:p>
            <w:pPr>
              <w:pStyle w:val="Compact"/>
            </w:pPr>
            <w:r>
              <w:t xml:space="preserve">Bernd Bohnet et al.</w:t>
            </w:r>
          </w:p>
        </w:tc>
        <w:tc>
          <w:tcPr/>
          <w:p>
            <w:pPr>
              <w:pStyle w:val="Compact"/>
              <w:jc w:val="right"/>
            </w:pPr>
            <w:r>
              <w:t xml:space="preserve">2022</w:t>
            </w:r>
          </w:p>
        </w:tc>
        <w:tc>
          <w:tcPr/>
          <w:p>
            <w:pPr>
              <w:pStyle w:val="Compact"/>
            </w:pPr>
            <w:hyperlink r:id="rId24">
              <w:r>
                <w:rPr>
                  <w:rStyle w:val="Hyperlink"/>
                </w:rPr>
                <w:t xml:space="preserve">[74]</w:t>
              </w:r>
            </w:hyperlink>
          </w:p>
        </w:tc>
        <w:tc>
          <w:tcPr/>
          <w:p>
            <w:pPr>
              <w:pStyle w:val="Compact"/>
            </w:pPr>
            <w:r>
              <w:t xml:space="preserve">Reproducible attribution evaluation; human gold annotations; automatic metric suitable for development</w:t>
            </w:r>
          </w:p>
        </w:tc>
        <w:tc>
          <w:tcPr/>
          <w:p>
            <w:pPr>
              <w:pStyle w:val="Compact"/>
            </w:pPr>
            <w:r>
              <w:t xml:space="preserve">Supports separating support fidelity from broader correctness and using human gold for evaluation</w:t>
            </w:r>
          </w:p>
        </w:tc>
      </w:tr>
      <w:tr>
        <w:tc>
          <w:tcPr/>
          <w:p>
            <w:pPr>
              <w:pStyle w:val="Compact"/>
            </w:pPr>
            <w:r>
              <w:rPr>
                <w:i/>
                <w:iCs/>
              </w:rPr>
              <w:t xml:space="preserve">Enabling Large Language Models to Generate Text with Citations</w:t>
            </w:r>
          </w:p>
        </w:tc>
        <w:tc>
          <w:tcPr/>
          <w:p>
            <w:pPr>
              <w:pStyle w:val="Compact"/>
            </w:pPr>
            <w:r>
              <w:t xml:space="preserve">Tianyu Gao et al.</w:t>
            </w:r>
          </w:p>
        </w:tc>
        <w:tc>
          <w:tcPr/>
          <w:p>
            <w:pPr>
              <w:pStyle w:val="Compact"/>
              <w:jc w:val="right"/>
            </w:pPr>
            <w:r>
              <w:t xml:space="preserve">2023</w:t>
            </w:r>
          </w:p>
        </w:tc>
        <w:tc>
          <w:tcPr/>
          <w:p>
            <w:pPr>
              <w:pStyle w:val="Compact"/>
            </w:pPr>
            <w:hyperlink r:id="rId29">
              <w:r>
                <w:rPr>
                  <w:rStyle w:val="Hyperlink"/>
                </w:rPr>
                <w:t xml:space="preserve">[75]</w:t>
              </w:r>
            </w:hyperlink>
          </w:p>
        </w:tc>
        <w:tc>
          <w:tcPr/>
          <w:p>
            <w:pPr>
              <w:pStyle w:val="Compact"/>
            </w:pPr>
            <w:r>
              <w:t xml:space="preserve">ALCE benchmark; automatic metrics across fluency, correctness, citation quality; strong human correlation</w:t>
            </w:r>
          </w:p>
        </w:tc>
        <w:tc>
          <w:tcPr/>
          <w:p>
            <w:pPr>
              <w:pStyle w:val="Compact"/>
            </w:pPr>
            <w:r>
              <w:t xml:space="preserve">Supports multi-axis evaluation and citation-quality separation</w:t>
            </w:r>
          </w:p>
        </w:tc>
      </w:tr>
      <w:tr>
        <w:tc>
          <w:tcPr/>
          <w:p>
            <w:pPr>
              <w:pStyle w:val="Compact"/>
            </w:pPr>
            <w:r>
              <w:rPr>
                <w:i/>
                <w:iCs/>
              </w:rPr>
              <w:t xml:space="preserve">Evaluating Verifiability in Generative Search Engines</w:t>
            </w:r>
          </w:p>
        </w:tc>
        <w:tc>
          <w:tcPr/>
          <w:p>
            <w:pPr>
              <w:pStyle w:val="Compact"/>
            </w:pPr>
            <w:r>
              <w:t xml:space="preserve">Nelson F. Liu, Tianyi Zhang, Percy Liang</w:t>
            </w:r>
          </w:p>
        </w:tc>
        <w:tc>
          <w:tcPr/>
          <w:p>
            <w:pPr>
              <w:pStyle w:val="Compact"/>
              <w:jc w:val="right"/>
            </w:pPr>
            <w:r>
              <w:t xml:space="preserve">2023</w:t>
            </w:r>
          </w:p>
        </w:tc>
        <w:tc>
          <w:tcPr/>
          <w:p>
            <w:pPr>
              <w:pStyle w:val="Compact"/>
            </w:pPr>
            <w:hyperlink r:id="rId37">
              <w:r>
                <w:rPr>
                  <w:rStyle w:val="Hyperlink"/>
                </w:rPr>
                <w:t xml:space="preserve">[76]</w:t>
              </w:r>
            </w:hyperlink>
          </w:p>
        </w:tc>
        <w:tc>
          <w:tcPr/>
          <w:p>
            <w:pPr>
              <w:pStyle w:val="Compact"/>
            </w:pPr>
            <w:r>
              <w:t xml:space="preserve">Verifiability is about support coverage and precision; many polished answers remain unsupported</w:t>
            </w:r>
          </w:p>
        </w:tc>
        <w:tc>
          <w:tcPr/>
          <w:p>
            <w:pPr>
              <w:pStyle w:val="Compact"/>
            </w:pPr>
            <w:r>
              <w:t xml:space="preserve">Supports unsupported-claim taxonomy and caution against overtrusting fluent outputs</w:t>
            </w:r>
          </w:p>
        </w:tc>
      </w:tr>
      <w:tr>
        <w:tc>
          <w:tcPr/>
          <w:p>
            <w:pPr>
              <w:pStyle w:val="Compact"/>
            </w:pPr>
            <w:r>
              <w:rPr>
                <w:i/>
                <w:iCs/>
              </w:rPr>
              <w:t xml:space="preserve">Sufficient Context: A New Lens on Retrieval Augmented Generation Systems</w:t>
            </w:r>
          </w:p>
        </w:tc>
        <w:tc>
          <w:tcPr/>
          <w:p>
            <w:pPr>
              <w:pStyle w:val="Compact"/>
            </w:pPr>
            <w:r>
              <w:t xml:space="preserve">Hailey Joren et al.</w:t>
            </w:r>
          </w:p>
        </w:tc>
        <w:tc>
          <w:tcPr/>
          <w:p>
            <w:pPr>
              <w:pStyle w:val="Compact"/>
              <w:jc w:val="right"/>
            </w:pPr>
            <w:r>
              <w:t xml:space="preserve">2025</w:t>
            </w:r>
          </w:p>
        </w:tc>
        <w:tc>
          <w:tcPr/>
          <w:p>
            <w:pPr>
              <w:pStyle w:val="Compact"/>
            </w:pPr>
            <w:hyperlink r:id="rId22">
              <w:r>
                <w:rPr>
                  <w:rStyle w:val="Hyperlink"/>
                </w:rPr>
                <w:t xml:space="preserve">[77]</w:t>
              </w:r>
            </w:hyperlink>
          </w:p>
        </w:tc>
        <w:tc>
          <w:tcPr/>
          <w:p>
            <w:pPr>
              <w:pStyle w:val="Compact"/>
            </w:pPr>
            <w:r>
              <w:t xml:space="preserve">Distinguishes sufficient vs insufficient context; models often answer when they should abstain</w:t>
            </w:r>
          </w:p>
        </w:tc>
        <w:tc>
          <w:tcPr/>
          <w:p>
            <w:pPr>
              <w:pStyle w:val="Compact"/>
            </w:pPr>
            <w:r>
              <w:t xml:space="preserve">Supports explicit evidence-state and refusal-action protocol</w:t>
            </w:r>
          </w:p>
        </w:tc>
      </w:tr>
      <w:tr>
        <w:tc>
          <w:tcPr/>
          <w:p>
            <w:pPr>
              <w:pStyle w:val="Compact"/>
            </w:pPr>
            <w:r>
              <w:rPr>
                <w:i/>
                <w:iCs/>
              </w:rPr>
              <w:t xml:space="preserve">Selective Question Answering under Domain Shift</w:t>
            </w:r>
          </w:p>
        </w:tc>
        <w:tc>
          <w:tcPr/>
          <w:p>
            <w:pPr>
              <w:pStyle w:val="Compact"/>
            </w:pPr>
            <w:r>
              <w:t xml:space="preserve">Amita Kamath, Robin Jia, Percy Liang</w:t>
            </w:r>
          </w:p>
        </w:tc>
        <w:tc>
          <w:tcPr/>
          <w:p>
            <w:pPr>
              <w:pStyle w:val="Compact"/>
              <w:jc w:val="right"/>
            </w:pPr>
            <w:r>
              <w:t xml:space="preserve">2020</w:t>
            </w:r>
          </w:p>
        </w:tc>
        <w:tc>
          <w:tcPr/>
          <w:p>
            <w:pPr>
              <w:pStyle w:val="Compact"/>
            </w:pPr>
            <w:hyperlink r:id="rId36">
              <w:r>
                <w:rPr>
                  <w:rStyle w:val="Hyperlink"/>
                </w:rPr>
                <w:t xml:space="preserve">[78]</w:t>
              </w:r>
            </w:hyperlink>
          </w:p>
        </w:tc>
        <w:tc>
          <w:tcPr/>
          <w:p>
            <w:pPr>
              <w:pStyle w:val="Compact"/>
            </w:pPr>
            <w:r>
              <w:t xml:space="preserve">Abstention should be evaluated under matched answer/abstain tradeoffs</w:t>
            </w:r>
          </w:p>
        </w:tc>
        <w:tc>
          <w:tcPr/>
          <w:p>
            <w:pPr>
              <w:pStyle w:val="Compact"/>
            </w:pPr>
            <w:r>
              <w:t xml:space="preserve">Supports separate over-refusal and under-refusal measurement</w:t>
            </w:r>
          </w:p>
        </w:tc>
      </w:tr>
      <w:tr>
        <w:tc>
          <w:tcPr/>
          <w:p>
            <w:pPr>
              <w:pStyle w:val="Compact"/>
            </w:pPr>
            <w:r>
              <w:rPr>
                <w:i/>
                <w:iCs/>
              </w:rPr>
              <w:t xml:space="preserve">Do LLMs Know When to NOT Answer?</w:t>
            </w:r>
          </w:p>
        </w:tc>
        <w:tc>
          <w:tcPr/>
          <w:p>
            <w:pPr>
              <w:pStyle w:val="Compact"/>
            </w:pPr>
            <w:r>
              <w:t xml:space="preserve">A. Balabanov, E. Linander, and colleagues</w:t>
            </w:r>
          </w:p>
        </w:tc>
        <w:tc>
          <w:tcPr/>
          <w:p>
            <w:pPr>
              <w:pStyle w:val="Compact"/>
              <w:jc w:val="right"/>
            </w:pPr>
            <w:r>
              <w:t xml:space="preserve">2024</w:t>
            </w:r>
          </w:p>
        </w:tc>
        <w:tc>
          <w:tcPr/>
          <w:p>
            <w:pPr>
              <w:pStyle w:val="Compact"/>
            </w:pPr>
            <w:hyperlink r:id="rId52">
              <w:r>
                <w:rPr>
                  <w:rStyle w:val="Hyperlink"/>
                </w:rPr>
                <w:t xml:space="preserve">[79]</w:t>
              </w:r>
            </w:hyperlink>
          </w:p>
        </w:tc>
        <w:tc>
          <w:tcPr/>
          <w:p>
            <w:pPr>
              <w:pStyle w:val="Compact"/>
            </w:pPr>
            <w:r>
              <w:t xml:space="preserve">Proposes abstention-rate methodology with answerable/unanswerable confusion matrix framing</w:t>
            </w:r>
          </w:p>
        </w:tc>
        <w:tc>
          <w:tcPr/>
          <w:p>
            <w:pPr>
              <w:pStyle w:val="Compact"/>
            </w:pPr>
            <w:r>
              <w:t xml:space="preserve">Supports explicit refusal confusion analysis</w:t>
            </w:r>
          </w:p>
        </w:tc>
      </w:tr>
      <w:tr>
        <w:tc>
          <w:tcPr/>
          <w:p>
            <w:pPr>
              <w:pStyle w:val="Compact"/>
            </w:pPr>
            <w:r>
              <w:rPr>
                <w:i/>
                <w:iCs/>
              </w:rPr>
              <w:t xml:space="preserve">Corrective Retrieval Augmented Generation</w:t>
            </w:r>
          </w:p>
        </w:tc>
        <w:tc>
          <w:tcPr/>
          <w:p>
            <w:pPr>
              <w:pStyle w:val="Compact"/>
            </w:pPr>
            <w:r>
              <w:t xml:space="preserve">Shi-Qi Yan et al.</w:t>
            </w:r>
          </w:p>
        </w:tc>
        <w:tc>
          <w:tcPr/>
          <w:p>
            <w:pPr>
              <w:pStyle w:val="Compact"/>
              <w:jc w:val="right"/>
            </w:pPr>
            <w:r>
              <w:t xml:space="preserve">2024</w:t>
            </w:r>
          </w:p>
        </w:tc>
        <w:tc>
          <w:tcPr/>
          <w:p>
            <w:pPr>
              <w:pStyle w:val="Compact"/>
            </w:pPr>
            <w:hyperlink r:id="rId53">
              <w:r>
                <w:rPr>
                  <w:rStyle w:val="Hyperlink"/>
                </w:rPr>
                <w:t xml:space="preserve">[80]</w:t>
              </w:r>
            </w:hyperlink>
          </w:p>
        </w:tc>
        <w:tc>
          <w:tcPr/>
          <w:p>
            <w:pPr>
              <w:pStyle w:val="Compact"/>
            </w:pPr>
            <w:r>
              <w:t xml:space="preserve">Retriever quality and failure correction matter for RAG reliability</w:t>
            </w:r>
          </w:p>
        </w:tc>
        <w:tc>
          <w:tcPr/>
          <w:p>
            <w:pPr>
              <w:pStyle w:val="Compact"/>
            </w:pPr>
            <w:r>
              <w:t xml:space="preserve">Supports logging retrieval traces separately from answer generation</w:t>
            </w:r>
          </w:p>
        </w:tc>
      </w:tr>
      <w:tr>
        <w:tc>
          <w:tcPr/>
          <w:p>
            <w:pPr>
              <w:pStyle w:val="Compact"/>
            </w:pPr>
            <w:r>
              <w:rPr>
                <w:i/>
                <w:iCs/>
              </w:rPr>
              <w:t xml:space="preserve">WebLLM: A High-Performance In-Browser LLM Inference Engine</w:t>
            </w:r>
          </w:p>
        </w:tc>
        <w:tc>
          <w:tcPr/>
          <w:p>
            <w:pPr>
              <w:pStyle w:val="Compact"/>
            </w:pPr>
            <w:r>
              <w:t xml:space="preserve">Charlie F. Ruan et al.</w:t>
            </w:r>
          </w:p>
        </w:tc>
        <w:tc>
          <w:tcPr/>
          <w:p>
            <w:pPr>
              <w:pStyle w:val="Compact"/>
              <w:jc w:val="right"/>
            </w:pPr>
            <w:r>
              <w:t xml:space="preserve">2026</w:t>
            </w:r>
          </w:p>
        </w:tc>
        <w:tc>
          <w:tcPr/>
          <w:p>
            <w:pPr>
              <w:pStyle w:val="Compact"/>
            </w:pPr>
            <w:hyperlink r:id="rId25">
              <w:r>
                <w:rPr>
                  <w:rStyle w:val="Hyperlink"/>
                </w:rPr>
                <w:t xml:space="preserve">[81]</w:t>
              </w:r>
            </w:hyperlink>
          </w:p>
        </w:tc>
        <w:tc>
          <w:tcPr/>
          <w:p>
            <w:pPr>
              <w:pStyle w:val="Compact"/>
            </w:pPr>
            <w:r>
              <w:t xml:space="preserve">In-browser inference can be high performance but remains device-specific</w:t>
            </w:r>
          </w:p>
        </w:tc>
        <w:tc>
          <w:tcPr/>
          <w:p>
            <w:pPr>
              <w:pStyle w:val="Compact"/>
            </w:pPr>
            <w:r>
              <w:t xml:space="preserve">Supports browser-local framing and platform pinning</w:t>
            </w:r>
          </w:p>
        </w:tc>
      </w:tr>
      <w:tr>
        <w:tc>
          <w:tcPr/>
          <w:p>
            <w:pPr>
              <w:pStyle w:val="Compact"/>
            </w:pPr>
            <w:r>
              <w:rPr>
                <w:i/>
                <w:iCs/>
              </w:rPr>
              <w:t xml:space="preserve">WebLLM Javascript SDK</w:t>
            </w:r>
          </w:p>
        </w:tc>
        <w:tc>
          <w:tcPr/>
          <w:p>
            <w:pPr>
              <w:pStyle w:val="Compact"/>
            </w:pPr>
            <w:r>
              <w:t xml:space="preserve">MLC</w:t>
            </w:r>
          </w:p>
        </w:tc>
        <w:tc>
          <w:tcPr/>
          <w:p>
            <w:pPr>
              <w:pStyle w:val="Compact"/>
              <w:jc w:val="right"/>
            </w:pPr>
            <w:r>
              <w:t xml:space="preserve">2026 docs</w:t>
            </w:r>
          </w:p>
        </w:tc>
        <w:tc>
          <w:tcPr/>
          <w:p>
            <w:pPr>
              <w:pStyle w:val="Compact"/>
            </w:pPr>
            <w:hyperlink r:id="rId54">
              <w:r>
                <w:rPr>
                  <w:rStyle w:val="Hyperlink"/>
                </w:rPr>
                <w:t xml:space="preserve">[82]</w:t>
              </w:r>
            </w:hyperlink>
          </w:p>
        </w:tc>
        <w:tc>
          <w:tcPr/>
          <w:p>
            <w:pPr>
              <w:pStyle w:val="Compact"/>
            </w:pPr>
            <w:r>
              <w:t xml:space="preserve">WebGPU acceleration and web-worker support are part of the intended runtime</w:t>
            </w:r>
          </w:p>
        </w:tc>
        <w:tc>
          <w:tcPr/>
          <w:p>
            <w:pPr>
              <w:pStyle w:val="Compact"/>
            </w:pPr>
            <w:r>
              <w:t xml:space="preserve">Supports latency decomposition and worker/UI-thread logging</w:t>
            </w:r>
          </w:p>
        </w:tc>
      </w:tr>
      <w:tr>
        <w:tc>
          <w:tcPr/>
          <w:p>
            <w:pPr>
              <w:pStyle w:val="Compact"/>
            </w:pPr>
            <w:r>
              <w:rPr>
                <w:i/>
                <w:iCs/>
              </w:rPr>
              <w:t xml:space="preserve">Characterizing WebGPU Dispatch Overhead for LLM Inference Across Four GPU Vendors, Three Backends, and Three Browsers</w:t>
            </w:r>
          </w:p>
        </w:tc>
        <w:tc>
          <w:tcPr/>
          <w:p>
            <w:pPr>
              <w:pStyle w:val="Compact"/>
            </w:pPr>
            <w:r>
              <w:t xml:space="preserve">Jędrzej Maczan</w:t>
            </w:r>
          </w:p>
        </w:tc>
        <w:tc>
          <w:tcPr/>
          <w:p>
            <w:pPr>
              <w:pStyle w:val="Compact"/>
              <w:jc w:val="right"/>
            </w:pPr>
            <w:r>
              <w:t xml:space="preserve">2026</w:t>
            </w:r>
          </w:p>
        </w:tc>
        <w:tc>
          <w:tcPr/>
          <w:p>
            <w:pPr>
              <w:pStyle w:val="Compact"/>
            </w:pPr>
            <w:hyperlink r:id="rId45">
              <w:r>
                <w:rPr>
                  <w:rStyle w:val="Hyperlink"/>
                </w:rPr>
                <w:t xml:space="preserve">[44]</w:t>
              </w:r>
            </w:hyperlink>
          </w:p>
        </w:tc>
        <w:tc>
          <w:tcPr/>
          <w:p>
            <w:pPr>
              <w:pStyle w:val="Compact"/>
            </w:pPr>
            <w:r>
              <w:t xml:space="preserve">Browser/GPU/backend overhead varies and can dominate at batch size 1</w:t>
            </w:r>
          </w:p>
        </w:tc>
        <w:tc>
          <w:tcPr/>
          <w:p>
            <w:pPr>
              <w:pStyle w:val="Compact"/>
            </w:pPr>
            <w:r>
              <w:t xml:space="preserve">Supports anomaly-aware latency methodology and restricted generalization</w:t>
            </w:r>
          </w:p>
        </w:tc>
      </w:tr>
      <w:tr>
        <w:tc>
          <w:tcPr/>
          <w:p>
            <w:pPr>
              <w:pStyle w:val="Compact"/>
            </w:pPr>
            <w:r>
              <w:rPr>
                <w:i/>
                <w:iCs/>
              </w:rPr>
              <w:t xml:space="preserve">DistServe: Disaggregating Prefill and Decoding for Goodput-optimized Large Language Model Serving</w:t>
            </w:r>
          </w:p>
        </w:tc>
        <w:tc>
          <w:tcPr/>
          <w:p>
            <w:pPr>
              <w:pStyle w:val="Compact"/>
            </w:pPr>
            <w:r>
              <w:t xml:space="preserve">Yinmin Zhong et al.</w:t>
            </w:r>
          </w:p>
        </w:tc>
        <w:tc>
          <w:tcPr/>
          <w:p>
            <w:pPr>
              <w:pStyle w:val="Compact"/>
              <w:jc w:val="right"/>
            </w:pPr>
            <w:r>
              <w:t xml:space="preserve">2024</w:t>
            </w:r>
          </w:p>
        </w:tc>
        <w:tc>
          <w:tcPr/>
          <w:p>
            <w:pPr>
              <w:pStyle w:val="Compact"/>
            </w:pPr>
            <w:hyperlink r:id="rId42">
              <w:r>
                <w:rPr>
                  <w:rStyle w:val="Hyperlink"/>
                </w:rPr>
                <w:t xml:space="preserve">[46]</w:t>
              </w:r>
            </w:hyperlink>
          </w:p>
        </w:tc>
        <w:tc>
          <w:tcPr/>
          <w:p>
            <w:pPr>
              <w:pStyle w:val="Compact"/>
            </w:pPr>
            <w:r>
              <w:t xml:space="preserve">TTFT and TPOT are meaningful separate phase latencies</w:t>
            </w:r>
          </w:p>
        </w:tc>
        <w:tc>
          <w:tcPr/>
          <w:p>
            <w:pPr>
              <w:pStyle w:val="Compact"/>
            </w:pPr>
            <w:r>
              <w:t xml:space="preserve">Supports separate generation-phase latency reporting</w:t>
            </w:r>
          </w:p>
        </w:tc>
      </w:tr>
      <w:tr>
        <w:tc>
          <w:tcPr/>
          <w:p>
            <w:pPr>
              <w:pStyle w:val="Compact"/>
            </w:pPr>
            <w:r>
              <w:rPr>
                <w:i/>
                <w:iCs/>
              </w:rPr>
              <w:t xml:space="preserve">Efficient Memory Management for Large Language Model Serving with PagedAttention</w:t>
            </w:r>
          </w:p>
        </w:tc>
        <w:tc>
          <w:tcPr/>
          <w:p>
            <w:pPr>
              <w:pStyle w:val="Compact"/>
            </w:pPr>
            <w:r>
              <w:t xml:space="preserve">Woosuk Kwon et al.</w:t>
            </w:r>
          </w:p>
        </w:tc>
        <w:tc>
          <w:tcPr/>
          <w:p>
            <w:pPr>
              <w:pStyle w:val="Compact"/>
              <w:jc w:val="right"/>
            </w:pPr>
            <w:r>
              <w:t xml:space="preserve">2023</w:t>
            </w:r>
          </w:p>
        </w:tc>
        <w:tc>
          <w:tcPr/>
          <w:p>
            <w:pPr>
              <w:pStyle w:val="Compact"/>
            </w:pPr>
            <w:hyperlink r:id="rId55">
              <w:r>
                <w:rPr>
                  <w:rStyle w:val="Hyperlink"/>
                </w:rPr>
                <w:t xml:space="preserve">[83]</w:t>
              </w:r>
            </w:hyperlink>
          </w:p>
        </w:tc>
        <w:tc>
          <w:tcPr/>
          <w:p>
            <w:pPr>
              <w:pStyle w:val="Compact"/>
            </w:pPr>
            <w:r>
              <w:t xml:space="preserve">Throughput/latency tradeoffs depend on serving mechanics</w:t>
            </w:r>
          </w:p>
        </w:tc>
        <w:tc>
          <w:tcPr/>
          <w:p>
            <w:pPr>
              <w:pStyle w:val="Compact"/>
            </w:pPr>
            <w:r>
              <w:t xml:space="preserve">Supports avoiding simplistic “one latency number” reasoning</w:t>
            </w:r>
          </w:p>
        </w:tc>
      </w:tr>
      <w:tr>
        <w:tc>
          <w:tcPr/>
          <w:p>
            <w:pPr>
              <w:pStyle w:val="Compact"/>
            </w:pPr>
            <w:r>
              <w:rPr>
                <w:i/>
                <w:iCs/>
              </w:rPr>
              <w:t xml:space="preserve">Long Tasks API</w:t>
            </w:r>
          </w:p>
        </w:tc>
        <w:tc>
          <w:tcPr/>
          <w:p>
            <w:pPr>
              <w:pStyle w:val="Compact"/>
            </w:pPr>
            <w:r>
              <w:t xml:space="preserve">W3C Web Performance Working Group</w:t>
            </w:r>
          </w:p>
        </w:tc>
        <w:tc>
          <w:tcPr/>
          <w:p>
            <w:pPr>
              <w:pStyle w:val="Compact"/>
              <w:jc w:val="right"/>
            </w:pPr>
            <w:r>
              <w:t xml:space="preserve">2026 WD</w:t>
            </w:r>
          </w:p>
        </w:tc>
        <w:tc>
          <w:tcPr/>
          <w:p>
            <w:pPr>
              <w:pStyle w:val="Compact"/>
            </w:pPr>
            <w:hyperlink r:id="rId46">
              <w:r>
                <w:rPr>
                  <w:rStyle w:val="Hyperlink"/>
                </w:rPr>
                <w:t xml:space="preserve">[47]</w:t>
              </w:r>
            </w:hyperlink>
          </w:p>
        </w:tc>
        <w:tc>
          <w:tcPr/>
          <w:p>
            <w:pPr>
              <w:pStyle w:val="Compact"/>
            </w:pPr>
            <w:r>
              <w:t xml:space="preserve">Official mechanism to log UI-thread stalls &gt;50 ms</w:t>
            </w:r>
          </w:p>
        </w:tc>
        <w:tc>
          <w:tcPr/>
          <w:p>
            <w:pPr>
              <w:pStyle w:val="Compact"/>
            </w:pPr>
            <w:r>
              <w:t xml:space="preserve">Supports environment stability logging</w:t>
            </w:r>
          </w:p>
        </w:tc>
      </w:tr>
      <w:tr>
        <w:tc>
          <w:tcPr/>
          <w:p>
            <w:pPr>
              <w:pStyle w:val="Compact"/>
            </w:pPr>
            <w:r>
              <w:rPr>
                <w:i/>
                <w:iCs/>
              </w:rPr>
              <w:t xml:space="preserve">Page Visibility Level 2</w:t>
            </w:r>
          </w:p>
        </w:tc>
        <w:tc>
          <w:tcPr/>
          <w:p>
            <w:pPr>
              <w:pStyle w:val="Compact"/>
            </w:pPr>
            <w:r>
              <w:t xml:space="preserve">W3C</w:t>
            </w:r>
          </w:p>
        </w:tc>
        <w:tc>
          <w:tcPr/>
          <w:p>
            <w:pPr>
              <w:pStyle w:val="Compact"/>
              <w:jc w:val="right"/>
            </w:pPr>
            <w:r>
              <w:t xml:space="preserve">2022</w:t>
            </w:r>
          </w:p>
        </w:tc>
        <w:tc>
          <w:tcPr/>
          <w:p>
            <w:pPr>
              <w:pStyle w:val="Compact"/>
            </w:pPr>
            <w:hyperlink r:id="rId56">
              <w:r>
                <w:rPr>
                  <w:rStyle w:val="Hyperlink"/>
                </w:rPr>
                <w:t xml:space="preserve">[84]</w:t>
              </w:r>
            </w:hyperlink>
          </w:p>
        </w:tc>
        <w:tc>
          <w:tcPr/>
          <w:p>
            <w:pPr>
              <w:pStyle w:val="Compact"/>
            </w:pPr>
            <w:r>
              <w:t xml:space="preserve">Official visibility-change signaling</w:t>
            </w:r>
          </w:p>
        </w:tc>
        <w:tc>
          <w:tcPr/>
          <w:p>
            <w:pPr>
              <w:pStyle w:val="Compact"/>
            </w:pPr>
            <w:r>
              <w:t xml:space="preserve">Supports logging hidden/background tab state</w:t>
            </w:r>
          </w:p>
        </w:tc>
      </w:tr>
      <w:tr>
        <w:tc>
          <w:tcPr/>
          <w:p>
            <w:pPr>
              <w:pStyle w:val="Compact"/>
            </w:pPr>
            <w:r>
              <w:rPr>
                <w:i/>
                <w:iCs/>
              </w:rPr>
              <w:t xml:space="preserve">Page Lifecycle API</w:t>
            </w:r>
          </w:p>
        </w:tc>
        <w:tc>
          <w:tcPr/>
          <w:p>
            <w:pPr>
              <w:pStyle w:val="Compact"/>
            </w:pPr>
            <w:r>
              <w:t xml:space="preserve">Chrome for Developers</w:t>
            </w:r>
          </w:p>
        </w:tc>
        <w:tc>
          <w:tcPr/>
          <w:p>
            <w:pPr>
              <w:pStyle w:val="Compact"/>
              <w:jc w:val="right"/>
            </w:pPr>
            <w:r>
              <w:t xml:space="preserve">2023</w:t>
            </w:r>
          </w:p>
        </w:tc>
        <w:tc>
          <w:tcPr/>
          <w:p>
            <w:pPr>
              <w:pStyle w:val="Compact"/>
            </w:pPr>
            <w:hyperlink r:id="rId44">
              <w:r>
                <w:rPr>
                  <w:rStyle w:val="Hyperlink"/>
                </w:rPr>
                <w:t xml:space="preserve">[85]</w:t>
              </w:r>
            </w:hyperlink>
          </w:p>
        </w:tc>
        <w:tc>
          <w:tcPr/>
          <w:p>
            <w:pPr>
              <w:pStyle w:val="Compact"/>
            </w:pPr>
            <w:r>
              <w:t xml:space="preserve">Pages may be suspended or discarded under resource pressure</w:t>
            </w:r>
          </w:p>
        </w:tc>
        <w:tc>
          <w:tcPr/>
          <w:p>
            <w:pPr>
              <w:pStyle w:val="Compact"/>
            </w:pPr>
            <w:r>
              <w:t xml:space="preserve">Supports anomaly flags and sensitivity analysis</w:t>
            </w:r>
          </w:p>
        </w:tc>
      </w:tr>
      <w:tr>
        <w:tc>
          <w:tcPr/>
          <w:p>
            <w:pPr>
              <w:pStyle w:val="Compact"/>
            </w:pPr>
            <w:r>
              <w:rPr>
                <w:i/>
                <w:iCs/>
              </w:rPr>
              <w:t xml:space="preserve">GPUAdapterInfo</w:t>
            </w:r>
          </w:p>
        </w:tc>
        <w:tc>
          <w:tcPr/>
          <w:p>
            <w:pPr>
              <w:pStyle w:val="Compact"/>
            </w:pPr>
            <w:r>
              <w:t xml:space="preserve">MDN</w:t>
            </w:r>
          </w:p>
        </w:tc>
        <w:tc>
          <w:tcPr/>
          <w:p>
            <w:pPr>
              <w:pStyle w:val="Compact"/>
              <w:jc w:val="right"/>
            </w:pPr>
            <w:r>
              <w:t xml:space="preserve">2025</w:t>
            </w:r>
          </w:p>
        </w:tc>
        <w:tc>
          <w:tcPr/>
          <w:p>
            <w:pPr>
              <w:pStyle w:val="Compact"/>
            </w:pPr>
            <w:hyperlink r:id="rId57">
              <w:r>
                <w:rPr>
                  <w:rStyle w:val="Hyperlink"/>
                </w:rPr>
                <w:t xml:space="preserve">[86]</w:t>
              </w:r>
            </w:hyperlink>
          </w:p>
        </w:tc>
        <w:tc>
          <w:tcPr/>
          <w:p>
            <w:pPr>
              <w:pStyle w:val="Compact"/>
            </w:pPr>
            <w:r>
              <w:t xml:space="preserve">Browser can expose limited GPU identity information</w:t>
            </w:r>
          </w:p>
        </w:tc>
        <w:tc>
          <w:tcPr/>
          <w:p>
            <w:pPr>
              <w:pStyle w:val="Compact"/>
            </w:pPr>
            <w:r>
              <w:t xml:space="preserve">Supports hardware provenance in run metadata</w:t>
            </w:r>
          </w:p>
        </w:tc>
      </w:tr>
      <w:tr>
        <w:tc>
          <w:tcPr/>
          <w:p>
            <w:pPr>
              <w:pStyle w:val="Compact"/>
            </w:pPr>
            <w:r>
              <w:rPr>
                <w:i/>
                <w:iCs/>
              </w:rPr>
              <w:t xml:space="preserve">GPUCommandEncoder.writeTimestamp</w:t>
            </w:r>
          </w:p>
        </w:tc>
        <w:tc>
          <w:tcPr/>
          <w:p>
            <w:pPr>
              <w:pStyle w:val="Compact"/>
            </w:pPr>
            <w:r>
              <w:t xml:space="preserve">MDN</w:t>
            </w:r>
          </w:p>
        </w:tc>
        <w:tc>
          <w:tcPr/>
          <w:p>
            <w:pPr>
              <w:pStyle w:val="Compact"/>
              <w:jc w:val="right"/>
            </w:pPr>
            <w:r>
              <w:t xml:space="preserve">2026</w:t>
            </w:r>
          </w:p>
        </w:tc>
        <w:tc>
          <w:tcPr/>
          <w:p>
            <w:pPr>
              <w:pStyle w:val="Compact"/>
            </w:pPr>
            <w:hyperlink r:id="rId47">
              <w:r>
                <w:rPr>
                  <w:rStyle w:val="Hyperlink"/>
                </w:rPr>
                <w:t xml:space="preserve">[48]</w:t>
              </w:r>
            </w:hyperlink>
          </w:p>
        </w:tc>
        <w:tc>
          <w:tcPr/>
          <w:p>
            <w:pPr>
              <w:pStyle w:val="Compact"/>
            </w:pPr>
            <w:r>
              <w:t xml:space="preserve">Timestamp queries can measure executed GPU work when enabled</w:t>
            </w:r>
          </w:p>
        </w:tc>
        <w:tc>
          <w:tcPr/>
          <w:p>
            <w:pPr>
              <w:pStyle w:val="Compact"/>
            </w:pPr>
            <w:r>
              <w:t xml:space="preserve">Supports optional GPU-phase instrumentation</w:t>
            </w:r>
          </w:p>
        </w:tc>
      </w:tr>
      <w:tr>
        <w:tc>
          <w:tcPr/>
          <w:p>
            <w:pPr>
              <w:pStyle w:val="Compact"/>
            </w:pPr>
            <w:r>
              <w:rPr>
                <w:i/>
                <w:iCs/>
              </w:rPr>
              <w:t xml:space="preserve">Performance.now()</w:t>
            </w:r>
          </w:p>
        </w:tc>
        <w:tc>
          <w:tcPr/>
          <w:p>
            <w:pPr>
              <w:pStyle w:val="Compact"/>
            </w:pPr>
            <w:r>
              <w:t xml:space="preserve">MDN</w:t>
            </w:r>
          </w:p>
        </w:tc>
        <w:tc>
          <w:tcPr/>
          <w:p>
            <w:pPr>
              <w:pStyle w:val="Compact"/>
              <w:jc w:val="right"/>
            </w:pPr>
            <w:r>
              <w:t xml:space="preserve">2025</w:t>
            </w:r>
          </w:p>
        </w:tc>
        <w:tc>
          <w:tcPr/>
          <w:p>
            <w:pPr>
              <w:pStyle w:val="Compact"/>
            </w:pPr>
            <w:hyperlink r:id="rId43">
              <w:r>
                <w:rPr>
                  <w:rStyle w:val="Hyperlink"/>
                </w:rPr>
                <w:t xml:space="preserve">[87]</w:t>
              </w:r>
            </w:hyperlink>
          </w:p>
        </w:tc>
        <w:tc>
          <w:tcPr/>
          <w:p>
            <w:pPr>
              <w:pStyle w:val="Compact"/>
            </w:pPr>
            <w:r>
              <w:t xml:space="preserve">Provides monotonic high-resolution timestamps</w:t>
            </w:r>
          </w:p>
        </w:tc>
        <w:tc>
          <w:tcPr/>
          <w:p>
            <w:pPr>
              <w:pStyle w:val="Compact"/>
            </w:pPr>
            <w:r>
              <w:t xml:space="preserve">Supports precise latency instrumentation</w:t>
            </w:r>
          </w:p>
        </w:tc>
      </w:tr>
      <w:tr>
        <w:tc>
          <w:tcPr/>
          <w:p>
            <w:pPr>
              <w:pStyle w:val="Compact"/>
            </w:pPr>
            <w:r>
              <w:rPr>
                <w:i/>
                <w:iCs/>
              </w:rPr>
              <w:t xml:space="preserve">Navigation Timing</w:t>
            </w:r>
          </w:p>
        </w:tc>
        <w:tc>
          <w:tcPr/>
          <w:p>
            <w:pPr>
              <w:pStyle w:val="Compact"/>
            </w:pPr>
            <w:r>
              <w:t xml:space="preserve">MDN</w:t>
            </w:r>
          </w:p>
        </w:tc>
        <w:tc>
          <w:tcPr/>
          <w:p>
            <w:pPr>
              <w:pStyle w:val="Compact"/>
              <w:jc w:val="right"/>
            </w:pPr>
            <w:r>
              <w:t xml:space="preserve">2025</w:t>
            </w:r>
          </w:p>
        </w:tc>
        <w:tc>
          <w:tcPr/>
          <w:p>
            <w:pPr>
              <w:pStyle w:val="Compact"/>
            </w:pPr>
            <w:hyperlink r:id="rId58">
              <w:r>
                <w:rPr>
                  <w:rStyle w:val="Hyperlink"/>
                </w:rPr>
                <w:t xml:space="preserve">[88]</w:t>
              </w:r>
            </w:hyperlink>
          </w:p>
        </w:tc>
        <w:tc>
          <w:tcPr/>
          <w:p>
            <w:pPr>
              <w:pStyle w:val="Compact"/>
            </w:pPr>
            <w:r>
              <w:t xml:space="preserve">Provides navigation-related timing metrics</w:t>
            </w:r>
          </w:p>
        </w:tc>
        <w:tc>
          <w:tcPr/>
          <w:p>
            <w:pPr>
              <w:pStyle w:val="Compact"/>
            </w:pPr>
            <w:r>
              <w:t xml:space="preserve">Supports cold-start/loading instrumentation</w:t>
            </w:r>
          </w:p>
        </w:tc>
      </w:tr>
      <w:tr>
        <w:tc>
          <w:tcPr/>
          <w:p>
            <w:pPr>
              <w:pStyle w:val="Compact"/>
            </w:pPr>
            <w:r>
              <w:rPr>
                <w:i/>
                <w:iCs/>
              </w:rPr>
              <w:t xml:space="preserve">Guidelines for Human-AI Interaction</w:t>
            </w:r>
          </w:p>
        </w:tc>
        <w:tc>
          <w:tcPr/>
          <w:p>
            <w:pPr>
              <w:pStyle w:val="Compact"/>
            </w:pPr>
            <w:r>
              <w:t xml:space="preserve">Saleema Amershi et al., Microsoft Research</w:t>
            </w:r>
          </w:p>
        </w:tc>
        <w:tc>
          <w:tcPr/>
          <w:p>
            <w:pPr>
              <w:pStyle w:val="Compact"/>
              <w:jc w:val="right"/>
            </w:pPr>
            <w:r>
              <w:t xml:space="preserve">2019</w:t>
            </w:r>
          </w:p>
        </w:tc>
        <w:tc>
          <w:tcPr/>
          <w:p>
            <w:pPr>
              <w:pStyle w:val="Compact"/>
            </w:pPr>
            <w:hyperlink r:id="rId34">
              <w:r>
                <w:rPr>
                  <w:rStyle w:val="Hyperlink"/>
                </w:rPr>
                <w:t xml:space="preserve">[28]</w:t>
              </w:r>
            </w:hyperlink>
          </w:p>
        </w:tc>
        <w:tc>
          <w:tcPr/>
          <w:p>
            <w:pPr>
              <w:pStyle w:val="Compact"/>
            </w:pPr>
            <w:r>
              <w:t xml:space="preserve">Human-centered AI should communicate limitations and uncertainty appropriately</w:t>
            </w:r>
          </w:p>
        </w:tc>
        <w:tc>
          <w:tcPr/>
          <w:p>
            <w:pPr>
              <w:pStyle w:val="Compact"/>
            </w:pPr>
            <w:r>
              <w:t xml:space="preserve">Supports caveat design and usability scoring</w:t>
            </w:r>
          </w:p>
        </w:tc>
      </w:tr>
      <w:tr>
        <w:tc>
          <w:tcPr/>
          <w:p>
            <w:pPr>
              <w:pStyle w:val="Compact"/>
            </w:pPr>
            <w:r>
              <w:rPr>
                <w:i/>
                <w:iCs/>
              </w:rPr>
              <w:t xml:space="preserve">Best Practices for the Human Evaluation of Automatically Generated Text</w:t>
            </w:r>
          </w:p>
        </w:tc>
        <w:tc>
          <w:tcPr/>
          <w:p>
            <w:pPr>
              <w:pStyle w:val="Compact"/>
            </w:pPr>
            <w:r>
              <w:t xml:space="preserve">Chris van der Lee et al.</w:t>
            </w:r>
          </w:p>
        </w:tc>
        <w:tc>
          <w:tcPr/>
          <w:p>
            <w:pPr>
              <w:pStyle w:val="Compact"/>
              <w:jc w:val="right"/>
            </w:pPr>
            <w:r>
              <w:t xml:space="preserve">2019</w:t>
            </w:r>
          </w:p>
        </w:tc>
        <w:tc>
          <w:tcPr/>
          <w:p>
            <w:pPr>
              <w:pStyle w:val="Compact"/>
            </w:pPr>
            <w:hyperlink r:id="rId23">
              <w:r>
                <w:rPr>
                  <w:rStyle w:val="Hyperlink"/>
                </w:rPr>
                <w:t xml:space="preserve">[89]</w:t>
              </w:r>
            </w:hyperlink>
          </w:p>
        </w:tc>
        <w:tc>
          <w:tcPr/>
          <w:p>
            <w:pPr>
              <w:pStyle w:val="Compact"/>
            </w:pPr>
            <w:r>
              <w:t xml:space="preserve">Human evaluation needs agreement reporting, careful design, and order randomization/counterbalancing</w:t>
            </w:r>
          </w:p>
        </w:tc>
        <w:tc>
          <w:tcPr/>
          <w:p>
            <w:pPr>
              <w:pStyle w:val="Compact"/>
            </w:pPr>
            <w:r>
              <w:t xml:space="preserve">Supports blinded randomized review and agreement reporting</w:t>
            </w:r>
          </w:p>
        </w:tc>
      </w:tr>
      <w:tr>
        <w:tc>
          <w:tcPr/>
          <w:p>
            <w:pPr>
              <w:pStyle w:val="Compact"/>
            </w:pPr>
            <w:r>
              <w:rPr>
                <w:i/>
                <w:iCs/>
              </w:rPr>
              <w:t xml:space="preserve">ConSiDERS-The-Human Evaluation Framework</w:t>
            </w:r>
          </w:p>
        </w:tc>
        <w:tc>
          <w:tcPr/>
          <w:p>
            <w:pPr>
              <w:pStyle w:val="Compact"/>
            </w:pPr>
            <w:r>
              <w:t xml:space="preserve">Aparna Elangovan et al.</w:t>
            </w:r>
          </w:p>
        </w:tc>
        <w:tc>
          <w:tcPr/>
          <w:p>
            <w:pPr>
              <w:pStyle w:val="Compact"/>
              <w:jc w:val="right"/>
            </w:pPr>
            <w:r>
              <w:t xml:space="preserve">2024</w:t>
            </w:r>
          </w:p>
        </w:tc>
        <w:tc>
          <w:tcPr/>
          <w:p>
            <w:pPr>
              <w:pStyle w:val="Compact"/>
            </w:pPr>
            <w:hyperlink r:id="rId26">
              <w:r>
                <w:rPr>
                  <w:rStyle w:val="Hyperlink"/>
                </w:rPr>
                <w:t xml:space="preserve">[90]</w:t>
              </w:r>
            </w:hyperlink>
          </w:p>
        </w:tc>
        <w:tc>
          <w:tcPr/>
          <w:p>
            <w:pPr>
              <w:pStyle w:val="Compact"/>
            </w:pPr>
            <w:r>
              <w:t xml:space="preserve">Human evaluation reliability depends on task decomposition, bias control, proper agreement metrics, and avoiding Likert for truthfulness</w:t>
            </w:r>
          </w:p>
        </w:tc>
        <w:tc>
          <w:tcPr/>
          <w:p>
            <w:pPr>
              <w:pStyle w:val="Compact"/>
            </w:pPr>
            <w:r>
              <w:t xml:space="preserve">Supports checklist-based review sheet and calibration protocol</w:t>
            </w:r>
          </w:p>
        </w:tc>
      </w:tr>
      <w:tr>
        <w:tc>
          <w:tcPr/>
          <w:p>
            <w:pPr>
              <w:pStyle w:val="Compact"/>
            </w:pPr>
            <w:r>
              <w:rPr>
                <w:i/>
                <w:iCs/>
              </w:rPr>
              <w:t xml:space="preserve">Better than Average: Paired Evaluation of NLP Systems</w:t>
            </w:r>
          </w:p>
        </w:tc>
        <w:tc>
          <w:tcPr/>
          <w:p>
            <w:pPr>
              <w:pStyle w:val="Compact"/>
            </w:pPr>
            <w:r>
              <w:t xml:space="preserve">Maxime Peyrard et al.</w:t>
            </w:r>
          </w:p>
        </w:tc>
        <w:tc>
          <w:tcPr/>
          <w:p>
            <w:pPr>
              <w:pStyle w:val="Compact"/>
              <w:jc w:val="right"/>
            </w:pPr>
            <w:r>
              <w:t xml:space="preserve">2021</w:t>
            </w:r>
          </w:p>
        </w:tc>
        <w:tc>
          <w:tcPr/>
          <w:p>
            <w:pPr>
              <w:pStyle w:val="Compact"/>
            </w:pPr>
            <w:hyperlink r:id="rId30">
              <w:r>
                <w:rPr>
                  <w:rStyle w:val="Hyperlink"/>
                </w:rPr>
                <w:t xml:space="preserve">[91]</w:t>
              </w:r>
            </w:hyperlink>
          </w:p>
        </w:tc>
        <w:tc>
          <w:tcPr/>
          <w:p>
            <w:pPr>
              <w:pStyle w:val="Compact"/>
            </w:pPr>
            <w:r>
              <w:t xml:space="preserve">Preserving pairing matters in system comparison</w:t>
            </w:r>
          </w:p>
        </w:tc>
        <w:tc>
          <w:tcPr/>
          <w:p>
            <w:pPr>
              <w:pStyle w:val="Compact"/>
            </w:pPr>
            <w:r>
              <w:t xml:space="preserve">Supports paired-by-query analysis</w:t>
            </w:r>
          </w:p>
        </w:tc>
      </w:tr>
      <w:tr>
        <w:tc>
          <w:tcPr/>
          <w:p>
            <w:pPr>
              <w:pStyle w:val="Compact"/>
            </w:pPr>
            <w:r>
              <w:rPr>
                <w:i/>
                <w:iCs/>
              </w:rPr>
              <w:t xml:space="preserve">The Hitchhiker’s Guide to Testing Statistical Significance in NLP</w:t>
            </w:r>
          </w:p>
        </w:tc>
        <w:tc>
          <w:tcPr/>
          <w:p>
            <w:pPr>
              <w:pStyle w:val="Compact"/>
            </w:pPr>
            <w:r>
              <w:t xml:space="preserve">Rotem Dror et al.</w:t>
            </w:r>
          </w:p>
        </w:tc>
        <w:tc>
          <w:tcPr/>
          <w:p>
            <w:pPr>
              <w:pStyle w:val="Compact"/>
              <w:jc w:val="right"/>
            </w:pPr>
            <w:r>
              <w:t xml:space="preserve">2018</w:t>
            </w:r>
          </w:p>
        </w:tc>
        <w:tc>
          <w:tcPr/>
          <w:p>
            <w:pPr>
              <w:pStyle w:val="Compact"/>
            </w:pPr>
            <w:hyperlink r:id="rId27">
              <w:r>
                <w:rPr>
                  <w:rStyle w:val="Hyperlink"/>
                </w:rPr>
                <w:t xml:space="preserve">[55]</w:t>
              </w:r>
            </w:hyperlink>
          </w:p>
        </w:tc>
        <w:tc>
          <w:tcPr/>
          <w:p>
            <w:pPr>
              <w:pStyle w:val="Compact"/>
            </w:pPr>
            <w:r>
              <w:t xml:space="preserve">Significance-test choice must match data structure; paired tests matter; bootstrap has small-test limitations</w:t>
            </w:r>
          </w:p>
        </w:tc>
        <w:tc>
          <w:tcPr/>
          <w:p>
            <w:pPr>
              <w:pStyle w:val="Compact"/>
            </w:pPr>
            <w:r>
              <w:t xml:space="preserve">Supports small-</w:t>
            </w:r>
            <w:r>
              <w:rPr>
                <w:rStyle w:val="VerbatimChar"/>
              </w:rPr>
              <w:t xml:space="preserve">n</w:t>
            </w:r>
            <w:r>
              <w:t xml:space="preserve"> </w:t>
            </w:r>
            <w:r>
              <w:t xml:space="preserve">paired statistical plan</w:t>
            </w:r>
          </w:p>
        </w:tc>
      </w:tr>
      <w:tr>
        <w:tc>
          <w:tcPr/>
          <w:p>
            <w:pPr>
              <w:pStyle w:val="Compact"/>
            </w:pPr>
            <w:r>
              <w:rPr>
                <w:i/>
                <w:iCs/>
              </w:rPr>
              <w:t xml:space="preserve">NLPStatTest: A Toolkit for Comparing NLP System Performance</w:t>
            </w:r>
          </w:p>
        </w:tc>
        <w:tc>
          <w:tcPr/>
          <w:p>
            <w:pPr>
              <w:pStyle w:val="Compact"/>
            </w:pPr>
            <w:r>
              <w:t xml:space="preserve">Hao Zhu et al.</w:t>
            </w:r>
          </w:p>
        </w:tc>
        <w:tc>
          <w:tcPr/>
          <w:p>
            <w:pPr>
              <w:pStyle w:val="Compact"/>
              <w:jc w:val="right"/>
            </w:pPr>
            <w:r>
              <w:t xml:space="preserve">2020</w:t>
            </w:r>
          </w:p>
        </w:tc>
        <w:tc>
          <w:tcPr/>
          <w:p>
            <w:pPr>
              <w:pStyle w:val="Compact"/>
            </w:pPr>
            <w:hyperlink r:id="rId48">
              <w:r>
                <w:rPr>
                  <w:rStyle w:val="Hyperlink"/>
                </w:rPr>
                <w:t xml:space="preserve">[92]</w:t>
              </w:r>
            </w:hyperlink>
          </w:p>
        </w:tc>
        <w:tc>
          <w:tcPr/>
          <w:p>
            <w:pPr>
              <w:pStyle w:val="Compact"/>
            </w:pPr>
            <w:r>
              <w:t xml:space="preserve">Effect sizes and power analysis matter alongside p-values</w:t>
            </w:r>
          </w:p>
        </w:tc>
        <w:tc>
          <w:tcPr/>
          <w:p>
            <w:pPr>
              <w:pStyle w:val="Compact"/>
            </w:pPr>
            <w:r>
              <w:t xml:space="preserve">Supports exploratory effect-size-focused reporting</w:t>
            </w:r>
          </w:p>
        </w:tc>
      </w:tr>
      <w:tr>
        <w:tc>
          <w:tcPr/>
          <w:p>
            <w:pPr>
              <w:pStyle w:val="Compact"/>
            </w:pPr>
            <w:r>
              <w:rPr>
                <w:i/>
                <w:iCs/>
              </w:rPr>
              <w:t xml:space="preserve">A Guideline of Selecting and Reporting Intraclass Correlation Coefficients for Reliability Research</w:t>
            </w:r>
          </w:p>
        </w:tc>
        <w:tc>
          <w:tcPr/>
          <w:p>
            <w:pPr>
              <w:pStyle w:val="Compact"/>
            </w:pPr>
            <w:r>
              <w:t xml:space="preserve">Terry K. Koo, Mae Y. Li</w:t>
            </w:r>
          </w:p>
        </w:tc>
        <w:tc>
          <w:tcPr/>
          <w:p>
            <w:pPr>
              <w:pStyle w:val="Compact"/>
              <w:jc w:val="right"/>
            </w:pPr>
            <w:r>
              <w:t xml:space="preserve">2016</w:t>
            </w:r>
          </w:p>
        </w:tc>
        <w:tc>
          <w:tcPr/>
          <w:p>
            <w:pPr>
              <w:pStyle w:val="Compact"/>
            </w:pPr>
            <w:hyperlink r:id="rId40">
              <w:r>
                <w:rPr>
                  <w:rStyle w:val="Hyperlink"/>
                </w:rPr>
                <w:t xml:space="preserve">[39]</w:t>
              </w:r>
            </w:hyperlink>
          </w:p>
        </w:tc>
        <w:tc>
          <w:tcPr/>
          <w:p>
            <w:pPr>
              <w:pStyle w:val="Compact"/>
            </w:pPr>
            <w:r>
              <w:t xml:space="preserve">ICC form must be specified; reliability categories and reporting practice matter</w:t>
            </w:r>
          </w:p>
        </w:tc>
        <w:tc>
          <w:tcPr/>
          <w:p>
            <w:pPr>
              <w:pStyle w:val="Compact"/>
            </w:pPr>
            <w:r>
              <w:t xml:space="preserve">Supports reporting plan for ordinal/perceptual score agreement</w:t>
            </w:r>
          </w:p>
        </w:tc>
      </w:tr>
      <w:tr>
        <w:tc>
          <w:tcPr/>
          <w:p>
            <w:pPr>
              <w:pStyle w:val="Compact"/>
            </w:pPr>
            <w:r>
              <w:rPr>
                <w:i/>
                <w:iCs/>
              </w:rPr>
              <w:t xml:space="preserve">The kappa statistic in reliability studies</w:t>
            </w:r>
          </w:p>
        </w:tc>
        <w:tc>
          <w:tcPr/>
          <w:p>
            <w:pPr>
              <w:pStyle w:val="Compact"/>
            </w:pPr>
            <w:r>
              <w:t xml:space="preserve">Jeremy Sim, Chris Wright</w:t>
            </w:r>
          </w:p>
        </w:tc>
        <w:tc>
          <w:tcPr/>
          <w:p>
            <w:pPr>
              <w:pStyle w:val="Compact"/>
              <w:jc w:val="right"/>
            </w:pPr>
            <w:r>
              <w:t xml:space="preserve">2005</w:t>
            </w:r>
          </w:p>
        </w:tc>
        <w:tc>
          <w:tcPr/>
          <w:p>
            <w:pPr>
              <w:pStyle w:val="Compact"/>
            </w:pPr>
            <w:hyperlink r:id="rId59">
              <w:r>
                <w:rPr>
                  <w:rStyle w:val="Hyperlink"/>
                </w:rPr>
                <w:t xml:space="preserve">[93]</w:t>
              </w:r>
            </w:hyperlink>
          </w:p>
        </w:tc>
        <w:tc>
          <w:tcPr/>
          <w:p>
            <w:pPr>
              <w:pStyle w:val="Compact"/>
            </w:pPr>
            <w:r>
              <w:t xml:space="preserve">Use and interpretation of kappa in reliability studies</w:t>
            </w:r>
          </w:p>
        </w:tc>
        <w:tc>
          <w:tcPr/>
          <w:p>
            <w:pPr>
              <w:pStyle w:val="Compact"/>
            </w:pPr>
            <w:r>
              <w:t xml:space="preserve">Supports categorical agreement reporting</w:t>
            </w:r>
          </w:p>
        </w:tc>
      </w:tr>
      <w:tr>
        <w:tc>
          <w:tcPr/>
          <w:p>
            <w:pPr>
              <w:pStyle w:val="Compact"/>
            </w:pPr>
            <w:r>
              <w:rPr>
                <w:i/>
                <w:iCs/>
              </w:rPr>
              <w:t xml:space="preserve">Interrater reliability: the kappa statistic</w:t>
            </w:r>
          </w:p>
        </w:tc>
        <w:tc>
          <w:tcPr/>
          <w:p>
            <w:pPr>
              <w:pStyle w:val="Compact"/>
            </w:pPr>
            <w:r>
              <w:t xml:space="preserve">Mary L. McHugh</w:t>
            </w:r>
          </w:p>
        </w:tc>
        <w:tc>
          <w:tcPr/>
          <w:p>
            <w:pPr>
              <w:pStyle w:val="Compact"/>
              <w:jc w:val="right"/>
            </w:pPr>
            <w:r>
              <w:t xml:space="preserve">2012</w:t>
            </w:r>
          </w:p>
        </w:tc>
        <w:tc>
          <w:tcPr/>
          <w:p>
            <w:pPr>
              <w:pStyle w:val="Compact"/>
            </w:pPr>
            <w:hyperlink r:id="rId38">
              <w:r>
                <w:rPr>
                  <w:rStyle w:val="Hyperlink"/>
                </w:rPr>
                <w:t xml:space="preserve">[94]</w:t>
              </w:r>
            </w:hyperlink>
          </w:p>
        </w:tc>
        <w:tc>
          <w:tcPr/>
          <w:p>
            <w:pPr>
              <w:pStyle w:val="Compact"/>
            </w:pPr>
            <w:r>
              <w:t xml:space="preserve">Kappa is a standard interrater reliability measure</w:t>
            </w:r>
          </w:p>
        </w:tc>
        <w:tc>
          <w:tcPr/>
          <w:p>
            <w:pPr>
              <w:pStyle w:val="Compact"/>
            </w:pPr>
            <w:r>
              <w:t xml:space="preserve">Supports reviewer agreement plan</w:t>
            </w:r>
          </w:p>
        </w:tc>
      </w:tr>
      <w:tr>
        <w:tc>
          <w:tcPr/>
          <w:p>
            <w:pPr>
              <w:pStyle w:val="Compact"/>
            </w:pPr>
            <w:r>
              <w:rPr>
                <w:i/>
                <w:iCs/>
              </w:rPr>
              <w:t xml:space="preserve">Weighted kappa: nominal scale agreement with provision for scaled disagreement or partial credit</w:t>
            </w:r>
          </w:p>
        </w:tc>
        <w:tc>
          <w:tcPr/>
          <w:p>
            <w:pPr>
              <w:pStyle w:val="Compact"/>
            </w:pPr>
            <w:r>
              <w:t xml:space="preserve">Jacob Cohen</w:t>
            </w:r>
          </w:p>
        </w:tc>
        <w:tc>
          <w:tcPr/>
          <w:p>
            <w:pPr>
              <w:pStyle w:val="Compact"/>
              <w:jc w:val="right"/>
            </w:pPr>
            <w:r>
              <w:t xml:space="preserve">1968</w:t>
            </w:r>
          </w:p>
        </w:tc>
        <w:tc>
          <w:tcPr/>
          <w:p>
            <w:pPr>
              <w:pStyle w:val="Compact"/>
            </w:pPr>
            <w:hyperlink r:id="rId39">
              <w:r>
                <w:rPr>
                  <w:rStyle w:val="Hyperlink"/>
                </w:rPr>
                <w:t xml:space="preserve">[95]</w:t>
              </w:r>
            </w:hyperlink>
          </w:p>
        </w:tc>
        <w:tc>
          <w:tcPr/>
          <w:p>
            <w:pPr>
              <w:pStyle w:val="Compact"/>
            </w:pPr>
            <w:r>
              <w:t xml:space="preserve">Weighted kappa fits ordinal disagreement better than simple kappa</w:t>
            </w:r>
          </w:p>
        </w:tc>
        <w:tc>
          <w:tcPr/>
          <w:p>
            <w:pPr>
              <w:pStyle w:val="Compact"/>
            </w:pPr>
            <w:r>
              <w:t xml:space="preserve">Supports ordinal agreement for severity/helpfulness</w:t>
            </w:r>
          </w:p>
        </w:tc>
      </w:tr>
      <w:tr>
        <w:tc>
          <w:tcPr/>
          <w:p>
            <w:pPr>
              <w:pStyle w:val="Compact"/>
            </w:pPr>
            <w:r>
              <w:rPr>
                <w:i/>
                <w:iCs/>
              </w:rPr>
              <w:t xml:space="preserve">Increasing Reproducibility in IR: Findings from the Dagstuhl Seminar</w:t>
            </w:r>
          </w:p>
        </w:tc>
        <w:tc>
          <w:tcPr/>
          <w:p>
            <w:pPr>
              <w:pStyle w:val="Compact"/>
            </w:pPr>
            <w:r>
              <w:t xml:space="preserve">Nicola Ferro et al.</w:t>
            </w:r>
          </w:p>
        </w:tc>
        <w:tc>
          <w:tcPr/>
          <w:p>
            <w:pPr>
              <w:pStyle w:val="Compact"/>
              <w:jc w:val="right"/>
            </w:pPr>
            <w:r>
              <w:t xml:space="preserve">2016</w:t>
            </w:r>
          </w:p>
        </w:tc>
        <w:tc>
          <w:tcPr/>
          <w:p>
            <w:pPr>
              <w:pStyle w:val="Compact"/>
            </w:pPr>
            <w:hyperlink r:id="rId31">
              <w:r>
                <w:rPr>
                  <w:rStyle w:val="Hyperlink"/>
                </w:rPr>
                <w:t xml:space="preserve">[65]</w:t>
              </w:r>
            </w:hyperlink>
          </w:p>
        </w:tc>
        <w:tc>
          <w:tcPr/>
          <w:p>
            <w:pPr>
              <w:pStyle w:val="Compact"/>
            </w:pPr>
            <w:r>
              <w:t xml:space="preserve">PRIMAD framework for reproducibility components</w:t>
            </w:r>
          </w:p>
        </w:tc>
        <w:tc>
          <w:tcPr/>
          <w:p>
            <w:pPr>
              <w:pStyle w:val="Compact"/>
            </w:pPr>
            <w:r>
              <w:t xml:space="preserve">Supports metadata and artifact capture plan</w:t>
            </w:r>
          </w:p>
        </w:tc>
      </w:tr>
      <w:tr>
        <w:tc>
          <w:tcPr/>
          <w:p>
            <w:pPr>
              <w:pStyle w:val="Compact"/>
            </w:pPr>
            <w:r>
              <w:rPr>
                <w:i/>
                <w:iCs/>
              </w:rPr>
              <w:t xml:space="preserve">Artifact Review and Badging Version 1.1</w:t>
            </w:r>
          </w:p>
        </w:tc>
        <w:tc>
          <w:tcPr/>
          <w:p>
            <w:pPr>
              <w:pStyle w:val="Compact"/>
            </w:pPr>
            <w:r>
              <w:t xml:space="preserve">ACM</w:t>
            </w:r>
          </w:p>
        </w:tc>
        <w:tc>
          <w:tcPr/>
          <w:p>
            <w:pPr>
              <w:pStyle w:val="Compact"/>
              <w:jc w:val="right"/>
            </w:pPr>
            <w:r>
              <w:t xml:space="preserve">2020</w:t>
            </w:r>
          </w:p>
        </w:tc>
        <w:tc>
          <w:tcPr/>
          <w:p>
            <w:pPr>
              <w:pStyle w:val="Compact"/>
            </w:pPr>
            <w:hyperlink r:id="rId32">
              <w:r>
                <w:rPr>
                  <w:rStyle w:val="Hyperlink"/>
                </w:rPr>
                <w:t xml:space="preserve">[96]</w:t>
              </w:r>
            </w:hyperlink>
          </w:p>
        </w:tc>
        <w:tc>
          <w:tcPr/>
          <w:p>
            <w:pPr>
              <w:pStyle w:val="Compact"/>
            </w:pPr>
            <w:r>
              <w:t xml:space="preserve">Experimental results are not fully established unless independently reproducible</w:t>
            </w:r>
          </w:p>
        </w:tc>
        <w:tc>
          <w:tcPr/>
          <w:p>
            <w:pPr>
              <w:pStyle w:val="Compact"/>
            </w:pPr>
            <w:r>
              <w:t xml:space="preserve">Supports frozen artifacts and auditability</w:t>
            </w:r>
          </w:p>
        </w:tc>
      </w:tr>
    </w:tbl>
    <w:p>
      <w:pPr>
        <w:pStyle w:val="BodyText"/>
      </w:pPr>
      <w:r>
        <w:rPr>
          <w:b/>
          <w:bCs/>
        </w:rPr>
        <w:t xml:space="preserve">Required verdict.</w:t>
      </w:r>
    </w:p>
    <w:p>
      <w:pPr>
        <w:pStyle w:val="BodyText"/>
      </w:pPr>
      <w:r>
        <w:t xml:space="preserve">Methodology readiness:</w:t>
      </w:r>
      <w:r>
        <w:t xml:space="preserve"> </w:t>
      </w:r>
      <w:r>
        <w:rPr>
          <w:b/>
          <w:bCs/>
        </w:rPr>
        <w:t xml:space="preserve">Needs major revision</w:t>
      </w:r>
      <w:r>
        <w:br/>
      </w:r>
      <w:r>
        <w:t xml:space="preserve">Biggest internal-validity risk:</w:t>
      </w:r>
      <w:r>
        <w:t xml:space="preserve"> </w:t>
      </w:r>
      <w:r>
        <w:rPr>
          <w:b/>
          <w:bCs/>
        </w:rPr>
        <w:t xml:space="preserve">Leakage and confounding between routing/expected-behavior labels, output formatting, and condition-specific packet handling</w:t>
      </w:r>
      <w:r>
        <w:br/>
      </w:r>
      <w:r>
        <w:t xml:space="preserve">Biggest external-validity risk:</w:t>
      </w:r>
      <w:r>
        <w:t xml:space="preserve"> </w:t>
      </w:r>
      <w:r>
        <w:rPr>
          <w:b/>
          <w:bCs/>
        </w:rPr>
        <w:t xml:space="preserve">A 50-query, one-model, one-browser, one-hardware fixture cannot generalize to browser-local RAG broadly</w:t>
      </w:r>
      <w:r>
        <w:br/>
      </w:r>
      <w:r>
        <w:t xml:space="preserve">Biggest latency-measurement risk:</w:t>
      </w:r>
      <w:r>
        <w:t xml:space="preserve"> </w:t>
      </w:r>
      <w:r>
        <w:rPr>
          <w:b/>
          <w:bCs/>
        </w:rPr>
        <w:t xml:space="preserve">Warmup, browser lifecycle anomalies, and WebGPU/platform variance being collapsed into a single latency number</w:t>
      </w:r>
      <w:r>
        <w:br/>
      </w:r>
      <w:r>
        <w:t xml:space="preserve">Biggest human-review risk:</w:t>
      </w:r>
      <w:r>
        <w:t xml:space="preserve"> </w:t>
      </w:r>
      <w:r>
        <w:rPr>
          <w:b/>
          <w:bCs/>
        </w:rPr>
        <w:t xml:space="preserve">A review sheet that uses broad holistic judgments instead of decomposed objective checks for factual dimensions</w:t>
      </w:r>
      <w:r>
        <w:br/>
      </w:r>
      <w:r>
        <w:t xml:space="preserve">Most important change before running:</w:t>
      </w:r>
      <w:r>
        <w:t xml:space="preserve"> </w:t>
      </w:r>
      <w:r>
        <w:rPr>
          <w:b/>
          <w:bCs/>
        </w:rPr>
        <w:t xml:space="preserve">Freeze identical evidence packets across conditions and split the canonical fixture into runtime-view and evaluator-view files</w:t>
      </w:r>
      <w:r>
        <w:br/>
      </w:r>
      <w:r>
        <w:t xml:space="preserve">Claim that is currently supportable:</w:t>
      </w:r>
      <w:r>
        <w:t xml:space="preserve"> </w:t>
      </w:r>
      <w:r>
        <w:rPr>
          <w:b/>
          <w:bCs/>
        </w:rPr>
        <w:t xml:space="preserve">In this controlled fixture, deterministic source/rights lanes can be tested for reduced field mutation and improved evidence-to-output fidelity relative to all-generation</w:t>
      </w:r>
      <w:r>
        <w:br/>
      </w:r>
      <w:r>
        <w:t xml:space="preserve">Claim that is not yet supportable:</w:t>
      </w:r>
      <w:r>
        <w:t xml:space="preserve"> </w:t>
      </w:r>
      <w:r>
        <w:rPr>
          <w:b/>
          <w:bCs/>
        </w:rPr>
        <w:t xml:space="preserve">Deterministic answers are semantically correct, legally authoritative, or universally better across browser-local RAG systems</w:t>
      </w:r>
    </w:p>
    <w:bookmarkEnd w:id="60"/>
    <w:bookmarkEnd w:id="61"/>
    <w:bookmarkEnd w:id="62"/>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21">
        <w:r>
          <w:rPr>
            <w:rStyle w:val="Hyperlink"/>
          </w:rPr>
          <w:t xml:space="preserve">[73]</w:t>
        </w:r>
      </w:hyperlink>
      <w:r>
        <w:t xml:space="preserve"> </w:t>
      </w:r>
      <w:r>
        <w:t xml:space="preserve">https://arxiv.org/abs/2005.11401</w:t>
      </w:r>
    </w:p>
    <w:p>
      <w:pPr>
        <w:pStyle w:val="BodyText"/>
      </w:pPr>
      <w:hyperlink r:id="rId21">
        <w:r>
          <w:rPr>
            <w:rStyle w:val="Hyperlink"/>
          </w:rPr>
          <w:t xml:space="preserve">https://arxiv.org/abs/2005.11401</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[12]</w:t>
        </w:r>
      </w:hyperlink>
      <w:r>
        <w:t xml:space="preserve"> </w:t>
      </w:r>
      <w:hyperlink r:id="rId22">
        <w:r>
          <w:rPr>
            <w:rStyle w:val="Hyperlink"/>
          </w:rPr>
          <w:t xml:space="preserve">[21]</w:t>
        </w:r>
      </w:hyperlink>
      <w:r>
        <w:t xml:space="preserve"> </w:t>
      </w:r>
      <w:hyperlink r:id="rId22">
        <w:r>
          <w:rPr>
            <w:rStyle w:val="Hyperlink"/>
          </w:rPr>
          <w:t xml:space="preserve">[27]</w:t>
        </w:r>
      </w:hyperlink>
      <w:r>
        <w:t xml:space="preserve"> </w:t>
      </w:r>
      <w:hyperlink r:id="rId22">
        <w:r>
          <w:rPr>
            <w:rStyle w:val="Hyperlink"/>
          </w:rPr>
          <w:t xml:space="preserve">[29]</w:t>
        </w:r>
      </w:hyperlink>
      <w:r>
        <w:t xml:space="preserve"> </w:t>
      </w:r>
      <w:hyperlink r:id="rId22">
        <w:r>
          <w:rPr>
            <w:rStyle w:val="Hyperlink"/>
          </w:rPr>
          <w:t xml:space="preserve">[77]</w:t>
        </w:r>
      </w:hyperlink>
      <w:r>
        <w:t xml:space="preserve"> </w:t>
      </w:r>
      <w:r>
        <w:t xml:space="preserve">https://arxiv.org/abs/2411.06037</w:t>
      </w:r>
    </w:p>
    <w:p>
      <w:pPr>
        <w:pStyle w:val="BodyText"/>
      </w:pPr>
      <w:hyperlink r:id="rId22">
        <w:r>
          <w:rPr>
            <w:rStyle w:val="Hyperlink"/>
          </w:rPr>
          <w:t xml:space="preserve">https://arxiv.org/abs/2411.06037</w:t>
        </w:r>
      </w:hyperlink>
    </w:p>
    <w:p>
      <w:pPr>
        <w:pStyle w:val="BodyText"/>
      </w:pPr>
      <w:hyperlink r:id="rId23">
        <w:r>
          <w:rPr>
            <w:rStyle w:val="Hyperlink"/>
          </w:rPr>
          <w:t xml:space="preserve">[3]</w:t>
        </w:r>
      </w:hyperlink>
      <w:r>
        <w:t xml:space="preserve"> </w:t>
      </w:r>
      <w:hyperlink r:id="rId23">
        <w:r>
          <w:rPr>
            <w:rStyle w:val="Hyperlink"/>
          </w:rPr>
          <w:t xml:space="preserve">[13]</w:t>
        </w:r>
      </w:hyperlink>
      <w:r>
        <w:t xml:space="preserve"> </w:t>
      </w:r>
      <w:hyperlink r:id="rId23">
        <w:r>
          <w:rPr>
            <w:rStyle w:val="Hyperlink"/>
          </w:rPr>
          <w:t xml:space="preserve">[34]</w:t>
        </w:r>
      </w:hyperlink>
      <w:r>
        <w:t xml:space="preserve"> </w:t>
      </w:r>
      <w:hyperlink r:id="rId23">
        <w:r>
          <w:rPr>
            <w:rStyle w:val="Hyperlink"/>
          </w:rPr>
          <w:t xml:space="preserve">[35]</w:t>
        </w:r>
      </w:hyperlink>
      <w:r>
        <w:t xml:space="preserve"> </w:t>
      </w:r>
      <w:hyperlink r:id="rId23">
        <w:r>
          <w:rPr>
            <w:rStyle w:val="Hyperlink"/>
          </w:rPr>
          <w:t xml:space="preserve">[66]</w:t>
        </w:r>
      </w:hyperlink>
      <w:r>
        <w:t xml:space="preserve"> </w:t>
      </w:r>
      <w:hyperlink r:id="rId23">
        <w:r>
          <w:rPr>
            <w:rStyle w:val="Hyperlink"/>
          </w:rPr>
          <w:t xml:space="preserve">[89]</w:t>
        </w:r>
      </w:hyperlink>
      <w:r>
        <w:t xml:space="preserve"> </w:t>
      </w:r>
      <w:r>
        <w:t xml:space="preserve">https://aclanthology.org/W19-8643.pdf</w:t>
      </w:r>
    </w:p>
    <w:p>
      <w:pPr>
        <w:pStyle w:val="BodyText"/>
      </w:pPr>
      <w:hyperlink r:id="rId23">
        <w:r>
          <w:rPr>
            <w:rStyle w:val="Hyperlink"/>
          </w:rPr>
          <w:t xml:space="preserve">https://aclanthology.org/W19-8643.pdf</w:t>
        </w:r>
      </w:hyperlink>
    </w:p>
    <w:p>
      <w:pPr>
        <w:pStyle w:val="BodyText"/>
      </w:pPr>
      <w:hyperlink r:id="rId24">
        <w:r>
          <w:rPr>
            <w:rStyle w:val="Hyperlink"/>
          </w:rPr>
          <w:t xml:space="preserve">[4]</w:t>
        </w:r>
      </w:hyperlink>
      <w:r>
        <w:t xml:space="preserve"> </w:t>
      </w:r>
      <w:hyperlink r:id="rId24">
        <w:r>
          <w:rPr>
            <w:rStyle w:val="Hyperlink"/>
          </w:rPr>
          <w:t xml:space="preserve">[5]</w:t>
        </w:r>
      </w:hyperlink>
      <w:r>
        <w:t xml:space="preserve"> </w:t>
      </w:r>
      <w:hyperlink r:id="rId24">
        <w:r>
          <w:rPr>
            <w:rStyle w:val="Hyperlink"/>
          </w:rPr>
          <w:t xml:space="preserve">[7]</w:t>
        </w:r>
      </w:hyperlink>
      <w:r>
        <w:t xml:space="preserve"> </w:t>
      </w:r>
      <w:hyperlink r:id="rId24">
        <w:r>
          <w:rPr>
            <w:rStyle w:val="Hyperlink"/>
          </w:rPr>
          <w:t xml:space="preserve">[15]</w:t>
        </w:r>
      </w:hyperlink>
      <w:r>
        <w:t xml:space="preserve"> </w:t>
      </w:r>
      <w:hyperlink r:id="rId24">
        <w:r>
          <w:rPr>
            <w:rStyle w:val="Hyperlink"/>
          </w:rPr>
          <w:t xml:space="preserve">[20]</w:t>
        </w:r>
      </w:hyperlink>
      <w:r>
        <w:t xml:space="preserve"> </w:t>
      </w:r>
      <w:hyperlink r:id="rId24">
        <w:r>
          <w:rPr>
            <w:rStyle w:val="Hyperlink"/>
          </w:rPr>
          <w:t xml:space="preserve">[22]</w:t>
        </w:r>
      </w:hyperlink>
      <w:r>
        <w:t xml:space="preserve"> </w:t>
      </w:r>
      <w:hyperlink r:id="rId24">
        <w:r>
          <w:rPr>
            <w:rStyle w:val="Hyperlink"/>
          </w:rPr>
          <w:t xml:space="preserve">[74]</w:t>
        </w:r>
      </w:hyperlink>
      <w:r>
        <w:t xml:space="preserve"> </w:t>
      </w:r>
      <w:r>
        <w:t xml:space="preserve">https://arxiv.org/abs/2212.08037</w:t>
      </w:r>
    </w:p>
    <w:p>
      <w:pPr>
        <w:pStyle w:val="BodyText"/>
      </w:pPr>
      <w:hyperlink r:id="rId24">
        <w:r>
          <w:rPr>
            <w:rStyle w:val="Hyperlink"/>
          </w:rPr>
          <w:t xml:space="preserve">https://arxiv.org/abs/2212.08037</w:t>
        </w:r>
      </w:hyperlink>
    </w:p>
    <w:p>
      <w:pPr>
        <w:pStyle w:val="BodyText"/>
      </w:pPr>
      <w:hyperlink r:id="rId25">
        <w:r>
          <w:rPr>
            <w:rStyle w:val="Hyperlink"/>
          </w:rPr>
          <w:t xml:space="preserve">[8]</w:t>
        </w:r>
      </w:hyperlink>
      <w:r>
        <w:t xml:space="preserve"> </w:t>
      </w:r>
      <w:hyperlink r:id="rId25">
        <w:r>
          <w:rPr>
            <w:rStyle w:val="Hyperlink"/>
          </w:rPr>
          <w:t xml:space="preserve">[45]</w:t>
        </w:r>
      </w:hyperlink>
      <w:r>
        <w:t xml:space="preserve"> </w:t>
      </w:r>
      <w:hyperlink r:id="rId25">
        <w:r>
          <w:rPr>
            <w:rStyle w:val="Hyperlink"/>
          </w:rPr>
          <w:t xml:space="preserve">[50]</w:t>
        </w:r>
      </w:hyperlink>
      <w:r>
        <w:t xml:space="preserve"> </w:t>
      </w:r>
      <w:hyperlink r:id="rId25">
        <w:r>
          <w:rPr>
            <w:rStyle w:val="Hyperlink"/>
          </w:rPr>
          <w:t xml:space="preserve">[62]</w:t>
        </w:r>
      </w:hyperlink>
      <w:r>
        <w:t xml:space="preserve"> </w:t>
      </w:r>
      <w:hyperlink r:id="rId25">
        <w:r>
          <w:rPr>
            <w:rStyle w:val="Hyperlink"/>
          </w:rPr>
          <w:t xml:space="preserve">[68]</w:t>
        </w:r>
      </w:hyperlink>
      <w:r>
        <w:t xml:space="preserve"> </w:t>
      </w:r>
      <w:hyperlink r:id="rId25">
        <w:r>
          <w:rPr>
            <w:rStyle w:val="Hyperlink"/>
          </w:rPr>
          <w:t xml:space="preserve">[69]</w:t>
        </w:r>
      </w:hyperlink>
      <w:r>
        <w:t xml:space="preserve"> </w:t>
      </w:r>
      <w:hyperlink r:id="rId25">
        <w:r>
          <w:rPr>
            <w:rStyle w:val="Hyperlink"/>
          </w:rPr>
          <w:t xml:space="preserve">[81]</w:t>
        </w:r>
      </w:hyperlink>
      <w:r>
        <w:t xml:space="preserve"> </w:t>
      </w:r>
      <w:r>
        <w:t xml:space="preserve">https://arxiv.org/abs/2412.15803</w:t>
      </w:r>
    </w:p>
    <w:p>
      <w:pPr>
        <w:pStyle w:val="BodyText"/>
      </w:pPr>
      <w:hyperlink r:id="rId25">
        <w:r>
          <w:rPr>
            <w:rStyle w:val="Hyperlink"/>
          </w:rPr>
          <w:t xml:space="preserve">https://arxiv.org/abs/2412.15803</w:t>
        </w:r>
      </w:hyperlink>
    </w:p>
    <w:p>
      <w:pPr>
        <w:pStyle w:val="BodyText"/>
      </w:pPr>
      <w:hyperlink r:id="rId26">
        <w:r>
          <w:rPr>
            <w:rStyle w:val="Hyperlink"/>
          </w:rPr>
          <w:t xml:space="preserve">[9]</w:t>
        </w:r>
      </w:hyperlink>
      <w:r>
        <w:t xml:space="preserve"> </w:t>
      </w:r>
      <w:hyperlink r:id="rId26">
        <w:r>
          <w:rPr>
            <w:rStyle w:val="Hyperlink"/>
          </w:rPr>
          <w:t xml:space="preserve">[16]</w:t>
        </w:r>
      </w:hyperlink>
      <w:r>
        <w:t xml:space="preserve"> </w:t>
      </w:r>
      <w:hyperlink r:id="rId26">
        <w:r>
          <w:rPr>
            <w:rStyle w:val="Hyperlink"/>
          </w:rPr>
          <w:t xml:space="preserve">[19]</w:t>
        </w:r>
      </w:hyperlink>
      <w:r>
        <w:t xml:space="preserve"> </w:t>
      </w:r>
      <w:hyperlink r:id="rId26">
        <w:r>
          <w:rPr>
            <w:rStyle w:val="Hyperlink"/>
          </w:rPr>
          <w:t xml:space="preserve">[23]</w:t>
        </w:r>
      </w:hyperlink>
      <w:r>
        <w:t xml:space="preserve"> </w:t>
      </w:r>
      <w:hyperlink r:id="rId26">
        <w:r>
          <w:rPr>
            <w:rStyle w:val="Hyperlink"/>
          </w:rPr>
          <w:t xml:space="preserve">[31]</w:t>
        </w:r>
      </w:hyperlink>
      <w:r>
        <w:t xml:space="preserve"> </w:t>
      </w:r>
      <w:hyperlink r:id="rId26">
        <w:r>
          <w:rPr>
            <w:rStyle w:val="Hyperlink"/>
          </w:rPr>
          <w:t xml:space="preserve">[37]</w:t>
        </w:r>
      </w:hyperlink>
      <w:r>
        <w:t xml:space="preserve"> </w:t>
      </w:r>
      <w:hyperlink r:id="rId26">
        <w:r>
          <w:rPr>
            <w:rStyle w:val="Hyperlink"/>
          </w:rPr>
          <w:t xml:space="preserve">[58]</w:t>
        </w:r>
      </w:hyperlink>
      <w:r>
        <w:t xml:space="preserve"> </w:t>
      </w:r>
      <w:hyperlink r:id="rId26">
        <w:r>
          <w:rPr>
            <w:rStyle w:val="Hyperlink"/>
          </w:rPr>
          <w:t xml:space="preserve">[90]</w:t>
        </w:r>
      </w:hyperlink>
      <w:r>
        <w:t xml:space="preserve"> </w:t>
      </w:r>
      <w:r>
        <w:t xml:space="preserve">https://aclanthology.org/2024.acl-long.63.pdf</w:t>
      </w:r>
    </w:p>
    <w:p>
      <w:pPr>
        <w:pStyle w:val="BodyText"/>
      </w:pPr>
      <w:hyperlink r:id="rId26">
        <w:r>
          <w:rPr>
            <w:rStyle w:val="Hyperlink"/>
          </w:rPr>
          <w:t xml:space="preserve">https://aclanthology.org/2024.acl-long.63.pdf</w:t>
        </w:r>
      </w:hyperlink>
    </w:p>
    <w:p>
      <w:pPr>
        <w:pStyle w:val="BodyText"/>
      </w:pPr>
      <w:hyperlink r:id="rId27">
        <w:r>
          <w:rPr>
            <w:rStyle w:val="Hyperlink"/>
          </w:rPr>
          <w:t xml:space="preserve">[10]</w:t>
        </w:r>
      </w:hyperlink>
      <w:r>
        <w:t xml:space="preserve"> </w:t>
      </w:r>
      <w:hyperlink r:id="rId27">
        <w:r>
          <w:rPr>
            <w:rStyle w:val="Hyperlink"/>
          </w:rPr>
          <w:t xml:space="preserve">[53]</w:t>
        </w:r>
      </w:hyperlink>
      <w:r>
        <w:t xml:space="preserve"> </w:t>
      </w:r>
      <w:hyperlink r:id="rId27">
        <w:r>
          <w:rPr>
            <w:rStyle w:val="Hyperlink"/>
          </w:rPr>
          <w:t xml:space="preserve">[55]</w:t>
        </w:r>
      </w:hyperlink>
      <w:r>
        <w:t xml:space="preserve"> </w:t>
      </w:r>
      <w:hyperlink r:id="rId27">
        <w:r>
          <w:rPr>
            <w:rStyle w:val="Hyperlink"/>
          </w:rPr>
          <w:t xml:space="preserve">[57]</w:t>
        </w:r>
      </w:hyperlink>
      <w:r>
        <w:t xml:space="preserve"> </w:t>
      </w:r>
      <w:hyperlink r:id="rId27">
        <w:r>
          <w:rPr>
            <w:rStyle w:val="Hyperlink"/>
          </w:rPr>
          <w:t xml:space="preserve">[67]</w:t>
        </w:r>
      </w:hyperlink>
      <w:r>
        <w:t xml:space="preserve"> </w:t>
      </w:r>
      <w:r>
        <w:t xml:space="preserve">https://aclanthology.org/P18-1128.pdf</w:t>
      </w:r>
    </w:p>
    <w:p>
      <w:pPr>
        <w:pStyle w:val="BodyText"/>
      </w:pPr>
      <w:hyperlink r:id="rId27">
        <w:r>
          <w:rPr>
            <w:rStyle w:val="Hyperlink"/>
          </w:rPr>
          <w:t xml:space="preserve">https://aclanthology.org/P18-1128.pdf</w:t>
        </w:r>
      </w:hyperlink>
    </w:p>
    <w:p>
      <w:pPr>
        <w:pStyle w:val="BodyText"/>
      </w:pPr>
      <w:hyperlink r:id="rId29">
        <w:r>
          <w:rPr>
            <w:rStyle w:val="Hyperlink"/>
          </w:rPr>
          <w:t xml:space="preserve">[11]</w:t>
        </w:r>
      </w:hyperlink>
      <w:r>
        <w:t xml:space="preserve"> </w:t>
      </w:r>
      <w:hyperlink r:id="rId29">
        <w:r>
          <w:rPr>
            <w:rStyle w:val="Hyperlink"/>
          </w:rPr>
          <w:t xml:space="preserve">[24]</w:t>
        </w:r>
      </w:hyperlink>
      <w:r>
        <w:t xml:space="preserve"> </w:t>
      </w:r>
      <w:hyperlink r:id="rId29">
        <w:r>
          <w:rPr>
            <w:rStyle w:val="Hyperlink"/>
          </w:rPr>
          <w:t xml:space="preserve">[75]</w:t>
        </w:r>
      </w:hyperlink>
      <w:r>
        <w:t xml:space="preserve"> </w:t>
      </w:r>
      <w:r>
        <w:t xml:space="preserve">https://arxiv.org/abs/2305.14627</w:t>
      </w:r>
    </w:p>
    <w:p>
      <w:pPr>
        <w:pStyle w:val="BodyText"/>
      </w:pPr>
      <w:hyperlink r:id="rId29">
        <w:r>
          <w:rPr>
            <w:rStyle w:val="Hyperlink"/>
          </w:rPr>
          <w:t xml:space="preserve">https://arxiv.org/abs/2305.14627</w:t>
        </w:r>
      </w:hyperlink>
    </w:p>
    <w:p>
      <w:pPr>
        <w:pStyle w:val="BodyText"/>
      </w:pPr>
      <w:hyperlink r:id="rId30">
        <w:r>
          <w:rPr>
            <w:rStyle w:val="Hyperlink"/>
          </w:rPr>
          <w:t xml:space="preserve">[14]</w:t>
        </w:r>
      </w:hyperlink>
      <w:r>
        <w:t xml:space="preserve"> </w:t>
      </w:r>
      <w:hyperlink r:id="rId30">
        <w:r>
          <w:rPr>
            <w:rStyle w:val="Hyperlink"/>
          </w:rPr>
          <w:t xml:space="preserve">[52]</w:t>
        </w:r>
      </w:hyperlink>
      <w:r>
        <w:t xml:space="preserve"> </w:t>
      </w:r>
      <w:hyperlink r:id="rId30">
        <w:r>
          <w:rPr>
            <w:rStyle w:val="Hyperlink"/>
          </w:rPr>
          <w:t xml:space="preserve">[91]</w:t>
        </w:r>
      </w:hyperlink>
      <w:r>
        <w:t xml:space="preserve"> </w:t>
      </w:r>
      <w:r>
        <w:t xml:space="preserve">https://aclanthology.org/2021.acl-long.179.pdf</w:t>
      </w:r>
    </w:p>
    <w:p>
      <w:pPr>
        <w:pStyle w:val="BodyText"/>
      </w:pPr>
      <w:hyperlink r:id="rId30">
        <w:r>
          <w:rPr>
            <w:rStyle w:val="Hyperlink"/>
          </w:rPr>
          <w:t xml:space="preserve">https://aclanthology.org/2021.acl-long.179.pdf</w:t>
        </w:r>
      </w:hyperlink>
    </w:p>
    <w:p>
      <w:pPr>
        <w:pStyle w:val="BodyText"/>
      </w:pPr>
      <w:hyperlink r:id="rId31">
        <w:r>
          <w:rPr>
            <w:rStyle w:val="Hyperlink"/>
          </w:rPr>
          <w:t xml:space="preserve">[17]</w:t>
        </w:r>
      </w:hyperlink>
      <w:r>
        <w:t xml:space="preserve"> </w:t>
      </w:r>
      <w:hyperlink r:id="rId31">
        <w:r>
          <w:rPr>
            <w:rStyle w:val="Hyperlink"/>
          </w:rPr>
          <w:t xml:space="preserve">[65]</w:t>
        </w:r>
      </w:hyperlink>
      <w:r>
        <w:t xml:space="preserve"> </w:t>
      </w:r>
      <w:r>
        <w:t xml:space="preserve">https://sigir.org/files/forum/2016J/p068.pdf</w:t>
      </w:r>
    </w:p>
    <w:p>
      <w:pPr>
        <w:pStyle w:val="BodyText"/>
      </w:pPr>
      <w:hyperlink r:id="rId31">
        <w:r>
          <w:rPr>
            <w:rStyle w:val="Hyperlink"/>
          </w:rPr>
          <w:t xml:space="preserve">https://sigir.org/files/forum/2016J/p068.pdf</w:t>
        </w:r>
      </w:hyperlink>
    </w:p>
    <w:p>
      <w:pPr>
        <w:pStyle w:val="BodyText"/>
      </w:pPr>
      <w:hyperlink r:id="rId32">
        <w:r>
          <w:rPr>
            <w:rStyle w:val="Hyperlink"/>
          </w:rPr>
          <w:t xml:space="preserve">[18]</w:t>
        </w:r>
      </w:hyperlink>
      <w:r>
        <w:t xml:space="preserve"> </w:t>
      </w:r>
      <w:hyperlink r:id="rId32">
        <w:r>
          <w:rPr>
            <w:rStyle w:val="Hyperlink"/>
          </w:rPr>
          <w:t xml:space="preserve">[60]</w:t>
        </w:r>
      </w:hyperlink>
      <w:r>
        <w:t xml:space="preserve"> </w:t>
      </w:r>
      <w:hyperlink r:id="rId32">
        <w:r>
          <w:rPr>
            <w:rStyle w:val="Hyperlink"/>
          </w:rPr>
          <w:t xml:space="preserve">[61]</w:t>
        </w:r>
      </w:hyperlink>
      <w:r>
        <w:t xml:space="preserve"> </w:t>
      </w:r>
      <w:hyperlink r:id="rId32">
        <w:r>
          <w:rPr>
            <w:rStyle w:val="Hyperlink"/>
          </w:rPr>
          <w:t xml:space="preserve">[96]</w:t>
        </w:r>
      </w:hyperlink>
      <w:r>
        <w:t xml:space="preserve"> </w:t>
      </w:r>
      <w:r>
        <w:t xml:space="preserve">https://www.acm.org/publications/policies/artifact-review-and-badging-current</w:t>
      </w:r>
    </w:p>
    <w:p>
      <w:pPr>
        <w:pStyle w:val="BodyText"/>
      </w:pPr>
      <w:hyperlink r:id="rId32">
        <w:r>
          <w:rPr>
            <w:rStyle w:val="Hyperlink"/>
          </w:rPr>
          <w:t xml:space="preserve">https://www.acm.org/publications/policies/artifact-review-and-badging-current</w:t>
        </w:r>
      </w:hyperlink>
    </w:p>
    <w:p>
      <w:pPr>
        <w:pStyle w:val="BodyText"/>
      </w:pPr>
      <w:hyperlink r:id="rId34">
        <w:r>
          <w:rPr>
            <w:rStyle w:val="Hyperlink"/>
          </w:rPr>
          <w:t xml:space="preserve">[25]</w:t>
        </w:r>
      </w:hyperlink>
      <w:r>
        <w:t xml:space="preserve"> </w:t>
      </w:r>
      <w:hyperlink r:id="rId34">
        <w:r>
          <w:rPr>
            <w:rStyle w:val="Hyperlink"/>
          </w:rPr>
          <w:t xml:space="preserve">[28]</w:t>
        </w:r>
      </w:hyperlink>
      <w:r>
        <w:t xml:space="preserve"> </w:t>
      </w:r>
      <w:r>
        <w:t xml:space="preserve">https://www.microsoft.com/en-us/research/publication/guidelines-for-human-ai-interaction/</w:t>
      </w:r>
    </w:p>
    <w:p>
      <w:pPr>
        <w:pStyle w:val="BodyText"/>
      </w:pPr>
      <w:hyperlink r:id="rId34">
        <w:r>
          <w:rPr>
            <w:rStyle w:val="Hyperlink"/>
          </w:rPr>
          <w:t xml:space="preserve">https://www.microsoft.com/en-us/research/publication/guidelines-for-human-ai-interaction/</w:t>
        </w:r>
      </w:hyperlink>
    </w:p>
    <w:p>
      <w:pPr>
        <w:pStyle w:val="BodyText"/>
      </w:pPr>
      <w:hyperlink r:id="rId35">
        <w:r>
          <w:rPr>
            <w:rStyle w:val="Hyperlink"/>
          </w:rPr>
          <w:t xml:space="preserve">[26]</w:t>
        </w:r>
      </w:hyperlink>
      <w:r>
        <w:t xml:space="preserve"> </w:t>
      </w:r>
      <w:hyperlink r:id="rId35">
        <w:r>
          <w:rPr>
            <w:rStyle w:val="Hyperlink"/>
          </w:rPr>
          <w:t xml:space="preserve">[32]</w:t>
        </w:r>
      </w:hyperlink>
      <w:r>
        <w:t xml:space="preserve"> </w:t>
      </w:r>
      <w:r>
        <w:t xml:space="preserve">https://aclanthology.org/2025.emnlp-main.796.pdf</w:t>
      </w:r>
    </w:p>
    <w:p>
      <w:pPr>
        <w:pStyle w:val="BodyText"/>
      </w:pPr>
      <w:hyperlink r:id="rId35">
        <w:r>
          <w:rPr>
            <w:rStyle w:val="Hyperlink"/>
          </w:rPr>
          <w:t xml:space="preserve">https://aclanthology.org/2025.emnlp-main.796.pdf</w:t>
        </w:r>
      </w:hyperlink>
    </w:p>
    <w:p>
      <w:pPr>
        <w:pStyle w:val="BodyText"/>
      </w:pPr>
      <w:hyperlink r:id="rId36">
        <w:r>
          <w:rPr>
            <w:rStyle w:val="Hyperlink"/>
          </w:rPr>
          <w:t xml:space="preserve">[30]</w:t>
        </w:r>
      </w:hyperlink>
      <w:r>
        <w:t xml:space="preserve"> </w:t>
      </w:r>
      <w:hyperlink r:id="rId36">
        <w:r>
          <w:rPr>
            <w:rStyle w:val="Hyperlink"/>
          </w:rPr>
          <w:t xml:space="preserve">[56]</w:t>
        </w:r>
      </w:hyperlink>
      <w:r>
        <w:t xml:space="preserve"> </w:t>
      </w:r>
      <w:hyperlink r:id="rId36">
        <w:r>
          <w:rPr>
            <w:rStyle w:val="Hyperlink"/>
          </w:rPr>
          <w:t xml:space="preserve">[78]</w:t>
        </w:r>
      </w:hyperlink>
      <w:r>
        <w:t xml:space="preserve"> </w:t>
      </w:r>
      <w:r>
        <w:t xml:space="preserve">https://arxiv.org/abs/2006.09462</w:t>
      </w:r>
    </w:p>
    <w:p>
      <w:pPr>
        <w:pStyle w:val="BodyText"/>
      </w:pPr>
      <w:hyperlink r:id="rId36">
        <w:r>
          <w:rPr>
            <w:rStyle w:val="Hyperlink"/>
          </w:rPr>
          <w:t xml:space="preserve">https://arxiv.org/abs/2006.09462</w:t>
        </w:r>
      </w:hyperlink>
    </w:p>
    <w:p>
      <w:pPr>
        <w:pStyle w:val="BodyText"/>
      </w:pPr>
      <w:hyperlink r:id="rId37">
        <w:r>
          <w:rPr>
            <w:rStyle w:val="Hyperlink"/>
          </w:rPr>
          <w:t xml:space="preserve">[33]</w:t>
        </w:r>
      </w:hyperlink>
      <w:r>
        <w:t xml:space="preserve"> </w:t>
      </w:r>
      <w:hyperlink r:id="rId37">
        <w:r>
          <w:rPr>
            <w:rStyle w:val="Hyperlink"/>
          </w:rPr>
          <w:t xml:space="preserve">[40]</w:t>
        </w:r>
      </w:hyperlink>
      <w:r>
        <w:t xml:space="preserve"> </w:t>
      </w:r>
      <w:hyperlink r:id="rId37">
        <w:r>
          <w:rPr>
            <w:rStyle w:val="Hyperlink"/>
          </w:rPr>
          <w:t xml:space="preserve">[72]</w:t>
        </w:r>
      </w:hyperlink>
      <w:r>
        <w:t xml:space="preserve"> </w:t>
      </w:r>
      <w:hyperlink r:id="rId37">
        <w:r>
          <w:rPr>
            <w:rStyle w:val="Hyperlink"/>
          </w:rPr>
          <w:t xml:space="preserve">[76]</w:t>
        </w:r>
      </w:hyperlink>
      <w:r>
        <w:t xml:space="preserve"> </w:t>
      </w:r>
      <w:r>
        <w:t xml:space="preserve">https://arxiv.org/abs/2304.09848</w:t>
      </w:r>
    </w:p>
    <w:p>
      <w:pPr>
        <w:pStyle w:val="BodyText"/>
      </w:pPr>
      <w:hyperlink r:id="rId37">
        <w:r>
          <w:rPr>
            <w:rStyle w:val="Hyperlink"/>
          </w:rPr>
          <w:t xml:space="preserve">https://arxiv.org/abs/2304.09848</w:t>
        </w:r>
      </w:hyperlink>
    </w:p>
    <w:p>
      <w:pPr>
        <w:pStyle w:val="BodyText"/>
      </w:pPr>
      <w:hyperlink r:id="rId38">
        <w:r>
          <w:rPr>
            <w:rStyle w:val="Hyperlink"/>
          </w:rPr>
          <w:t xml:space="preserve">[36]</w:t>
        </w:r>
      </w:hyperlink>
      <w:r>
        <w:t xml:space="preserve"> </w:t>
      </w:r>
      <w:hyperlink r:id="rId38">
        <w:r>
          <w:rPr>
            <w:rStyle w:val="Hyperlink"/>
          </w:rPr>
          <w:t xml:space="preserve">[94]</w:t>
        </w:r>
      </w:hyperlink>
      <w:r>
        <w:t xml:space="preserve"> </w:t>
      </w:r>
      <w:r>
        <w:t xml:space="preserve">https://pubmed.ncbi.nlm.nih.gov/23092060/</w:t>
      </w:r>
    </w:p>
    <w:p>
      <w:pPr>
        <w:pStyle w:val="BodyText"/>
      </w:pPr>
      <w:hyperlink r:id="rId38">
        <w:r>
          <w:rPr>
            <w:rStyle w:val="Hyperlink"/>
          </w:rPr>
          <w:t xml:space="preserve">https://pubmed.ncbi.nlm.nih.gov/23092060/</w:t>
        </w:r>
      </w:hyperlink>
    </w:p>
    <w:p>
      <w:pPr>
        <w:pStyle w:val="BodyText"/>
      </w:pPr>
      <w:hyperlink r:id="rId39">
        <w:r>
          <w:rPr>
            <w:rStyle w:val="Hyperlink"/>
          </w:rPr>
          <w:t xml:space="preserve">[38]</w:t>
        </w:r>
      </w:hyperlink>
      <w:r>
        <w:t xml:space="preserve"> </w:t>
      </w:r>
      <w:hyperlink r:id="rId39">
        <w:r>
          <w:rPr>
            <w:rStyle w:val="Hyperlink"/>
          </w:rPr>
          <w:t xml:space="preserve">[95]</w:t>
        </w:r>
      </w:hyperlink>
      <w:r>
        <w:t xml:space="preserve"> </w:t>
      </w:r>
      <w:r>
        <w:t xml:space="preserve">https://pubmed.ncbi.nlm.nih.gov/19673146/</w:t>
      </w:r>
    </w:p>
    <w:p>
      <w:pPr>
        <w:pStyle w:val="BodyText"/>
      </w:pPr>
      <w:hyperlink r:id="rId39">
        <w:r>
          <w:rPr>
            <w:rStyle w:val="Hyperlink"/>
          </w:rPr>
          <w:t xml:space="preserve">https://pubmed.ncbi.nlm.nih.gov/19673146/</w:t>
        </w:r>
      </w:hyperlink>
    </w:p>
    <w:p>
      <w:pPr>
        <w:pStyle w:val="BodyText"/>
      </w:pPr>
      <w:hyperlink r:id="rId40">
        <w:r>
          <w:rPr>
            <w:rStyle w:val="Hyperlink"/>
          </w:rPr>
          <w:t xml:space="preserve">[39]</w:t>
        </w:r>
      </w:hyperlink>
      <w:r>
        <w:t xml:space="preserve"> </w:t>
      </w:r>
      <w:r>
        <w:t xml:space="preserve">https://pubmed.ncbi.nlm.nih.gov/27330520/</w:t>
      </w:r>
    </w:p>
    <w:p>
      <w:pPr>
        <w:pStyle w:val="BodyText"/>
      </w:pPr>
      <w:hyperlink r:id="rId40">
        <w:r>
          <w:rPr>
            <w:rStyle w:val="Hyperlink"/>
          </w:rPr>
          <w:t xml:space="preserve">https://pubmed.ncbi.nlm.nih.gov/27330520/</w:t>
        </w:r>
      </w:hyperlink>
    </w:p>
    <w:p>
      <w:pPr>
        <w:pStyle w:val="BodyText"/>
      </w:pPr>
      <w:hyperlink r:id="rId42">
        <w:r>
          <w:rPr>
            <w:rStyle w:val="Hyperlink"/>
          </w:rPr>
          <w:t xml:space="preserve">[41]</w:t>
        </w:r>
      </w:hyperlink>
      <w:r>
        <w:t xml:space="preserve"> </w:t>
      </w:r>
      <w:hyperlink r:id="rId42">
        <w:r>
          <w:rPr>
            <w:rStyle w:val="Hyperlink"/>
          </w:rPr>
          <w:t xml:space="preserve">[46]</w:t>
        </w:r>
      </w:hyperlink>
      <w:r>
        <w:t xml:space="preserve"> </w:t>
      </w:r>
      <w:hyperlink r:id="rId42">
        <w:r>
          <w:rPr>
            <w:rStyle w:val="Hyperlink"/>
          </w:rPr>
          <w:t xml:space="preserve">[49]</w:t>
        </w:r>
      </w:hyperlink>
      <w:r>
        <w:t xml:space="preserve"> </w:t>
      </w:r>
      <w:r>
        <w:t xml:space="preserve">https://arxiv.org/abs/2401.09670</w:t>
      </w:r>
    </w:p>
    <w:p>
      <w:pPr>
        <w:pStyle w:val="BodyText"/>
      </w:pPr>
      <w:hyperlink r:id="rId42">
        <w:r>
          <w:rPr>
            <w:rStyle w:val="Hyperlink"/>
          </w:rPr>
          <w:t xml:space="preserve">https://arxiv.org/abs/2401.09670</w:t>
        </w:r>
      </w:hyperlink>
    </w:p>
    <w:p>
      <w:pPr>
        <w:pStyle w:val="BodyText"/>
      </w:pPr>
      <w:hyperlink r:id="rId43">
        <w:r>
          <w:rPr>
            <w:rStyle w:val="Hyperlink"/>
          </w:rPr>
          <w:t xml:space="preserve">[42]</w:t>
        </w:r>
      </w:hyperlink>
      <w:r>
        <w:t xml:space="preserve"> </w:t>
      </w:r>
      <w:hyperlink r:id="rId43">
        <w:r>
          <w:rPr>
            <w:rStyle w:val="Hyperlink"/>
          </w:rPr>
          <w:t xml:space="preserve">[87]</w:t>
        </w:r>
      </w:hyperlink>
      <w:r>
        <w:t xml:space="preserve"> </w:t>
      </w:r>
      <w:r>
        <w:t xml:space="preserve">https://developer.mozilla.org/en-US/docs/Web/API/Performance/now</w:t>
      </w:r>
    </w:p>
    <w:p>
      <w:pPr>
        <w:pStyle w:val="BodyText"/>
      </w:pPr>
      <w:hyperlink r:id="rId43">
        <w:r>
          <w:rPr>
            <w:rStyle w:val="Hyperlink"/>
          </w:rPr>
          <w:t xml:space="preserve">https://developer.mozilla.org/en-US/docs/Web/API/Performance/now</w:t>
        </w:r>
      </w:hyperlink>
    </w:p>
    <w:p>
      <w:pPr>
        <w:pStyle w:val="BodyText"/>
      </w:pPr>
      <w:hyperlink r:id="rId44">
        <w:r>
          <w:rPr>
            <w:rStyle w:val="Hyperlink"/>
          </w:rPr>
          <w:t xml:space="preserve">[43]</w:t>
        </w:r>
      </w:hyperlink>
      <w:r>
        <w:t xml:space="preserve"> </w:t>
      </w:r>
      <w:hyperlink r:id="rId44">
        <w:r>
          <w:rPr>
            <w:rStyle w:val="Hyperlink"/>
          </w:rPr>
          <w:t xml:space="preserve">[64]</w:t>
        </w:r>
      </w:hyperlink>
      <w:r>
        <w:t xml:space="preserve"> </w:t>
      </w:r>
      <w:hyperlink r:id="rId44">
        <w:r>
          <w:rPr>
            <w:rStyle w:val="Hyperlink"/>
          </w:rPr>
          <w:t xml:space="preserve">[85]</w:t>
        </w:r>
      </w:hyperlink>
      <w:r>
        <w:t xml:space="preserve"> </w:t>
      </w:r>
      <w:r>
        <w:t xml:space="preserve">https://developer.chrome.com/docs/web-platform/page-lifecycle-api</w:t>
      </w:r>
    </w:p>
    <w:p>
      <w:pPr>
        <w:pStyle w:val="BodyText"/>
      </w:pPr>
      <w:hyperlink r:id="rId44">
        <w:r>
          <w:rPr>
            <w:rStyle w:val="Hyperlink"/>
          </w:rPr>
          <w:t xml:space="preserve">https://developer.chrome.com/docs/web-platform/page-lifecycle-api</w:t>
        </w:r>
      </w:hyperlink>
    </w:p>
    <w:p>
      <w:pPr>
        <w:pStyle w:val="BodyText"/>
      </w:pPr>
      <w:hyperlink r:id="rId45">
        <w:r>
          <w:rPr>
            <w:rStyle w:val="Hyperlink"/>
          </w:rPr>
          <w:t xml:space="preserve">[44]</w:t>
        </w:r>
      </w:hyperlink>
      <w:r>
        <w:t xml:space="preserve"> </w:t>
      </w:r>
      <w:hyperlink r:id="rId45">
        <w:r>
          <w:rPr>
            <w:rStyle w:val="Hyperlink"/>
          </w:rPr>
          <w:t xml:space="preserve">[51]</w:t>
        </w:r>
      </w:hyperlink>
      <w:r>
        <w:t xml:space="preserve"> </w:t>
      </w:r>
      <w:hyperlink r:id="rId45">
        <w:r>
          <w:rPr>
            <w:rStyle w:val="Hyperlink"/>
          </w:rPr>
          <w:t xml:space="preserve">[63]</w:t>
        </w:r>
      </w:hyperlink>
      <w:r>
        <w:t xml:space="preserve"> </w:t>
      </w:r>
      <w:r>
        <w:t xml:space="preserve">https://arxiv.org/abs/2604.02344</w:t>
      </w:r>
    </w:p>
    <w:p>
      <w:pPr>
        <w:pStyle w:val="BodyText"/>
      </w:pPr>
      <w:hyperlink r:id="rId45">
        <w:r>
          <w:rPr>
            <w:rStyle w:val="Hyperlink"/>
          </w:rPr>
          <w:t xml:space="preserve">https://arxiv.org/abs/2604.02344</w:t>
        </w:r>
      </w:hyperlink>
    </w:p>
    <w:p>
      <w:pPr>
        <w:pStyle w:val="BodyText"/>
      </w:pPr>
      <w:hyperlink r:id="rId46">
        <w:r>
          <w:rPr>
            <w:rStyle w:val="Hyperlink"/>
          </w:rPr>
          <w:t xml:space="preserve">[47]</w:t>
        </w:r>
      </w:hyperlink>
      <w:r>
        <w:t xml:space="preserve"> </w:t>
      </w:r>
      <w:hyperlink r:id="rId46">
        <w:r>
          <w:rPr>
            <w:rStyle w:val="Hyperlink"/>
          </w:rPr>
          <w:t xml:space="preserve">[70]</w:t>
        </w:r>
      </w:hyperlink>
      <w:r>
        <w:t xml:space="preserve"> </w:t>
      </w:r>
      <w:r>
        <w:t xml:space="preserve">https://www.w3.org/TR/longtasks-1/</w:t>
      </w:r>
    </w:p>
    <w:p>
      <w:pPr>
        <w:pStyle w:val="BodyText"/>
      </w:pPr>
      <w:hyperlink r:id="rId46">
        <w:r>
          <w:rPr>
            <w:rStyle w:val="Hyperlink"/>
          </w:rPr>
          <w:t xml:space="preserve">https://www.w3.org/TR/longtasks-1/</w:t>
        </w:r>
      </w:hyperlink>
    </w:p>
    <w:p>
      <w:pPr>
        <w:pStyle w:val="BodyText"/>
      </w:pPr>
      <w:hyperlink r:id="rId47">
        <w:r>
          <w:rPr>
            <w:rStyle w:val="Hyperlink"/>
          </w:rPr>
          <w:t xml:space="preserve">[48]</w:t>
        </w:r>
      </w:hyperlink>
      <w:r>
        <w:t xml:space="preserve"> </w:t>
      </w:r>
      <w:r>
        <w:t xml:space="preserve">https://developer.mozilla.org/en-US/docs/Web/API/GPUCommandEncoder/writeTimestamp</w:t>
      </w:r>
    </w:p>
    <w:p>
      <w:pPr>
        <w:pStyle w:val="BodyText"/>
      </w:pPr>
      <w:hyperlink r:id="rId47">
        <w:r>
          <w:rPr>
            <w:rStyle w:val="Hyperlink"/>
          </w:rPr>
          <w:t xml:space="preserve">https://developer.mozilla.org/en-US/docs/Web/API/GPUCommandEncoder/writeTimestamp</w:t>
        </w:r>
      </w:hyperlink>
    </w:p>
    <w:p>
      <w:pPr>
        <w:pStyle w:val="BodyText"/>
      </w:pPr>
      <w:hyperlink r:id="rId48">
        <w:r>
          <w:rPr>
            <w:rStyle w:val="Hyperlink"/>
          </w:rPr>
          <w:t xml:space="preserve">[54]</w:t>
        </w:r>
      </w:hyperlink>
      <w:r>
        <w:t xml:space="preserve"> </w:t>
      </w:r>
      <w:hyperlink r:id="rId48">
        <w:r>
          <w:rPr>
            <w:rStyle w:val="Hyperlink"/>
          </w:rPr>
          <w:t xml:space="preserve">[59]</w:t>
        </w:r>
      </w:hyperlink>
      <w:r>
        <w:t xml:space="preserve"> </w:t>
      </w:r>
      <w:hyperlink r:id="rId48">
        <w:r>
          <w:rPr>
            <w:rStyle w:val="Hyperlink"/>
          </w:rPr>
          <w:t xml:space="preserve">[71]</w:t>
        </w:r>
      </w:hyperlink>
      <w:r>
        <w:t xml:space="preserve"> </w:t>
      </w:r>
      <w:hyperlink r:id="rId48">
        <w:r>
          <w:rPr>
            <w:rStyle w:val="Hyperlink"/>
          </w:rPr>
          <w:t xml:space="preserve">[92]</w:t>
        </w:r>
      </w:hyperlink>
      <w:r>
        <w:t xml:space="preserve"> </w:t>
      </w:r>
      <w:r>
        <w:t xml:space="preserve">https://aclanthology.org/2020.aacl-demo.7.pdf</w:t>
      </w:r>
    </w:p>
    <w:p>
      <w:pPr>
        <w:pStyle w:val="BodyText"/>
      </w:pPr>
      <w:hyperlink r:id="rId48">
        <w:r>
          <w:rPr>
            <w:rStyle w:val="Hyperlink"/>
          </w:rPr>
          <w:t xml:space="preserve">https://aclanthology.org/2020.aacl-demo.7.pdf</w:t>
        </w:r>
      </w:hyperlink>
    </w:p>
    <w:p>
      <w:pPr>
        <w:pStyle w:val="BodyText"/>
      </w:pPr>
      <w:hyperlink r:id="rId52">
        <w:r>
          <w:rPr>
            <w:rStyle w:val="Hyperlink"/>
          </w:rPr>
          <w:t xml:space="preserve">[79]</w:t>
        </w:r>
      </w:hyperlink>
      <w:r>
        <w:t xml:space="preserve"> </w:t>
      </w:r>
      <w:r>
        <w:t xml:space="preserve">https://arxiv.org/html/2407.16221v1</w:t>
      </w:r>
    </w:p>
    <w:p>
      <w:pPr>
        <w:pStyle w:val="BodyText"/>
      </w:pPr>
      <w:hyperlink r:id="rId52">
        <w:r>
          <w:rPr>
            <w:rStyle w:val="Hyperlink"/>
          </w:rPr>
          <w:t xml:space="preserve">https://arxiv.org/html/2407.16221v1</w:t>
        </w:r>
      </w:hyperlink>
    </w:p>
    <w:p>
      <w:pPr>
        <w:pStyle w:val="BodyText"/>
      </w:pPr>
      <w:hyperlink r:id="rId53">
        <w:r>
          <w:rPr>
            <w:rStyle w:val="Hyperlink"/>
          </w:rPr>
          <w:t xml:space="preserve">[80]</w:t>
        </w:r>
      </w:hyperlink>
      <w:r>
        <w:t xml:space="preserve"> </w:t>
      </w:r>
      <w:r>
        <w:t xml:space="preserve">https://arxiv.org/abs/2401.15884</w:t>
      </w:r>
    </w:p>
    <w:p>
      <w:pPr>
        <w:pStyle w:val="BodyText"/>
      </w:pPr>
      <w:hyperlink r:id="rId53">
        <w:r>
          <w:rPr>
            <w:rStyle w:val="Hyperlink"/>
          </w:rPr>
          <w:t xml:space="preserve">https://arxiv.org/abs/2401.15884</w:t>
        </w:r>
      </w:hyperlink>
    </w:p>
    <w:p>
      <w:pPr>
        <w:pStyle w:val="BodyText"/>
      </w:pPr>
      <w:hyperlink r:id="rId54">
        <w:r>
          <w:rPr>
            <w:rStyle w:val="Hyperlink"/>
          </w:rPr>
          <w:t xml:space="preserve">[82]</w:t>
        </w:r>
      </w:hyperlink>
      <w:r>
        <w:t xml:space="preserve"> </w:t>
      </w:r>
      <w:r>
        <w:t xml:space="preserve">https://llm.mlc.ai/docs/deploy/webllm.html</w:t>
      </w:r>
    </w:p>
    <w:p>
      <w:pPr>
        <w:pStyle w:val="BodyText"/>
      </w:pPr>
      <w:hyperlink r:id="rId54">
        <w:r>
          <w:rPr>
            <w:rStyle w:val="Hyperlink"/>
          </w:rPr>
          <w:t xml:space="preserve">https://llm.mlc.ai/docs/deploy/webllm.html</w:t>
        </w:r>
      </w:hyperlink>
    </w:p>
    <w:p>
      <w:pPr>
        <w:pStyle w:val="BodyText"/>
      </w:pPr>
      <w:hyperlink r:id="rId55">
        <w:r>
          <w:rPr>
            <w:rStyle w:val="Hyperlink"/>
          </w:rPr>
          <w:t xml:space="preserve">[83]</w:t>
        </w:r>
      </w:hyperlink>
      <w:r>
        <w:t xml:space="preserve"> </w:t>
      </w:r>
      <w:r>
        <w:t xml:space="preserve">https://arxiv.org/abs/2309.06180</w:t>
      </w:r>
    </w:p>
    <w:p>
      <w:pPr>
        <w:pStyle w:val="BodyText"/>
      </w:pPr>
      <w:hyperlink r:id="rId55">
        <w:r>
          <w:rPr>
            <w:rStyle w:val="Hyperlink"/>
          </w:rPr>
          <w:t xml:space="preserve">https://arxiv.org/abs/2309.06180</w:t>
        </w:r>
      </w:hyperlink>
    </w:p>
    <w:p>
      <w:pPr>
        <w:pStyle w:val="BodyText"/>
      </w:pPr>
      <w:hyperlink r:id="rId56">
        <w:r>
          <w:rPr>
            <w:rStyle w:val="Hyperlink"/>
          </w:rPr>
          <w:t xml:space="preserve">[84]</w:t>
        </w:r>
      </w:hyperlink>
      <w:r>
        <w:t xml:space="preserve"> </w:t>
      </w:r>
      <w:r>
        <w:t xml:space="preserve">https://www.w3.org/TR/page-visibility-2/</w:t>
      </w:r>
    </w:p>
    <w:p>
      <w:pPr>
        <w:pStyle w:val="BodyText"/>
      </w:pPr>
      <w:hyperlink r:id="rId56">
        <w:r>
          <w:rPr>
            <w:rStyle w:val="Hyperlink"/>
          </w:rPr>
          <w:t xml:space="preserve">https://www.w3.org/TR/page-visibility-2/</w:t>
        </w:r>
      </w:hyperlink>
    </w:p>
    <w:p>
      <w:pPr>
        <w:pStyle w:val="BodyText"/>
      </w:pPr>
      <w:hyperlink r:id="rId57">
        <w:r>
          <w:rPr>
            <w:rStyle w:val="Hyperlink"/>
          </w:rPr>
          <w:t xml:space="preserve">[86]</w:t>
        </w:r>
      </w:hyperlink>
      <w:r>
        <w:t xml:space="preserve"> </w:t>
      </w:r>
      <w:r>
        <w:t xml:space="preserve">https://developer.mozilla.org/en-US/docs/Web/API/GPUAdapterInfo</w:t>
      </w:r>
    </w:p>
    <w:p>
      <w:pPr>
        <w:pStyle w:val="BodyText"/>
      </w:pPr>
      <w:hyperlink r:id="rId57">
        <w:r>
          <w:rPr>
            <w:rStyle w:val="Hyperlink"/>
          </w:rPr>
          <w:t xml:space="preserve">https://developer.mozilla.org/en-US/docs/Web/API/GPUAdapterInfo</w:t>
        </w:r>
      </w:hyperlink>
    </w:p>
    <w:p>
      <w:pPr>
        <w:pStyle w:val="BodyText"/>
      </w:pPr>
      <w:hyperlink r:id="rId58">
        <w:r>
          <w:rPr>
            <w:rStyle w:val="Hyperlink"/>
          </w:rPr>
          <w:t xml:space="preserve">[88]</w:t>
        </w:r>
      </w:hyperlink>
      <w:r>
        <w:t xml:space="preserve"> </w:t>
      </w:r>
      <w:r>
        <w:t xml:space="preserve">https://developer.mozilla.org/en-US/docs/Web/API/Performance_API/Navigation_timing</w:t>
      </w:r>
    </w:p>
    <w:p>
      <w:pPr>
        <w:pStyle w:val="BodyText"/>
      </w:pPr>
      <w:hyperlink r:id="rId58">
        <w:r>
          <w:rPr>
            <w:rStyle w:val="Hyperlink"/>
          </w:rPr>
          <w:t xml:space="preserve">https://developer.mozilla.org/en-US/docs/Web/API/Performance_API/Navigation_timing</w:t>
        </w:r>
      </w:hyperlink>
    </w:p>
    <w:p>
      <w:pPr>
        <w:pStyle w:val="BodyText"/>
      </w:pPr>
      <w:hyperlink r:id="rId59">
        <w:r>
          <w:rPr>
            <w:rStyle w:val="Hyperlink"/>
          </w:rPr>
          <w:t xml:space="preserve">[93]</w:t>
        </w:r>
      </w:hyperlink>
      <w:r>
        <w:t xml:space="preserve"> </w:t>
      </w:r>
      <w:r>
        <w:t xml:space="preserve">https://pubmed.ncbi.nlm.nih.gov/15733050/</w:t>
      </w:r>
    </w:p>
    <w:p>
      <w:pPr>
        <w:pStyle w:val="BodyText"/>
      </w:pPr>
      <w:hyperlink r:id="rId59">
        <w:r>
          <w:rPr>
            <w:rStyle w:val="Hyperlink"/>
          </w:rPr>
          <w:t xml:space="preserve">https://pubmed.ncbi.nlm.nih.gov/15733050/</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aclanthology.org/2020.aacl-demo.7.pdf" TargetMode="External" /><Relationship Type="http://schemas.openxmlformats.org/officeDocument/2006/relationships/hyperlink" Id="rId30" Target="https://aclanthology.org/2021.acl-long.179.pdf" TargetMode="External" /><Relationship Type="http://schemas.openxmlformats.org/officeDocument/2006/relationships/hyperlink" Id="rId26" Target="https://aclanthology.org/2024.acl-long.63.pdf" TargetMode="External" /><Relationship Type="http://schemas.openxmlformats.org/officeDocument/2006/relationships/hyperlink" Id="rId35" Target="https://aclanthology.org/2025.emnlp-main.796.pdf" TargetMode="External" /><Relationship Type="http://schemas.openxmlformats.org/officeDocument/2006/relationships/hyperlink" Id="rId27" Target="https://aclanthology.org/P18-1128.pdf" TargetMode="External" /><Relationship Type="http://schemas.openxmlformats.org/officeDocument/2006/relationships/hyperlink" Id="rId23" Target="https://aclanthology.org/W19-8643.pdf" TargetMode="External" /><Relationship Type="http://schemas.openxmlformats.org/officeDocument/2006/relationships/hyperlink" Id="rId21" Target="https://arxiv.org/abs/2005.11401" TargetMode="External" /><Relationship Type="http://schemas.openxmlformats.org/officeDocument/2006/relationships/hyperlink" Id="rId36" Target="https://arxiv.org/abs/2006.09462" TargetMode="External" /><Relationship Type="http://schemas.openxmlformats.org/officeDocument/2006/relationships/hyperlink" Id="rId24" Target="https://arxiv.org/abs/2212.08037" TargetMode="External" /><Relationship Type="http://schemas.openxmlformats.org/officeDocument/2006/relationships/hyperlink" Id="rId37" Target="https://arxiv.org/abs/2304.09848" TargetMode="External" /><Relationship Type="http://schemas.openxmlformats.org/officeDocument/2006/relationships/hyperlink" Id="rId29" Target="https://arxiv.org/abs/2305.14627" TargetMode="External" /><Relationship Type="http://schemas.openxmlformats.org/officeDocument/2006/relationships/hyperlink" Id="rId55" Target="https://arxiv.org/abs/2309.06180" TargetMode="External" /><Relationship Type="http://schemas.openxmlformats.org/officeDocument/2006/relationships/hyperlink" Id="rId42" Target="https://arxiv.org/abs/2401.09670" TargetMode="External" /><Relationship Type="http://schemas.openxmlformats.org/officeDocument/2006/relationships/hyperlink" Id="rId53" Target="https://arxiv.org/abs/2401.15884" TargetMode="External" /><Relationship Type="http://schemas.openxmlformats.org/officeDocument/2006/relationships/hyperlink" Id="rId22" Target="https://arxiv.org/abs/2411.06037" TargetMode="External" /><Relationship Type="http://schemas.openxmlformats.org/officeDocument/2006/relationships/hyperlink" Id="rId25" Target="https://arxiv.org/abs/2412.15803" TargetMode="External" /><Relationship Type="http://schemas.openxmlformats.org/officeDocument/2006/relationships/hyperlink" Id="rId45" Target="https://arxiv.org/abs/2604.02344" TargetMode="External" /><Relationship Type="http://schemas.openxmlformats.org/officeDocument/2006/relationships/hyperlink" Id="rId52" Target="https://arxiv.org/html/2407.16221v1" TargetMode="External" /><Relationship Type="http://schemas.openxmlformats.org/officeDocument/2006/relationships/hyperlink" Id="rId44" Target="https://developer.chrome.com/docs/web-platform/page-lifecycle-api" TargetMode="External" /><Relationship Type="http://schemas.openxmlformats.org/officeDocument/2006/relationships/hyperlink" Id="rId57" Target="https://developer.mozilla.org/en-US/docs/Web/API/GPUAdapterInfo" TargetMode="External" /><Relationship Type="http://schemas.openxmlformats.org/officeDocument/2006/relationships/hyperlink" Id="rId47" Target="https://developer.mozilla.org/en-US/docs/Web/API/GPUCommandEncoder/writeTimestamp" TargetMode="External" /><Relationship Type="http://schemas.openxmlformats.org/officeDocument/2006/relationships/hyperlink" Id="rId43" Target="https://developer.mozilla.org/en-US/docs/Web/API/Performance/now" TargetMode="External" /><Relationship Type="http://schemas.openxmlformats.org/officeDocument/2006/relationships/hyperlink" Id="rId58" Target="https://developer.mozilla.org/en-US/docs/Web/API/Performance_API/Navigation_timing" TargetMode="External" /><Relationship Type="http://schemas.openxmlformats.org/officeDocument/2006/relationships/hyperlink" Id="rId54" Target="https://llm.mlc.ai/docs/deploy/webllm.html" TargetMode="External" /><Relationship Type="http://schemas.openxmlformats.org/officeDocument/2006/relationships/hyperlink" Id="rId59" Target="https://pubmed.ncbi.nlm.nih.gov/15733050/" TargetMode="External" /><Relationship Type="http://schemas.openxmlformats.org/officeDocument/2006/relationships/hyperlink" Id="rId39" Target="https://pubmed.ncbi.nlm.nih.gov/19673146/" TargetMode="External" /><Relationship Type="http://schemas.openxmlformats.org/officeDocument/2006/relationships/hyperlink" Id="rId38" Target="https://pubmed.ncbi.nlm.nih.gov/23092060/" TargetMode="External" /><Relationship Type="http://schemas.openxmlformats.org/officeDocument/2006/relationships/hyperlink" Id="rId40" Target="https://pubmed.ncbi.nlm.nih.gov/27330520/" TargetMode="External" /><Relationship Type="http://schemas.openxmlformats.org/officeDocument/2006/relationships/hyperlink" Id="rId31" Target="https://sigir.org/files/forum/2016J/p068.pdf" TargetMode="External" /><Relationship Type="http://schemas.openxmlformats.org/officeDocument/2006/relationships/hyperlink" Id="rId32" Target="https://www.acm.org/publications/policies/artifact-review-and-badging-current" TargetMode="External" /><Relationship Type="http://schemas.openxmlformats.org/officeDocument/2006/relationships/hyperlink" Id="rId34" Target="https://www.microsoft.com/en-us/research/publication/guidelines-for-human-ai-interaction/" TargetMode="External" /><Relationship Type="http://schemas.openxmlformats.org/officeDocument/2006/relationships/hyperlink" Id="rId46" Target="https://www.w3.org/TR/longtasks-1/" TargetMode="External" /><Relationship Type="http://schemas.openxmlformats.org/officeDocument/2006/relationships/hyperlink" Id="rId56" Target="https://www.w3.org/TR/page-visibility-2/" TargetMode="External" /></Relationships>
</file>

<file path=word/_rels/footnotes.xml.rels><?xml version="1.0" encoding="UTF-8"?><Relationships xmlns="http://schemas.openxmlformats.org/package/2006/relationships"><Relationship Type="http://schemas.openxmlformats.org/officeDocument/2006/relationships/hyperlink" Id="rId48" Target="https://aclanthology.org/2020.aacl-demo.7.pdf" TargetMode="External" /><Relationship Type="http://schemas.openxmlformats.org/officeDocument/2006/relationships/hyperlink" Id="rId30" Target="https://aclanthology.org/2021.acl-long.179.pdf" TargetMode="External" /><Relationship Type="http://schemas.openxmlformats.org/officeDocument/2006/relationships/hyperlink" Id="rId26" Target="https://aclanthology.org/2024.acl-long.63.pdf" TargetMode="External" /><Relationship Type="http://schemas.openxmlformats.org/officeDocument/2006/relationships/hyperlink" Id="rId35" Target="https://aclanthology.org/2025.emnlp-main.796.pdf" TargetMode="External" /><Relationship Type="http://schemas.openxmlformats.org/officeDocument/2006/relationships/hyperlink" Id="rId27" Target="https://aclanthology.org/P18-1128.pdf" TargetMode="External" /><Relationship Type="http://schemas.openxmlformats.org/officeDocument/2006/relationships/hyperlink" Id="rId23" Target="https://aclanthology.org/W19-8643.pdf" TargetMode="External" /><Relationship Type="http://schemas.openxmlformats.org/officeDocument/2006/relationships/hyperlink" Id="rId21" Target="https://arxiv.org/abs/2005.11401" TargetMode="External" /><Relationship Type="http://schemas.openxmlformats.org/officeDocument/2006/relationships/hyperlink" Id="rId36" Target="https://arxiv.org/abs/2006.09462" TargetMode="External" /><Relationship Type="http://schemas.openxmlformats.org/officeDocument/2006/relationships/hyperlink" Id="rId24" Target="https://arxiv.org/abs/2212.08037" TargetMode="External" /><Relationship Type="http://schemas.openxmlformats.org/officeDocument/2006/relationships/hyperlink" Id="rId37" Target="https://arxiv.org/abs/2304.09848" TargetMode="External" /><Relationship Type="http://schemas.openxmlformats.org/officeDocument/2006/relationships/hyperlink" Id="rId29" Target="https://arxiv.org/abs/2305.14627" TargetMode="External" /><Relationship Type="http://schemas.openxmlformats.org/officeDocument/2006/relationships/hyperlink" Id="rId55" Target="https://arxiv.org/abs/2309.06180" TargetMode="External" /><Relationship Type="http://schemas.openxmlformats.org/officeDocument/2006/relationships/hyperlink" Id="rId42" Target="https://arxiv.org/abs/2401.09670" TargetMode="External" /><Relationship Type="http://schemas.openxmlformats.org/officeDocument/2006/relationships/hyperlink" Id="rId53" Target="https://arxiv.org/abs/2401.15884" TargetMode="External" /><Relationship Type="http://schemas.openxmlformats.org/officeDocument/2006/relationships/hyperlink" Id="rId22" Target="https://arxiv.org/abs/2411.06037" TargetMode="External" /><Relationship Type="http://schemas.openxmlformats.org/officeDocument/2006/relationships/hyperlink" Id="rId25" Target="https://arxiv.org/abs/2412.15803" TargetMode="External" /><Relationship Type="http://schemas.openxmlformats.org/officeDocument/2006/relationships/hyperlink" Id="rId45" Target="https://arxiv.org/abs/2604.02344" TargetMode="External" /><Relationship Type="http://schemas.openxmlformats.org/officeDocument/2006/relationships/hyperlink" Id="rId52" Target="https://arxiv.org/html/2407.16221v1" TargetMode="External" /><Relationship Type="http://schemas.openxmlformats.org/officeDocument/2006/relationships/hyperlink" Id="rId44" Target="https://developer.chrome.com/docs/web-platform/page-lifecycle-api" TargetMode="External" /><Relationship Type="http://schemas.openxmlformats.org/officeDocument/2006/relationships/hyperlink" Id="rId57" Target="https://developer.mozilla.org/en-US/docs/Web/API/GPUAdapterInfo" TargetMode="External" /><Relationship Type="http://schemas.openxmlformats.org/officeDocument/2006/relationships/hyperlink" Id="rId47" Target="https://developer.mozilla.org/en-US/docs/Web/API/GPUCommandEncoder/writeTimestamp" TargetMode="External" /><Relationship Type="http://schemas.openxmlformats.org/officeDocument/2006/relationships/hyperlink" Id="rId43" Target="https://developer.mozilla.org/en-US/docs/Web/API/Performance/now" TargetMode="External" /><Relationship Type="http://schemas.openxmlformats.org/officeDocument/2006/relationships/hyperlink" Id="rId58" Target="https://developer.mozilla.org/en-US/docs/Web/API/Performance_API/Navigation_timing" TargetMode="External" /><Relationship Type="http://schemas.openxmlformats.org/officeDocument/2006/relationships/hyperlink" Id="rId54" Target="https://llm.mlc.ai/docs/deploy/webllm.html" TargetMode="External" /><Relationship Type="http://schemas.openxmlformats.org/officeDocument/2006/relationships/hyperlink" Id="rId59" Target="https://pubmed.ncbi.nlm.nih.gov/15733050/" TargetMode="External" /><Relationship Type="http://schemas.openxmlformats.org/officeDocument/2006/relationships/hyperlink" Id="rId39" Target="https://pubmed.ncbi.nlm.nih.gov/19673146/" TargetMode="External" /><Relationship Type="http://schemas.openxmlformats.org/officeDocument/2006/relationships/hyperlink" Id="rId38" Target="https://pubmed.ncbi.nlm.nih.gov/23092060/" TargetMode="External" /><Relationship Type="http://schemas.openxmlformats.org/officeDocument/2006/relationships/hyperlink" Id="rId40" Target="https://pubmed.ncbi.nlm.nih.gov/27330520/" TargetMode="External" /><Relationship Type="http://schemas.openxmlformats.org/officeDocument/2006/relationships/hyperlink" Id="rId31" Target="https://sigir.org/files/forum/2016J/p068.pdf" TargetMode="External" /><Relationship Type="http://schemas.openxmlformats.org/officeDocument/2006/relationships/hyperlink" Id="rId32" Target="https://www.acm.org/publications/policies/artifact-review-and-badging-current" TargetMode="External" /><Relationship Type="http://schemas.openxmlformats.org/officeDocument/2006/relationships/hyperlink" Id="rId34" Target="https://www.microsoft.com/en-us/research/publication/guidelines-for-human-ai-interaction/" TargetMode="External" /><Relationship Type="http://schemas.openxmlformats.org/officeDocument/2006/relationships/hyperlink" Id="rId46" Target="https://www.w3.org/TR/longtasks-1/" TargetMode="External" /><Relationship Type="http://schemas.openxmlformats.org/officeDocument/2006/relationships/hyperlink" Id="rId56" Target="https://www.w3.org/TR/page-visibility-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2026-06-09T11:45:25Z</dcterms:created>
  <dcterms:modified xsi:type="dcterms:W3CDTF">2026-06-09T11:45:25Z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