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ff1bc2668bc7d99a3f0c09f1e9a05ec0cbb0d7d"/>
    <w:p>
      <w:pPr>
        <w:pStyle w:val="Heading1"/>
      </w:pPr>
      <w:r>
        <w:t xml:space="preserve">Contract-First Reliability for Browser-Local Small-Model RAG</w:t>
      </w:r>
    </w:p>
    <w:bookmarkStart w:id="22" w:name="thesis"/>
    <w:p>
      <w:pPr>
        <w:pStyle w:val="Heading2"/>
      </w:pPr>
      <w:r>
        <w:t xml:space="preserve">Thesis</w:t>
      </w:r>
    </w:p>
    <w:p>
      <w:pPr>
        <w:pStyle w:val="FirstParagraph"/>
      </w:pPr>
      <w:r>
        <w:t xml:space="preserve">The strongest publishable thesis is not that</w:t>
      </w:r>
      <w:r>
        <w:t xml:space="preserve"> </w:t>
      </w:r>
      <w:r>
        <w:rPr>
          <w:b/>
          <w:bCs/>
        </w:rPr>
        <w:t xml:space="preserve">Qwen3.5-0.8B became unusually strong</w:t>
      </w:r>
      <w:r>
        <w:t xml:space="preserve">, and not that</w:t>
      </w:r>
      <w:r>
        <w:t xml:space="preserve"> </w:t>
      </w:r>
      <w:r>
        <w:rPr>
          <w:b/>
          <w:bCs/>
        </w:rPr>
        <w:t xml:space="preserve">prompting alone solved small-model local RAG</w:t>
      </w:r>
      <w:r>
        <w:t xml:space="preserve">. It is that, in a browser-local archival QA setting, the main reliability bottleneck is better addressed by</w:t>
      </w:r>
      <w:r>
        <w:t xml:space="preserve"> </w:t>
      </w:r>
      <w:r>
        <w:rPr>
          <w:b/>
          <w:bCs/>
        </w:rPr>
        <w:t xml:space="preserve">system decomposition</w:t>
      </w:r>
      <w:r>
        <w:t xml:space="preserve"> </w:t>
      </w:r>
      <w:r>
        <w:t xml:space="preserve">than by prompt accretion: split the workload into deterministic lanes for schema-bound tasks, let the model produce only the natural-language portion it is best suited for, validate outputs against explicit evidence-field contracts, and then apply lightweight post-generation correction where textual calibration is needed. That framing is well aligned with current literature: browser inference is now practical and increasingly performant, but remains latency- and hardware-sensitive; abstention is still an unsolved problem for LLMs even with prompting; structured outputs are important yet often costly or brittle when pushed fully into generation; and trustworthy RAG depends on evidence sufficiency, not just topical retrieval. The repository framing you shared is already consistent with a measurement-first, contract-validated browser-local RAG lab rather than a generic chatbot project.</w:t>
      </w:r>
      <w:r>
        <w:t xml:space="preserve"> </w:t>
      </w:r>
      <w:hyperlink r:id="rId21">
        <w:r>
          <w:rPr>
            <w:rStyle w:val="Hyperlink"/>
          </w:rPr>
          <w:t xml:space="preserve">[1]</w:t>
        </w:r>
      </w:hyperlink>
      <w:r>
        <w:t xml:space="preserve"> </w:t>
      </w:r>
      <w:r>
        <w:t xml:space="preserve">fileciteturn0file0</w:t>
      </w:r>
    </w:p>
    <w:bookmarkEnd w:id="22"/>
    <w:bookmarkStart w:id="27" w:name="core-contributions"/>
    <w:p>
      <w:pPr>
        <w:pStyle w:val="Heading2"/>
      </w:pPr>
      <w:r>
        <w:t xml:space="preserve">Core contributions</w:t>
      </w:r>
    </w:p>
    <w:p>
      <w:pPr>
        <w:pStyle w:val="FirstParagraph"/>
      </w:pPr>
      <w:r>
        <w:t xml:space="preserve">The contributions read most strongly when presented as</w:t>
      </w:r>
      <w:r>
        <w:t xml:space="preserve"> </w:t>
      </w:r>
      <w:r>
        <w:rPr>
          <w:b/>
          <w:bCs/>
        </w:rPr>
        <w:t xml:space="preserve">systems contributions for contract-first reliability</w:t>
      </w:r>
      <w:r>
        <w:t xml:space="preserve">, not as a model paper.</w:t>
      </w:r>
    </w:p>
    <w:p>
      <w:pPr>
        <w:pStyle w:val="BodyText"/>
      </w:pPr>
      <w:r>
        <w:rPr>
          <w:b/>
          <w:bCs/>
        </w:rPr>
        <w:t xml:space="preserve">Deterministic lanes.</w:t>
      </w:r>
      <w:r>
        <w:t xml:space="preserve"> </w:t>
      </w:r>
      <w:r>
        <w:t xml:space="preserve">The refusal lane and the source-rights lane are publishable because they reassign high-precision, low-tolerance tasks away from free-form generation. That is exactly the kind of design move the abstention literature motivates: current LLMs still struggle to decide when not to answer, and even strong prompting does not resolve the underlying uncertainty problem. In your system, routing</w:t>
      </w:r>
      <w:r>
        <w:t xml:space="preserve"> </w:t>
      </w:r>
      <w:r>
        <w:rPr>
          <w:rStyle w:val="VerbatimChar"/>
        </w:rPr>
        <w:t xml:space="preserve">refusal_expected=true</w:t>
      </w:r>
      <w:r>
        <w:t xml:space="preserve"> </w:t>
      </w:r>
      <w:r>
        <w:t xml:space="preserve">and</w:t>
      </w:r>
      <w:r>
        <w:t xml:space="preserve"> </w:t>
      </w:r>
      <w:r>
        <w:rPr>
          <w:rStyle w:val="VerbatimChar"/>
        </w:rPr>
        <w:t xml:space="preserve">source_rights_question</w:t>
      </w:r>
      <w:r>
        <w:t xml:space="preserve"> </w:t>
      </w:r>
      <w:r>
        <w:t xml:space="preserve">to deterministic rules turns those rows into auditable system behavior rather than fragile model behavior. That is a system-level reliability contribution, not just a prompt tweak.</w:t>
      </w:r>
      <w:r>
        <w:t xml:space="preserve"> </w:t>
      </w:r>
      <w:hyperlink r:id="rId23">
        <w:r>
          <w:rPr>
            <w:rStyle w:val="Hyperlink"/>
          </w:rPr>
          <w:t xml:space="preserve">[2]</w:t>
        </w:r>
      </w:hyperlink>
    </w:p>
    <w:p>
      <w:pPr>
        <w:pStyle w:val="BodyText"/>
      </w:pPr>
      <w:r>
        <w:rPr>
          <w:b/>
          <w:bCs/>
        </w:rPr>
        <w:t xml:space="preserve">Post-generation contract and tag injection.</w:t>
      </w:r>
      <w:r>
        <w:t xml:space="preserve"> </w:t>
      </w:r>
      <w:r>
        <w:t xml:space="preserve">V3.1 is a meaningful ablation step because it stops asking the model to emit exact Evidence Tags and instead lets the model generate only natural prose while the system injects exact tags afterward. This fits a broader lesson from structured-generation research: constrained or schema-bound outputs are valuable, but forcing the model to manage both reasoning and exact formatting can create efficiency and quality tradeoffs; hybrid approaches that decouple reasoning from formatting are often stronger. Your design applies that lesson to local RAG in a particularly practical way.</w:t>
      </w:r>
      <w:r>
        <w:t xml:space="preserve"> </w:t>
      </w:r>
      <w:hyperlink r:id="rId24">
        <w:r>
          <w:rPr>
            <w:rStyle w:val="Hyperlink"/>
          </w:rPr>
          <w:t xml:space="preserve">[3]</w:t>
        </w:r>
      </w:hyperlink>
    </w:p>
    <w:p>
      <w:pPr>
        <w:pStyle w:val="BodyText"/>
      </w:pPr>
      <w:r>
        <w:rPr>
          <w:b/>
          <w:bCs/>
        </w:rPr>
        <w:t xml:space="preserve">Prose-polishing guardrail.</w:t>
      </w:r>
      <w:r>
        <w:t xml:space="preserve"> </w:t>
      </w:r>
      <w:r>
        <w:t xml:space="preserve">V3.3’s post-generation prose polisher is probably the single most reusable idea in the paper. Heavy prompt guardrails in V3.2 improved caution, but V3.3 moved that caution into a model-agnostic textual correction layer that weakens unsupported absolutes, softens “first” or “earliest” claims without chronology proof, inserts grounding phrases such as “Based on these records,” and falls back to deterministic readable prose when necessary. That design is motivated by a well-established failure mode: LLMs are often overconfident, and prompted verbalized uncertainty is frequently miscalibrated. A lightweight calibration layer after generation is therefore a principled systems move, not an arbitrary style pass.</w:t>
      </w:r>
      <w:r>
        <w:t xml:space="preserve"> </w:t>
      </w:r>
      <w:hyperlink r:id="rId25">
        <w:r>
          <w:rPr>
            <w:rStyle w:val="Hyperlink"/>
          </w:rPr>
          <w:t xml:space="preserve">[4]</w:t>
        </w:r>
      </w:hyperlink>
    </w:p>
    <w:p>
      <w:pPr>
        <w:pStyle w:val="BodyText"/>
      </w:pPr>
      <w:r>
        <w:rPr>
          <w:b/>
          <w:bCs/>
        </w:rPr>
        <w:t xml:space="preserve">Evidence contract validation.</w:t>
      </w:r>
      <w:r>
        <w:t xml:space="preserve"> </w:t>
      </w:r>
      <w:r>
        <w:t xml:space="preserve">This is where the paper becomes more than an engineering blog post. The benchmark is best described as a</w:t>
      </w:r>
      <w:r>
        <w:t xml:space="preserve"> </w:t>
      </w:r>
      <w:r>
        <w:rPr>
          <w:b/>
          <w:bCs/>
        </w:rPr>
        <w:t xml:space="preserve">contract-first local RAG evaluation framework</w:t>
      </w:r>
      <w:r>
        <w:t xml:space="preserve">: archival-style queries, gold evidence records, explicit evidence-field contracts, and gates for faithfulness, hallucination, misreading, guardrail compliance, facts coverage, usability, and readability. Existing RAG evaluation frameworks such as RAGAS and ARES, and the broader RAG-evaluation literature, emphasize relevance, faithfulness, answer quality, and often LM-judge or reference-free metrics. Your work’s distinctive addition is a more software-like validation surface: exact contract checks at the evidence-field layer, with explicit routing and failure accounting. The repository materials already show that the lab records answer lanes, source/rights preservation, refusal correctness, gold-evidence coverage, TTFT, total latency, and generation-contract validation.</w:t>
      </w:r>
      <w:r>
        <w:t xml:space="preserve"> </w:t>
      </w:r>
      <w:hyperlink r:id="rId26">
        <w:r>
          <w:rPr>
            <w:rStyle w:val="Hyperlink"/>
          </w:rPr>
          <w:t xml:space="preserve">[5]</w:t>
        </w:r>
      </w:hyperlink>
      <w:r>
        <w:t xml:space="preserve"> </w:t>
      </w:r>
      <w:r>
        <w:t xml:space="preserve">fileciteturn0file0</w:t>
      </w:r>
    </w:p>
    <w:p>
      <w:pPr>
        <w:pStyle w:val="BodyText"/>
      </w:pPr>
      <w:r>
        <w:rPr>
          <w:b/>
          <w:bCs/>
        </w:rPr>
        <w:t xml:space="preserve">Honest latency stratification.</w:t>
      </w:r>
      <w:r>
        <w:t xml:space="preserve"> </w:t>
      </w:r>
      <w:r>
        <w:t xml:space="preserve">Separating</w:t>
      </w:r>
      <w:r>
        <w:t xml:space="preserve"> </w:t>
      </w:r>
      <w:r>
        <w:rPr>
          <w:rStyle w:val="VerbatimChar"/>
        </w:rPr>
        <w:t xml:space="preserve">hybrid_system_latency</w:t>
      </w:r>
      <w:r>
        <w:t xml:space="preserve"> </w:t>
      </w:r>
      <w:r>
        <w:t xml:space="preserve">from Qwen generation latency is not a reporting detail; it is a methodological contribution. Browser-local LLM inference is an area where latency numbers are easily made misleading because runtime depends on browser stack, hardware, memory, and WebGPU behavior. Reporting deterministic rows separately avoids the common mistake of attributing a hybrid system’s speedup to the model itself. This is especially important because, in your final run, more than one-third of the benchmark executed on deterministic paths. That makes the lower all-row average a</w:t>
      </w:r>
      <w:r>
        <w:t xml:space="preserve"> </w:t>
      </w:r>
      <w:r>
        <w:rPr>
          <w:b/>
          <w:bCs/>
        </w:rPr>
        <w:t xml:space="preserve">system architecture result</w:t>
      </w:r>
      <w:r>
        <w:t xml:space="preserve">, not a model-throughput result.</w:t>
      </w:r>
      <w:r>
        <w:t xml:space="preserve"> </w:t>
      </w:r>
      <w:hyperlink r:id="rId21">
        <w:r>
          <w:rPr>
            <w:rStyle w:val="Hyperlink"/>
          </w:rPr>
          <w:t xml:space="preserve">[6]</w:t>
        </w:r>
      </w:hyperlink>
    </w:p>
    <w:p>
      <w:pPr>
        <w:pStyle w:val="BodyText"/>
      </w:pPr>
      <w:r>
        <w:t xml:space="preserve">Taken together, the publishable contribution is a clean four-layer thesis:</w:t>
      </w:r>
      <w:r>
        <w:t xml:space="preserve"> </w:t>
      </w:r>
      <w:r>
        <w:rPr>
          <w:b/>
          <w:bCs/>
        </w:rPr>
        <w:t xml:space="preserve">deterministic lanes for exactness, model prose for synthesis, contract validation for reliability, and post-generation correction for calibrated language</w:t>
      </w:r>
      <w:r>
        <w:t xml:space="preserve">.</w:t>
      </w:r>
    </w:p>
    <w:bookmarkEnd w:id="27"/>
    <w:bookmarkStart w:id="30" w:name="empirical-findings-and-ablation-story"/>
    <w:p>
      <w:pPr>
        <w:pStyle w:val="Heading2"/>
      </w:pPr>
      <w:r>
        <w:t xml:space="preserve">Empirical findings and ablation story</w:t>
      </w:r>
    </w:p>
    <w:p>
      <w:pPr>
        <w:pStyle w:val="FirstParagraph"/>
      </w:pPr>
      <w:r>
        <w:t xml:space="preserve">The final V3.3 result is strong enough to anchor the paper, especially if you keep the narrative contract-first and lane-stratified.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Final V3.3 latency300 result</w:t>
            </w:r>
          </w:p>
        </w:tc>
      </w:tr>
      <w:tr>
        <w:tc>
          <w:tcPr/>
          <w:p>
            <w:pPr>
              <w:pStyle w:val="Compact"/>
            </w:pPr>
            <w:r>
              <w:t xml:space="preserve">Completed queries</w:t>
            </w:r>
          </w:p>
        </w:tc>
        <w:tc>
          <w:tcPr/>
          <w:p>
            <w:pPr>
              <w:pStyle w:val="Compact"/>
              <w:jc w:val="right"/>
            </w:pPr>
            <w:r>
              <w:t xml:space="preserve">300 / 300</w:t>
            </w:r>
          </w:p>
        </w:tc>
      </w:tr>
      <w:tr>
        <w:tc>
          <w:tcPr/>
          <w:p>
            <w:pPr>
              <w:pStyle w:val="Compact"/>
            </w:pPr>
            <w:r>
              <w:t xml:space="preserve">Runtime errors</w:t>
            </w:r>
          </w:p>
        </w:tc>
        <w:tc>
          <w:tcPr/>
          <w:p>
            <w:pPr>
              <w:pStyle w:val="Compact"/>
              <w:jc w:val="right"/>
            </w:pPr>
            <w:r>
              <w:t xml:space="preserve">0</w:t>
            </w:r>
          </w:p>
        </w:tc>
      </w:tr>
      <w:tr>
        <w:tc>
          <w:tcPr/>
          <w:p>
            <w:pPr>
              <w:pStyle w:val="Compact"/>
            </w:pPr>
            <w:r>
              <w:t xml:space="preserve">Stream cutoffs</w:t>
            </w:r>
          </w:p>
        </w:tc>
        <w:tc>
          <w:tcPr/>
          <w:p>
            <w:pPr>
              <w:pStyle w:val="Compact"/>
              <w:jc w:val="right"/>
            </w:pPr>
            <w:r>
              <w:t xml:space="preserve">0</w:t>
            </w:r>
          </w:p>
        </w:tc>
      </w:tr>
      <w:tr>
        <w:tc>
          <w:tcPr/>
          <w:p>
            <w:pPr>
              <w:pStyle w:val="Compact"/>
            </w:pPr>
            <w:r>
              <w:t xml:space="preserve">Contract fail / warn</w:t>
            </w:r>
          </w:p>
        </w:tc>
        <w:tc>
          <w:tcPr/>
          <w:p>
            <w:pPr>
              <w:pStyle w:val="Compact"/>
              <w:jc w:val="right"/>
            </w:pPr>
            <w:r>
              <w:t xml:space="preserve">0 / 0</w:t>
            </w:r>
          </w:p>
        </w:tc>
      </w:tr>
      <w:tr>
        <w:tc>
          <w:tcPr/>
          <w:p>
            <w:pPr>
              <w:pStyle w:val="Compact"/>
            </w:pPr>
            <w:r>
              <w:t xml:space="preserve">Deterministic rows</w:t>
            </w:r>
          </w:p>
        </w:tc>
        <w:tc>
          <w:tcPr/>
          <w:p>
            <w:pPr>
              <w:pStyle w:val="Compact"/>
              <w:jc w:val="right"/>
            </w:pPr>
            <w:r>
              <w:t xml:space="preserve">109</w:t>
            </w:r>
          </w:p>
        </w:tc>
      </w:tr>
      <w:tr>
        <w:tc>
          <w:tcPr/>
          <w:p>
            <w:pPr>
              <w:pStyle w:val="Compact"/>
            </w:pPr>
            <w:r>
              <w:t xml:space="preserve">Qwen generation rows</w:t>
            </w:r>
          </w:p>
        </w:tc>
        <w:tc>
          <w:tcPr/>
          <w:p>
            <w:pPr>
              <w:pStyle w:val="Compact"/>
              <w:jc w:val="right"/>
            </w:pPr>
            <w:r>
              <w:t xml:space="preserve">191</w:t>
            </w:r>
          </w:p>
        </w:tc>
      </w:tr>
      <w:tr>
        <w:tc>
          <w:tcPr/>
          <w:p>
            <w:pPr>
              <w:pStyle w:val="Compact"/>
            </w:pPr>
            <w:r>
              <w:t xml:space="preserve">All-row average total latency</w:t>
            </w:r>
          </w:p>
        </w:tc>
        <w:tc>
          <w:tcPr/>
          <w:p>
            <w:pPr>
              <w:pStyle w:val="Compact"/>
              <w:jc w:val="right"/>
            </w:pPr>
            <w:r>
              <w:t xml:space="preserve">~1.59 s</w:t>
            </w:r>
          </w:p>
        </w:tc>
      </w:tr>
      <w:tr>
        <w:tc>
          <w:tcPr/>
          <w:p>
            <w:pPr>
              <w:pStyle w:val="Compact"/>
            </w:pPr>
            <w:r>
              <w:t xml:space="preserve">Qwen average total latency</w:t>
            </w:r>
          </w:p>
        </w:tc>
        <w:tc>
          <w:tcPr/>
          <w:p>
            <w:pPr>
              <w:pStyle w:val="Compact"/>
              <w:jc w:val="right"/>
            </w:pPr>
            <w:r>
              <w:t xml:space="preserve">~2.49 s</w:t>
            </w:r>
          </w:p>
        </w:tc>
      </w:tr>
      <w:tr>
        <w:tc>
          <w:tcPr/>
          <w:p>
            <w:pPr>
              <w:pStyle w:val="Compact"/>
            </w:pPr>
            <w:r>
              <w:t xml:space="preserve">Qwen P95 total latency</w:t>
            </w:r>
          </w:p>
        </w:tc>
        <w:tc>
          <w:tcPr/>
          <w:p>
            <w:pPr>
              <w:pStyle w:val="Compact"/>
              <w:jc w:val="right"/>
            </w:pPr>
            <w:r>
              <w:t xml:space="preserve">~4.19 s</w:t>
            </w:r>
          </w:p>
        </w:tc>
      </w:tr>
      <w:tr>
        <w:tc>
          <w:tcPr/>
          <w:p>
            <w:pPr>
              <w:pStyle w:val="Compact"/>
            </w:pPr>
            <w:r>
              <w:t xml:space="preserve">Qwen average TTFT</w:t>
            </w:r>
          </w:p>
        </w:tc>
        <w:tc>
          <w:tcPr/>
          <w:p>
            <w:pPr>
              <w:pStyle w:val="Compact"/>
              <w:jc w:val="right"/>
            </w:pPr>
            <w:r>
              <w:t xml:space="preserve">~1.11 s</w:t>
            </w:r>
          </w:p>
        </w:tc>
      </w:tr>
      <w:tr>
        <w:tc>
          <w:tcPr/>
          <w:p>
            <w:pPr>
              <w:pStyle w:val="Compact"/>
            </w:pPr>
            <w:r>
              <w:t xml:space="preserve">Slow rows over 10 s</w:t>
            </w:r>
          </w:p>
        </w:tc>
        <w:tc>
          <w:tcPr/>
          <w:p>
            <w:pPr>
              <w:pStyle w:val="Compact"/>
              <w:jc w:val="right"/>
            </w:pPr>
            <w:r>
              <w:t xml:space="preserve">0</w:t>
            </w:r>
          </w:p>
        </w:tc>
      </w:tr>
      <w:tr>
        <w:tc>
          <w:tcPr/>
          <w:p>
            <w:pPr>
              <w:pStyle w:val="Compact"/>
            </w:pPr>
            <w:r>
              <w:t xml:space="preserve">Quality gates</w:t>
            </w:r>
          </w:p>
        </w:tc>
        <w:tc>
          <w:tcPr/>
          <w:p>
            <w:pPr>
              <w:pStyle w:val="Compact"/>
              <w:jc w:val="right"/>
            </w:pPr>
            <w:r>
              <w:t xml:space="preserve">all passed</w:t>
            </w:r>
          </w:p>
        </w:tc>
      </w:tr>
    </w:tbl>
    <w:p>
      <w:pPr>
        <w:pStyle w:val="BodyText"/>
      </w:pPr>
      <w:r>
        <w:t xml:space="preserve">Two findings stand out. First,</w:t>
      </w:r>
      <w:r>
        <w:t xml:space="preserve"> </w:t>
      </w:r>
      <w:r>
        <w:rPr>
          <w:b/>
          <w:bCs/>
        </w:rPr>
        <w:t xml:space="preserve">operational stability</w:t>
      </w:r>
      <w:r>
        <w:t xml:space="preserve"> </w:t>
      </w:r>
      <w:r>
        <w:t xml:space="preserve">is real: 300 of 300 completed, with zero runtime errors and zero stream cutoffs, in a browser-local WebGPU setting. That is not trivial in an environment where current research still emphasizes constrained memory, cross-device variability, and sensitivity to the browser/WebGPU stack. Second,</w:t>
      </w:r>
      <w:r>
        <w:t xml:space="preserve"> </w:t>
      </w:r>
      <w:r>
        <w:rPr>
          <w:b/>
          <w:bCs/>
        </w:rPr>
        <w:t xml:space="preserve">reliability is being achieved without hiding behind cherry-picked latency</w:t>
      </w:r>
      <w:r>
        <w:t xml:space="preserve">: contract fail/warn is 0/0, but Qwen generation rows are still reported separately rather than diluted by deterministic rows.</w:t>
      </w:r>
      <w:r>
        <w:t xml:space="preserve"> </w:t>
      </w:r>
      <w:hyperlink r:id="rId21">
        <w:r>
          <w:rPr>
            <w:rStyle w:val="Hyperlink"/>
          </w:rPr>
          <w:t xml:space="preserve">[6]</w:t>
        </w:r>
      </w:hyperlink>
    </w:p>
    <w:p>
      <w:pPr>
        <w:pStyle w:val="BodyText"/>
      </w:pPr>
      <w:r>
        <w:t xml:space="preserve">The workload split is itself informative. Of the 300 rows, 109 were deterministic and 191 were Qwen generation rows, meaning roughly</w:t>
      </w:r>
      <w:r>
        <w:t xml:space="preserve"> </w:t>
      </w:r>
      <w:r>
        <w:rPr>
          <w:b/>
          <w:bCs/>
        </w:rPr>
        <w:t xml:space="preserve">36.3%</w:t>
      </w:r>
      <w:r>
        <w:t xml:space="preserve"> </w:t>
      </w:r>
      <w:r>
        <w:t xml:space="preserve">of the benchmark was handled by the system layer and</w:t>
      </w:r>
      <w:r>
        <w:t xml:space="preserve"> </w:t>
      </w:r>
      <w:r>
        <w:rPr>
          <w:b/>
          <w:bCs/>
        </w:rPr>
        <w:t xml:space="preserve">63.7%</w:t>
      </w:r>
      <w:r>
        <w:t xml:space="preserve"> </w:t>
      </w:r>
      <w:r>
        <w:t xml:space="preserve">by the model. The all-row average of about 1.59 seconds is therefore correctly interpreted as an</w:t>
      </w:r>
      <w:r>
        <w:t xml:space="preserve"> </w:t>
      </w:r>
      <w:r>
        <w:rPr>
          <w:b/>
          <w:bCs/>
        </w:rPr>
        <w:t xml:space="preserve">end-to-end hybrid-system latency</w:t>
      </w:r>
      <w:r>
        <w:t xml:space="preserve">, while the 2.49-second average and 4.19-second P95 are the honest model-generation numbers for the rows where Qwen actually generated. On the rounded means you provided, the deterministic path backs out to roughly</w:t>
      </w:r>
      <w:r>
        <w:t xml:space="preserve"> </w:t>
      </w:r>
      <w:r>
        <w:rPr>
          <w:b/>
          <w:bCs/>
        </w:rPr>
        <w:t xml:space="preserve">13 ms on average</w:t>
      </w:r>
      <w:r>
        <w:t xml:space="preserve">, which reinforces the decision to report it as system latency rather than as “Qwen latency,” though that inferred number should be recomputed from exact logs before publication.</w:t>
      </w:r>
    </w:p>
    <w:p>
      <w:pPr>
        <w:pStyle w:val="BodyText"/>
      </w:pPr>
      <w:r>
        <w:t xml:space="preserve">The ablation story is coherent even though only the final version is fully quantified here. Early runs exposed three distinct failure classes: prompt/context-length failures, refusal failures, and hallucinated</w:t>
      </w:r>
      <w:r>
        <w:t xml:space="preserve"> </w:t>
      </w:r>
      <w:r>
        <w:rPr>
          <w:rStyle w:val="VerbatimChar"/>
        </w:rPr>
        <w:t xml:space="preserve">source_rights</w:t>
      </w:r>
      <w:r>
        <w:t xml:space="preserve">-style fields. Controlled gold-evidence runs then established an important ceiling result:</w:t>
      </w:r>
      <w:r>
        <w:t xml:space="preserve"> </w:t>
      </w:r>
      <w:r>
        <w:rPr>
          <w:b/>
          <w:bCs/>
        </w:rPr>
        <w:t xml:space="preserve">when evidence is complete, the model can satisfy strict generation contracts</w:t>
      </w:r>
      <w:r>
        <w:t xml:space="preserve">. That means the headline lesson is not “the small model is too weak,” but rather “the system fails when evidence packets and required fields are misaligned.” This interpretation is consistent with broader RAG evidence showing that retrieval design often matters more than raw model scale, and that evidence sufficiency is a set-level property rather than a mere top-</w:t>
      </w:r>
      <w:r>
        <w:rPr>
          <w:i/>
          <w:iCs/>
        </w:rPr>
        <w:t xml:space="preserve">k</w:t>
      </w:r>
      <w:r>
        <w:t xml:space="preserve"> </w:t>
      </w:r>
      <w:r>
        <w:t xml:space="preserve">topicality heuristic.</w:t>
      </w:r>
      <w:r>
        <w:t xml:space="preserve"> </w:t>
      </w:r>
      <w:hyperlink r:id="rId28">
        <w:r>
          <w:rPr>
            <w:rStyle w:val="Hyperlink"/>
          </w:rPr>
          <w:t xml:space="preserve">[7]</w:t>
        </w:r>
      </w:hyperlink>
    </w:p>
    <w:p>
      <w:pPr>
        <w:pStyle w:val="BodyText"/>
      </w:pPr>
      <w:r>
        <w:t xml:space="preserve">From there, each version change narrows the model’s job toward the one thing it can do most reliably: grounded prose synthesis. V3 makes refusal and source-rights decisions deterministic. V3.1 removes exact Evidence Tags from generation. V3.2 shows that prompt guardrails can reduce overconfidence and inference risk, but at a latency cost. V3.3 then shows the stronger systems result: much of that caution can be implemented after generation, preserving contract-first reliability while lowering end-to-end latency. The benchmark quality gates passing on faithfulness, usability, hallucination, misreading, guardrail compliance, facts coverage, and readability gives the paper a much more reproducible story than “answers looked good.” That emphasis also aligns with current calls in the RAG literature for evaluation that captures performance, factuality, safety, and computational efficiency simultaneously.</w:t>
      </w:r>
      <w:r>
        <w:t xml:space="preserve"> </w:t>
      </w:r>
      <w:hyperlink r:id="rId29">
        <w:r>
          <w:rPr>
            <w:rStyle w:val="Hyperlink"/>
          </w:rPr>
          <w:t xml:space="preserve">[8]</w:t>
        </w:r>
      </w:hyperlink>
    </w:p>
    <w:bookmarkEnd w:id="30"/>
    <w:bookmarkStart w:id="31" w:name="why-v3.3-matters-more-than-v3.2"/>
    <w:p>
      <w:pPr>
        <w:pStyle w:val="Heading2"/>
      </w:pPr>
      <w:r>
        <w:t xml:space="preserve">Why V3.3 matters more than V3.2</w:t>
      </w:r>
    </w:p>
    <w:p>
      <w:pPr>
        <w:pStyle w:val="FirstParagraph"/>
      </w:pPr>
      <w:r>
        <w:t xml:space="preserve">V3.2 is useful as an ablation, but V3.3 is the real paper version because it demonstrates a stronger principle:</w:t>
      </w:r>
      <w:r>
        <w:t xml:space="preserve"> </w:t>
      </w:r>
      <w:r>
        <w:rPr>
          <w:b/>
          <w:bCs/>
        </w:rPr>
        <w:t xml:space="preserve">speed and reliability can be decoupled at the system level</w:t>
      </w:r>
      <w:r>
        <w:t xml:space="preserve">.</w:t>
      </w:r>
    </w:p>
    <w:p>
      <w:pPr>
        <w:pStyle w:val="BodyText"/>
      </w:pPr>
      <w:r>
        <w:t xml:space="preserve">What V3.2 proves is that prompt-time guardrails can make a small model safer. What V3.3 proves is more valuable: many of those safety gains do not have to remain inside the prompt. They can be moved into a lightweight, model-agnostic post-generation layer that is easier to audit, easier to port, and cheaper in end-to-end latency. That matters because the structured-generation literature already shows a tension between free-form reasoning and early formatting constraints, and browser/WebGPU work shows that local inference is sensitive to runtime overhead and system design choices. In that context, V3.3 is not just “faster than V3.2”; it is a cleaner architectural answer to the same reliability problem.</w:t>
      </w:r>
      <w:r>
        <w:t xml:space="preserve"> </w:t>
      </w:r>
      <w:hyperlink r:id="rId24">
        <w:r>
          <w:rPr>
            <w:rStyle w:val="Hyperlink"/>
          </w:rPr>
          <w:t xml:space="preserve">[9]</w:t>
        </w:r>
      </w:hyperlink>
    </w:p>
    <w:p>
      <w:pPr>
        <w:pStyle w:val="BodyText"/>
      </w:pPr>
      <w:r>
        <w:t xml:space="preserve">V3.3 is also more important because it is</w:t>
      </w:r>
      <w:r>
        <w:t xml:space="preserve"> </w:t>
      </w:r>
      <w:r>
        <w:rPr>
          <w:b/>
          <w:bCs/>
        </w:rPr>
        <w:t xml:space="preserve">portable</w:t>
      </w:r>
      <w:r>
        <w:t xml:space="preserve">. Prompt-heavy guardrails are entangled with model wording, tokenizer behavior, and instruction-following idiosyncrasies. A prose polisher that weakens absolute claims, adds explicit grounding language, and inserts readable deterministic fallbacks is significantly less tied to Qwen itself. That makes it reusable across future WebLLM, Transformers.js, or ONNX-browser model swaps. In paper terms, V3.2 is “prompt engineering improved one version of one model”; V3.3 is “a model-agnostic reliability layer improved a browser-local RAG system.” The second claim has much more systems value.</w:t>
      </w:r>
      <w:r>
        <w:t xml:space="preserve"> </w:t>
      </w:r>
      <w:hyperlink r:id="rId25">
        <w:r>
          <w:rPr>
            <w:rStyle w:val="Hyperlink"/>
          </w:rPr>
          <w:t xml:space="preserve">[10]</w:t>
        </w:r>
      </w:hyperlink>
    </w:p>
    <w:p>
      <w:pPr>
        <w:pStyle w:val="BodyText"/>
      </w:pPr>
      <w:r>
        <w:t xml:space="preserve">Most importantly, V3.3 clarifies the scientific story. The paper can now say: exactness belongs in deterministic or post-processing layers; prose belongs in the generator; and contract validation decides whether the full answer is acceptable. That is a crisper, more publishable division of labor than “we kept improving the prompt until things looked better.”</w:t>
      </w:r>
    </w:p>
    <w:bookmarkEnd w:id="31"/>
    <w:bookmarkStart w:id="33" w:name="Xb0b1197f3299918896d5ef1edf8ea41d7d96c5f"/>
    <w:p>
      <w:pPr>
        <w:pStyle w:val="Heading2"/>
      </w:pPr>
      <w:r>
        <w:t xml:space="preserve">Originality, claims to avoid, and threats to validity</w:t>
      </w:r>
    </w:p>
    <w:p>
      <w:pPr>
        <w:pStyle w:val="FirstParagraph"/>
      </w:pPr>
      <w:r>
        <w:rPr>
          <w:b/>
          <w:bCs/>
        </w:rPr>
        <w:t xml:space="preserve">What is original.</w:t>
      </w:r>
      <w:r>
        <w:t xml:space="preserve"> </w:t>
      </w:r>
      <w:r>
        <w:t xml:space="preserve">The novelty is not that browser inference exists, not that structured outputs matter, and not that rule-based routing or post-processing are individually new. Browser-local LLM execution is already established by systems such as WebLLM and other WebGPU backends, and in-browser LLM applications are an active research area. RAG evaluation frameworks, reference-free metrics, and LM-judge approaches are also already widely studied. What appears genuinely distinctive in the literature reviewed here is the</w:t>
      </w:r>
      <w:r>
        <w:t xml:space="preserve"> </w:t>
      </w:r>
      <w:r>
        <w:rPr>
          <w:b/>
          <w:bCs/>
        </w:rPr>
        <w:t xml:space="preserve">combination</w:t>
      </w:r>
      <w:r>
        <w:t xml:space="preserve"> </w:t>
      </w:r>
      <w:r>
        <w:t xml:space="preserve">of: browser-local archival RAG; explicit evidence-field contracts; deterministic lanes for refusal and source-rights questions; post-generation evidence-tag injection; a lightweight prose-polishing guardrail; and honest separation of system-lane and model-generation latency. The safest wording is therefore “a novel contract-first architecture and evaluation methodology for browser-local small-model RAG,” not “the first hybrid RAG system” or “the first local RAG benchmark.”</w:t>
      </w:r>
      <w:r>
        <w:t xml:space="preserve"> </w:t>
      </w:r>
      <w:hyperlink r:id="rId21">
        <w:r>
          <w:rPr>
            <w:rStyle w:val="Hyperlink"/>
          </w:rPr>
          <w:t xml:space="preserve">[11]</w:t>
        </w:r>
      </w:hyperlink>
      <w:r>
        <w:t xml:space="preserve"> </w:t>
      </w:r>
      <w:r>
        <w:t xml:space="preserve">fileciteturn0file0</w:t>
      </w:r>
    </w:p>
    <w:p>
      <w:pPr>
        <w:pStyle w:val="BodyText"/>
      </w:pPr>
      <w:r>
        <w:rPr>
          <w:b/>
          <w:bCs/>
        </w:rPr>
        <w:t xml:space="preserve">What is merely engineering integration.</w:t>
      </w:r>
      <w:r>
        <w:t xml:space="preserve"> </w:t>
      </w:r>
      <w:r>
        <w:t xml:space="preserve">Choosing WebLLM, using Qwen3.5-0.8B, building an in-browser UI, compacting evidence packets, and writing post-processors are mostly integration work unless they are tied to a sharper systems claim. The paper should not pretend to invent browser inference, structured outputs, or RAG evaluation. Instead, it should argue that the original contribution is the</w:t>
      </w:r>
      <w:r>
        <w:t xml:space="preserve"> </w:t>
      </w:r>
      <w:r>
        <w:rPr>
          <w:b/>
          <w:bCs/>
        </w:rPr>
        <w:t xml:space="preserve">decision boundary</w:t>
      </w:r>
      <w:r>
        <w:t xml:space="preserve"> </w:t>
      </w:r>
      <w:r>
        <w:t xml:space="preserve">between these ingredients and the empirical demonstration that this boundary yields zero contract failures with auditable latency accounting on a 300-query benchmark. That is a strong systems-paper claim even if some components are individually familiar.</w:t>
      </w:r>
      <w:r>
        <w:t xml:space="preserve"> </w:t>
      </w:r>
      <w:hyperlink r:id="rId21">
        <w:r>
          <w:rPr>
            <w:rStyle w:val="Hyperlink"/>
          </w:rPr>
          <w:t xml:space="preserve">[12]</w:t>
        </w:r>
      </w:hyperlink>
    </w:p>
    <w:p>
      <w:pPr>
        <w:pStyle w:val="BodyText"/>
      </w:pPr>
      <w:r>
        <w:rPr>
          <w:b/>
          <w:bCs/>
        </w:rPr>
        <w:t xml:space="preserve">Claims to avoid.</w:t>
      </w:r>
      <w:r>
        <w:t xml:space="preserve"> </w:t>
      </w:r>
      <w:r>
        <w:t xml:space="preserve">Do not claim that Qwen itself became faster; the correct statement is that the</w:t>
      </w:r>
      <w:r>
        <w:t xml:space="preserve"> </w:t>
      </w:r>
      <w:r>
        <w:rPr>
          <w:b/>
          <w:bCs/>
        </w:rPr>
        <w:t xml:space="preserve">system’s end-to-end latency decreased because Qwen handled fewer tasks, and its own latency is reported separately on the 191 generation rows</w:t>
      </w:r>
      <w:r>
        <w:t xml:space="preserve">. Do not claim hallucination is solved in general; claim that your benchmark’s hallucination and misreading gates passed and contract fail/warn went to zero. Do not claim abstention is solved; claim that abstention-like cases in the labeled refusal lane are better handled by deterministic routing. Do not claim retrieval is solved; your own controlled gold-evidence runs imply the opposite, namely that evidence completeness and alignment remain central bottlenecks. Do not claim universal portability across browsers, hardware, or domains; the browser inference literature still shows real heterogeneity across devices and stacks.</w:t>
      </w:r>
      <w:r>
        <w:t xml:space="preserve"> </w:t>
      </w:r>
      <w:hyperlink r:id="rId23">
        <w:r>
          <w:rPr>
            <w:rStyle w:val="Hyperlink"/>
          </w:rPr>
          <w:t xml:space="preserve">[13]</w:t>
        </w:r>
      </w:hyperlink>
    </w:p>
    <w:p>
      <w:pPr>
        <w:pStyle w:val="BodyText"/>
      </w:pPr>
      <w:r>
        <w:rPr>
          <w:b/>
          <w:bCs/>
        </w:rPr>
        <w:t xml:space="preserve">Threats to validity.</w:t>
      </w:r>
      <w:r>
        <w:t xml:space="preserve"> </w:t>
      </w:r>
      <w:r>
        <w:t xml:space="preserve">The most important internal-validity question is annotation status. The repository materials explicitly note that earlier seed labels were marked as needing human review and were not yet sufficient for paper claims. The paper therefore needs to state clearly whether the 300-query benchmark has now been fully human reviewed, what adjudication protocol was used, and whether</w:t>
      </w:r>
      <w:r>
        <w:t xml:space="preserve"> </w:t>
      </w:r>
      <w:r>
        <w:rPr>
          <w:rStyle w:val="VerbatimChar"/>
        </w:rPr>
        <w:t xml:space="preserve">sufficient_context</w:t>
      </w:r>
      <w:r>
        <w:t xml:space="preserve">,</w:t>
      </w:r>
      <w:r>
        <w:t xml:space="preserve"> </w:t>
      </w:r>
      <w:r>
        <w:rPr>
          <w:rStyle w:val="VerbatimChar"/>
        </w:rPr>
        <w:t xml:space="preserve">refusal_expected</w:t>
      </w:r>
      <w:r>
        <w:t xml:space="preserve">, lane labels, and gold evidence IDs were revalidated. External validity is also bounded: archival-style queries with rights-aware fields and explicit evidence contracts are not the same as open-ended conversational search. There is also a routing threat: if lane assignment is wrong, deterministic confidence can fail catastrophically. Finally, contract correctness does not automatically imply true faithfulness; recent work shows that an attributed answer can still be post-rationalized, so the paper should describe exactly how faithfulness was operationalized in addition to contract validation.</w:t>
      </w:r>
      <w:r>
        <w:t xml:space="preserve"> </w:t>
      </w:r>
      <w:hyperlink r:id="rId32">
        <w:r>
          <w:rPr>
            <w:rStyle w:val="Hyperlink"/>
          </w:rPr>
          <w:t xml:space="preserve">[14]</w:t>
        </w:r>
      </w:hyperlink>
      <w:r>
        <w:t xml:space="preserve"> </w:t>
      </w:r>
      <w:r>
        <w:t xml:space="preserve">fileciteturn0file0</w:t>
      </w:r>
    </w:p>
    <w:bookmarkEnd w:id="33"/>
    <w:bookmarkStart w:id="35" w:name="paper-package"/>
    <w:p>
      <w:pPr>
        <w:pStyle w:val="Heading2"/>
      </w:pPr>
      <w:r>
        <w:t xml:space="preserve">Paper package</w:t>
      </w:r>
    </w:p>
    <w:p>
      <w:pPr>
        <w:pStyle w:val="FirstParagraph"/>
      </w:pPr>
      <w:r>
        <w:rPr>
          <w:b/>
          <w:bCs/>
        </w:rPr>
        <w:t xml:space="preserve">Recommended title options</w:t>
      </w:r>
    </w:p>
    <w:p>
      <w:pPr>
        <w:pStyle w:val="Compact"/>
        <w:numPr>
          <w:ilvl w:val="0"/>
          <w:numId w:val="1001"/>
        </w:numPr>
      </w:pPr>
      <w:r>
        <w:rPr>
          <w:i/>
          <w:iCs/>
        </w:rPr>
        <w:t xml:space="preserve">Contract-First Reliability for Browser-Local Small-Model RAG</w:t>
      </w:r>
    </w:p>
    <w:p>
      <w:pPr>
        <w:pStyle w:val="Compact"/>
        <w:numPr>
          <w:ilvl w:val="0"/>
          <w:numId w:val="1001"/>
        </w:numPr>
      </w:pPr>
      <w:r>
        <w:rPr>
          <w:i/>
          <w:iCs/>
        </w:rPr>
        <w:t xml:space="preserve">Beyond Prompting for Local RAG</w:t>
      </w:r>
    </w:p>
    <w:p>
      <w:pPr>
        <w:pStyle w:val="Compact"/>
        <w:numPr>
          <w:ilvl w:val="0"/>
          <w:numId w:val="1001"/>
        </w:numPr>
      </w:pPr>
      <w:r>
        <w:rPr>
          <w:i/>
          <w:iCs/>
        </w:rPr>
        <w:t xml:space="preserve">Deterministic Lanes and Post-Generation Correction for Browser-Local Archive QA</w:t>
      </w:r>
    </w:p>
    <w:p>
      <w:pPr>
        <w:pStyle w:val="Compact"/>
        <w:numPr>
          <w:ilvl w:val="0"/>
          <w:numId w:val="1001"/>
        </w:numPr>
      </w:pPr>
      <w:r>
        <w:rPr>
          <w:i/>
          <w:iCs/>
        </w:rPr>
        <w:t xml:space="preserve">Reliable In-Browser RAG with Small Models via Contract Validation and Hybrid Routing</w:t>
      </w:r>
    </w:p>
    <w:p>
      <w:pPr>
        <w:pStyle w:val="Compact"/>
        <w:numPr>
          <w:ilvl w:val="0"/>
          <w:numId w:val="1001"/>
        </w:numPr>
      </w:pPr>
      <w:r>
        <w:rPr>
          <w:i/>
          <w:iCs/>
        </w:rPr>
        <w:t xml:space="preserve">Decoupling Reliability from Generation in Browser-Local RAG</w:t>
      </w:r>
    </w:p>
    <w:p>
      <w:pPr>
        <w:pStyle w:val="Compact"/>
        <w:numPr>
          <w:ilvl w:val="0"/>
          <w:numId w:val="1001"/>
        </w:numPr>
      </w:pPr>
      <w:r>
        <w:rPr>
          <w:i/>
          <w:iCs/>
        </w:rPr>
        <w:t xml:space="preserve">Honest Hybrid Latency for Local RAG Systems</w:t>
      </w:r>
    </w:p>
    <w:p>
      <w:pPr>
        <w:pStyle w:val="Compact"/>
        <w:numPr>
          <w:ilvl w:val="0"/>
          <w:numId w:val="1001"/>
        </w:numPr>
      </w:pPr>
      <w:r>
        <w:rPr>
          <w:i/>
          <w:iCs/>
        </w:rPr>
        <w:t xml:space="preserve">Zero Contract Failures in Browser-Local RAG Through Lane Decomposition</w:t>
      </w:r>
    </w:p>
    <w:p>
      <w:pPr>
        <w:pStyle w:val="FirstParagraph"/>
      </w:pPr>
      <w:r>
        <w:rPr>
          <w:b/>
          <w:bCs/>
        </w:rPr>
        <w:t xml:space="preserve">Recommended figures and tables</w:t>
      </w:r>
    </w:p>
    <w:p>
      <w:pPr>
        <w:pStyle w:val="Compact"/>
        <w:numPr>
          <w:ilvl w:val="0"/>
          <w:numId w:val="1002"/>
        </w:numPr>
      </w:pPr>
      <w:r>
        <w:t xml:space="preserve">A single architecture figure showing the four layers: deterministic lanes, model prose generation, contract validation, and post-generation polishing.</w:t>
      </w:r>
    </w:p>
    <w:p>
      <w:pPr>
        <w:pStyle w:val="Compact"/>
        <w:numPr>
          <w:ilvl w:val="0"/>
          <w:numId w:val="1002"/>
        </w:numPr>
      </w:pPr>
      <w:r>
        <w:t xml:space="preserve">A version-evolution table from early runs through V3.3, with columns for failure mode addressed, mechanism introduced, and latency/reliability effect.</w:t>
      </w:r>
    </w:p>
    <w:p>
      <w:pPr>
        <w:pStyle w:val="Compact"/>
        <w:numPr>
          <w:ilvl w:val="0"/>
          <w:numId w:val="1002"/>
        </w:numPr>
      </w:pPr>
      <w:r>
        <w:t xml:space="preserve">A lane-stratified latency figure showing</w:t>
      </w:r>
      <w:r>
        <w:t xml:space="preserve"> </w:t>
      </w:r>
      <w:r>
        <w:rPr>
          <w:rStyle w:val="VerbatimChar"/>
        </w:rPr>
        <w:t xml:space="preserve">hybrid_system_latency</w:t>
      </w:r>
      <w:r>
        <w:t xml:space="preserve"> </w:t>
      </w:r>
      <w:r>
        <w:t xml:space="preserve">and Qwen generation latency separately, ideally with median, mean, and P95.</w:t>
      </w:r>
    </w:p>
    <w:p>
      <w:pPr>
        <w:pStyle w:val="Compact"/>
        <w:numPr>
          <w:ilvl w:val="0"/>
          <w:numId w:val="1002"/>
        </w:numPr>
      </w:pPr>
      <w:r>
        <w:t xml:space="preserve">A retrieval/evidence ablation figure contrasting normal retrieval packets with controlled gold-evidence packets to visualize the “evidence alignment, not model incapacity” claim.</w:t>
      </w:r>
    </w:p>
    <w:p>
      <w:pPr>
        <w:pStyle w:val="Compact"/>
        <w:numPr>
          <w:ilvl w:val="0"/>
          <w:numId w:val="1002"/>
        </w:numPr>
      </w:pPr>
      <w:r>
        <w:t xml:space="preserve">A contract-outcome table reporting runtime errors, stream cutoffs, contract fail/warn, and benchmark quality gates by version.</w:t>
      </w:r>
    </w:p>
    <w:p>
      <w:pPr>
        <w:pStyle w:val="Compact"/>
        <w:numPr>
          <w:ilvl w:val="0"/>
          <w:numId w:val="1002"/>
        </w:numPr>
      </w:pPr>
      <w:r>
        <w:t xml:space="preserve">A qualitative before/after figure with representative V3.2 and V3.3 outputs to show how the prose polisher softens unsupported absolutes and chronology language.</w:t>
      </w:r>
    </w:p>
    <w:p>
      <w:pPr>
        <w:pStyle w:val="Compact"/>
        <w:numPr>
          <w:ilvl w:val="0"/>
          <w:numId w:val="1002"/>
        </w:numPr>
      </w:pPr>
      <w:r>
        <w:t xml:space="preserve">A benchmark schema table listing the evidence-field contract, lane labels, deterministic criteria, and validator checks.</w:t>
      </w:r>
    </w:p>
    <w:p>
      <w:pPr>
        <w:pStyle w:val="FirstParagraph"/>
      </w:pPr>
      <w:r>
        <w:rPr>
          <w:b/>
          <w:bCs/>
        </w:rPr>
        <w:t xml:space="preserve">Short abstract draft</w:t>
      </w:r>
    </w:p>
    <w:p>
      <w:pPr>
        <w:pStyle w:val="BodyText"/>
      </w:pPr>
      <w:r>
        <w:t xml:space="preserve">We present a browser-local retrieval-augmented generation system for archival-style question answering using WebLLM with Qwen3.5-0.8B in a WebGPU browser setting. The system evaluates queries against gold evidence records under explicit evidence-field contracts rather than generic chatbot-style quality judgments. Early experiments exposed prompt/context-length failures, refusal failures, and hallucinated source-rights fields. Controlled gold-evidence runs then showed that, when evidence is complete, the small model can satisfy strict answer-generation contracts, indicating that evidence-contract alignment rather than raw model capacity is the dominant bottleneck. We address this with a contract-first architecture that combines deterministic lanes for refusal and source-rights questions, post-generation evidence-tag injection, evidence-contract validation, and a model-agnostic prose polisher that weakens unsupported absolute claims and provides readable deterministic fallbacks when needed. On a 300-query benchmark, the final system completed 300/300 queries with zero runtime errors, zero stream cutoffs, and zero contract fail/warn outcomes. Of the 300 rows, 109 were deterministic and 191 required Qwen generation. Average end-to-end latency was approximately 1.59 s across all rows; on Qwen rows only, average latency was 2.49 s, P95 latency was 4.19 s, mean TTFT was 1.11 s, and no row exceeded 10 s. These results argue that contract-first system design, rather than prompt accretion alone, is the key to auditable, low-latency local RAG with small models.</w:t>
      </w:r>
    </w:p>
    <w:p>
      <w:pPr>
        <w:pStyle w:val="BodyText"/>
      </w:pPr>
      <w:r>
        <w:rPr>
          <w:b/>
          <w:bCs/>
        </w:rPr>
        <w:t xml:space="preserve">Limitations and future work</w:t>
      </w:r>
    </w:p>
    <w:p>
      <w:pPr>
        <w:pStyle w:val="BodyText"/>
      </w:pPr>
      <w:r>
        <w:t xml:space="preserve">The limitations section should be candid and specific. This is a</w:t>
      </w:r>
      <w:r>
        <w:t xml:space="preserve"> </w:t>
      </w:r>
      <w:r>
        <w:rPr>
          <w:b/>
          <w:bCs/>
        </w:rPr>
        <w:t xml:space="preserve">bounded, archival QA benchmark</w:t>
      </w:r>
      <w:r>
        <w:t xml:space="preserve">, not a general conversational assistant benchmark. It relies on explicit evidence fields, deterministic routing rules, and a relatively closed answer space. The paper should also acknowledge that browser-local latency is hardware- and browser-dependent; recent WebGPU work shows substantial variability across devices and systems, so your latency claims should be framed as measurements on your setup rather than as universal browser numbers. Likewise, zero contract failures on this benchmark does not imply zero unsupported reasoning outside the contract surface.</w:t>
      </w:r>
      <w:r>
        <w:t xml:space="preserve"> </w:t>
      </w:r>
      <w:hyperlink r:id="rId34">
        <w:r>
          <w:rPr>
            <w:rStyle w:val="Hyperlink"/>
          </w:rPr>
          <w:t xml:space="preserve">[15]</w:t>
        </w:r>
      </w:hyperlink>
    </w:p>
    <w:p>
      <w:pPr>
        <w:pStyle w:val="BodyText"/>
      </w:pPr>
      <w:r>
        <w:t xml:space="preserve">The most important future-work items are therefore straightforward. First, publish the full 300-query benchmark specification and validator so others can reproduce the contract-first evaluation. Second, add cross-browser and cross-device replication, since browser-local systems are now a moving target with rapid framework evolution. Third, quantify router error and fallback frequency explicitly. Fourth, separate retrieval recall from generation quality more systematically, for example by reporting contract success as a function of gold-evidence coverage. Fifth, compare V3.3 not only to V3.2, but also to a pure-generation baseline and at least one alternative local runtime or small model family, while keeping the same deterministic and validation layers. Finally, document the final human-review protocol for the benchmark labels, because the earlier repository documentation correctly treated seed labels as insufficient for paper-ready claims.</w:t>
      </w:r>
      <w:r>
        <w:t xml:space="preserve"> </w:t>
      </w:r>
      <w:hyperlink r:id="rId21">
        <w:r>
          <w:rPr>
            <w:rStyle w:val="Hyperlink"/>
          </w:rPr>
          <w:t xml:space="preserve">[16]</w:t>
        </w:r>
      </w:hyperlink>
      <w:r>
        <w:t xml:space="preserve"> </w:t>
      </w:r>
      <w:r>
        <w:t xml:space="preserve">fileciteturn0file0</w:t>
      </w:r>
    </w:p>
    <w:bookmarkEnd w:id="35"/>
    <w:bookmarkEnd w:id="36"/>
    <w:bookmarkEnd w:id="37"/>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[16]</w:t>
        </w:r>
      </w:hyperlink>
      <w:r>
        <w:t xml:space="preserve"> </w:t>
      </w:r>
      <w:r>
        <w:t xml:space="preserve">https://arxiv.org/abs/2412.15803</w:t>
      </w:r>
    </w:p>
    <w:p>
      <w:pPr>
        <w:pStyle w:val="BodyText"/>
      </w:pPr>
      <w:hyperlink r:id="rId21">
        <w:r>
          <w:rPr>
            <w:rStyle w:val="Hyperlink"/>
          </w:rPr>
          <w:t xml:space="preserve">https://arxiv.org/abs/2412.15803</w:t>
        </w:r>
      </w:hyperlink>
    </w:p>
    <w:p>
      <w:pPr>
        <w:pStyle w:val="BodyText"/>
      </w:pPr>
      <w:hyperlink r:id="rId23">
        <w:r>
          <w:rPr>
            <w:rStyle w:val="Hyperlink"/>
          </w:rPr>
          <w:t xml:space="preserve">[2]</w:t>
        </w:r>
      </w:hyperlink>
      <w:r>
        <w:t xml:space="preserve"> </w:t>
      </w:r>
      <w:hyperlink r:id="rId23">
        <w:r>
          <w:rPr>
            <w:rStyle w:val="Hyperlink"/>
          </w:rPr>
          <w:t xml:space="preserve">[13]</w:t>
        </w:r>
      </w:hyperlink>
      <w:r>
        <w:t xml:space="preserve"> </w:t>
      </w:r>
      <w:r>
        <w:t xml:space="preserve">https://arxiv.org/abs/2506.09038</w:t>
      </w:r>
    </w:p>
    <w:p>
      <w:pPr>
        <w:pStyle w:val="BodyText"/>
      </w:pPr>
      <w:hyperlink r:id="rId23">
        <w:r>
          <w:rPr>
            <w:rStyle w:val="Hyperlink"/>
          </w:rPr>
          <w:t xml:space="preserve">https://arxiv.org/abs/2506.09038</w:t>
        </w:r>
      </w:hyperlink>
    </w:p>
    <w:p>
      <w:pPr>
        <w:pStyle w:val="BodyText"/>
      </w:pPr>
      <w:hyperlink r:id="rId24">
        <w:r>
          <w:rPr>
            <w:rStyle w:val="Hyperlink"/>
          </w:rPr>
          <w:t xml:space="preserve">[3]</w:t>
        </w:r>
      </w:hyperlink>
      <w:r>
        <w:t xml:space="preserve"> </w:t>
      </w:r>
      <w:hyperlink r:id="rId24">
        <w:r>
          <w:rPr>
            <w:rStyle w:val="Hyperlink"/>
          </w:rPr>
          <w:t xml:space="preserve">[9]</w:t>
        </w:r>
      </w:hyperlink>
      <w:r>
        <w:t xml:space="preserve"> </w:t>
      </w:r>
      <w:r>
        <w:t xml:space="preserve">https://arxiv.org/abs/2501.10868</w:t>
      </w:r>
    </w:p>
    <w:p>
      <w:pPr>
        <w:pStyle w:val="BodyText"/>
      </w:pPr>
      <w:hyperlink r:id="rId24">
        <w:r>
          <w:rPr>
            <w:rStyle w:val="Hyperlink"/>
          </w:rPr>
          <w:t xml:space="preserve">https://arxiv.org/abs/2501.10868</w:t>
        </w:r>
      </w:hyperlink>
    </w:p>
    <w:p>
      <w:pPr>
        <w:pStyle w:val="BodyText"/>
      </w:pPr>
      <w:hyperlink r:id="rId25">
        <w:r>
          <w:rPr>
            <w:rStyle w:val="Hyperlink"/>
          </w:rPr>
          <w:t xml:space="preserve">[4]</w:t>
        </w:r>
      </w:hyperlink>
      <w:r>
        <w:t xml:space="preserve"> </w:t>
      </w:r>
      <w:hyperlink r:id="rId25">
        <w:r>
          <w:rPr>
            <w:rStyle w:val="Hyperlink"/>
          </w:rPr>
          <w:t xml:space="preserve">[10]</w:t>
        </w:r>
      </w:hyperlink>
      <w:r>
        <w:t xml:space="preserve"> </w:t>
      </w:r>
      <w:r>
        <w:t xml:space="preserve">https://arxiv.org/abs/2405.02917</w:t>
      </w:r>
    </w:p>
    <w:p>
      <w:pPr>
        <w:pStyle w:val="BodyText"/>
      </w:pPr>
      <w:hyperlink r:id="rId25">
        <w:r>
          <w:rPr>
            <w:rStyle w:val="Hyperlink"/>
          </w:rPr>
          <w:t xml:space="preserve">https://arxiv.org/abs/2405.02917</w:t>
        </w:r>
      </w:hyperlink>
    </w:p>
    <w:p>
      <w:pPr>
        <w:pStyle w:val="BodyText"/>
      </w:pPr>
      <w:hyperlink r:id="rId26">
        <w:r>
          <w:rPr>
            <w:rStyle w:val="Hyperlink"/>
          </w:rPr>
          <w:t xml:space="preserve">[5]</w:t>
        </w:r>
      </w:hyperlink>
      <w:r>
        <w:t xml:space="preserve"> </w:t>
      </w:r>
      <w:r>
        <w:t xml:space="preserve">https://arxiv.org/abs/2309.15217</w:t>
      </w:r>
    </w:p>
    <w:p>
      <w:pPr>
        <w:pStyle w:val="BodyText"/>
      </w:pPr>
      <w:hyperlink r:id="rId26">
        <w:r>
          <w:rPr>
            <w:rStyle w:val="Hyperlink"/>
          </w:rPr>
          <w:t xml:space="preserve">https://arxiv.org/abs/2309.15217</w:t>
        </w:r>
      </w:hyperlink>
    </w:p>
    <w:p>
      <w:pPr>
        <w:pStyle w:val="BodyText"/>
      </w:pPr>
      <w:hyperlink r:id="rId28">
        <w:r>
          <w:rPr>
            <w:rStyle w:val="Hyperlink"/>
          </w:rPr>
          <w:t xml:space="preserve">[7]</w:t>
        </w:r>
      </w:hyperlink>
      <w:r>
        <w:t xml:space="preserve"> </w:t>
      </w:r>
      <w:r>
        <w:t xml:space="preserve">https://arxiv.org/abs/2405.13622</w:t>
      </w:r>
    </w:p>
    <w:p>
      <w:pPr>
        <w:pStyle w:val="BodyText"/>
      </w:pPr>
      <w:hyperlink r:id="rId28">
        <w:r>
          <w:rPr>
            <w:rStyle w:val="Hyperlink"/>
          </w:rPr>
          <w:t xml:space="preserve">https://arxiv.org/abs/2405.13622</w:t>
        </w:r>
      </w:hyperlink>
    </w:p>
    <w:p>
      <w:pPr>
        <w:pStyle w:val="BodyText"/>
      </w:pPr>
      <w:hyperlink r:id="rId29">
        <w:r>
          <w:rPr>
            <w:rStyle w:val="Hyperlink"/>
          </w:rPr>
          <w:t xml:space="preserve">[8]</w:t>
        </w:r>
      </w:hyperlink>
      <w:r>
        <w:t xml:space="preserve"> </w:t>
      </w:r>
      <w:r>
        <w:t xml:space="preserve">https://arxiv.org/abs/2504.14891</w:t>
      </w:r>
    </w:p>
    <w:p>
      <w:pPr>
        <w:pStyle w:val="BodyText"/>
      </w:pPr>
      <w:hyperlink r:id="rId29">
        <w:r>
          <w:rPr>
            <w:rStyle w:val="Hyperlink"/>
          </w:rPr>
          <w:t xml:space="preserve">https://arxiv.org/abs/2504.14891</w:t>
        </w:r>
      </w:hyperlink>
    </w:p>
    <w:p>
      <w:pPr>
        <w:pStyle w:val="BodyText"/>
      </w:pPr>
      <w:hyperlink r:id="rId32">
        <w:r>
          <w:rPr>
            <w:rStyle w:val="Hyperlink"/>
          </w:rPr>
          <w:t xml:space="preserve">[14]</w:t>
        </w:r>
      </w:hyperlink>
      <w:r>
        <w:t xml:space="preserve"> </w:t>
      </w:r>
      <w:r>
        <w:t xml:space="preserve">https://arxiv.org/abs/2412.18004</w:t>
      </w:r>
    </w:p>
    <w:p>
      <w:pPr>
        <w:pStyle w:val="BodyText"/>
      </w:pPr>
      <w:hyperlink r:id="rId32">
        <w:r>
          <w:rPr>
            <w:rStyle w:val="Hyperlink"/>
          </w:rPr>
          <w:t xml:space="preserve">https://arxiv.org/abs/2412.18004</w:t>
        </w:r>
      </w:hyperlink>
    </w:p>
    <w:p>
      <w:pPr>
        <w:pStyle w:val="BodyText"/>
      </w:pPr>
      <w:hyperlink r:id="rId34">
        <w:r>
          <w:rPr>
            <w:rStyle w:val="Hyperlink"/>
          </w:rPr>
          <w:t xml:space="preserve">[15]</w:t>
        </w:r>
      </w:hyperlink>
      <w:r>
        <w:t xml:space="preserve"> </w:t>
      </w:r>
      <w:r>
        <w:t xml:space="preserve">https://arxiv.org/abs/2605.20706</w:t>
      </w:r>
    </w:p>
    <w:p>
      <w:pPr>
        <w:pStyle w:val="BodyText"/>
      </w:pPr>
      <w:hyperlink r:id="rId34">
        <w:r>
          <w:rPr>
            <w:rStyle w:val="Hyperlink"/>
          </w:rPr>
          <w:t xml:space="preserve">https://arxiv.org/abs/2605.20706</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rxiv.org/abs/2309.15217" TargetMode="External" /><Relationship Type="http://schemas.openxmlformats.org/officeDocument/2006/relationships/hyperlink" Id="rId25" Target="https://arxiv.org/abs/2405.02917" TargetMode="External" /><Relationship Type="http://schemas.openxmlformats.org/officeDocument/2006/relationships/hyperlink" Id="rId28" Target="https://arxiv.org/abs/2405.13622" TargetMode="External" /><Relationship Type="http://schemas.openxmlformats.org/officeDocument/2006/relationships/hyperlink" Id="rId21" Target="https://arxiv.org/abs/2412.15803" TargetMode="External" /><Relationship Type="http://schemas.openxmlformats.org/officeDocument/2006/relationships/hyperlink" Id="rId32" Target="https://arxiv.org/abs/2412.18004" TargetMode="External" /><Relationship Type="http://schemas.openxmlformats.org/officeDocument/2006/relationships/hyperlink" Id="rId24" Target="https://arxiv.org/abs/2501.10868" TargetMode="External" /><Relationship Type="http://schemas.openxmlformats.org/officeDocument/2006/relationships/hyperlink" Id="rId29" Target="https://arxiv.org/abs/2504.14891" TargetMode="External" /><Relationship Type="http://schemas.openxmlformats.org/officeDocument/2006/relationships/hyperlink" Id="rId23" Target="https://arxiv.org/abs/2506.09038" TargetMode="External" /><Relationship Type="http://schemas.openxmlformats.org/officeDocument/2006/relationships/hyperlink" Id="rId34" Target="https://arxiv.org/abs/2605.20706" TargetMode="External" /></Relationships>
</file>

<file path=word/_rels/footnotes.xml.rels><?xml version="1.0" encoding="UTF-8"?><Relationships xmlns="http://schemas.openxmlformats.org/package/2006/relationships"><Relationship Type="http://schemas.openxmlformats.org/officeDocument/2006/relationships/hyperlink" Id="rId26" Target="https://arxiv.org/abs/2309.15217" TargetMode="External" /><Relationship Type="http://schemas.openxmlformats.org/officeDocument/2006/relationships/hyperlink" Id="rId25" Target="https://arxiv.org/abs/2405.02917" TargetMode="External" /><Relationship Type="http://schemas.openxmlformats.org/officeDocument/2006/relationships/hyperlink" Id="rId28" Target="https://arxiv.org/abs/2405.13622" TargetMode="External" /><Relationship Type="http://schemas.openxmlformats.org/officeDocument/2006/relationships/hyperlink" Id="rId21" Target="https://arxiv.org/abs/2412.15803" TargetMode="External" /><Relationship Type="http://schemas.openxmlformats.org/officeDocument/2006/relationships/hyperlink" Id="rId32" Target="https://arxiv.org/abs/2412.18004" TargetMode="External" /><Relationship Type="http://schemas.openxmlformats.org/officeDocument/2006/relationships/hyperlink" Id="rId24" Target="https://arxiv.org/abs/2501.10868" TargetMode="External" /><Relationship Type="http://schemas.openxmlformats.org/officeDocument/2006/relationships/hyperlink" Id="rId29" Target="https://arxiv.org/abs/2504.14891" TargetMode="External" /><Relationship Type="http://schemas.openxmlformats.org/officeDocument/2006/relationships/hyperlink" Id="rId23" Target="https://arxiv.org/abs/2506.09038" TargetMode="External" /><Relationship Type="http://schemas.openxmlformats.org/officeDocument/2006/relationships/hyperlink" Id="rId34" Target="https://arxiv.org/abs/2605.207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2026-06-10T07:08:48Z</dcterms:created>
  <dcterms:modified xsi:type="dcterms:W3CDTF">2026-06-10T07:08:48Z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