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Xf208f72272418f76371fdc3b5aafd7262ad0e4d"/>
    <w:p>
      <w:pPr>
        <w:pStyle w:val="Heading1"/>
      </w:pPr>
      <w:r>
        <w:t xml:space="preserve">Related Work and Novelty Search for Browser Local RAG with Deterministic Evidence Grounding</w:t>
      </w:r>
    </w:p>
    <w:bookmarkStart w:id="23" w:name="bottom-line"/>
    <w:p>
      <w:pPr>
        <w:pStyle w:val="Heading2"/>
      </w:pPr>
      <w:r>
        <w:t xml:space="preserve">Bottom line</w:t>
      </w:r>
    </w:p>
    <w:p>
      <w:pPr>
        <w:pStyle w:val="FirstParagraph"/>
      </w:pPr>
      <w:r>
        <w:t xml:space="preserve">I did</w:t>
      </w:r>
      <w:r>
        <w:t xml:space="preserve"> </w:t>
      </w:r>
      <w:r>
        <w:rPr>
          <w:b/>
          <w:bCs/>
        </w:rPr>
        <w:t xml:space="preserve">not</w:t>
      </w:r>
      <w:r>
        <w:t xml:space="preserve"> </w:t>
      </w:r>
      <w:r>
        <w:t xml:space="preserve">find a prior paper or tool in the searched literature that clearly combines</w:t>
      </w:r>
      <w:r>
        <w:t xml:space="preserve"> </w:t>
      </w:r>
      <w:r>
        <w:rPr>
          <w:b/>
          <w:bCs/>
        </w:rPr>
        <w:t xml:space="preserve">all</w:t>
      </w:r>
      <w:r>
        <w:t xml:space="preserve"> </w:t>
      </w:r>
      <w:r>
        <w:t xml:space="preserve">of the following in one system: browser-local or WebGPU LLM inference, local/on-device RAG, deterministic non-generative bypass lanes, runtime evidence-field contract validation, deterministic post-generation prose correction, explicit separation of hybrid pipeline latency from model-generation latency, and a 200–300+ query evaluation showing</w:t>
      </w:r>
      <w:r>
        <w:t xml:space="preserve"> </w:t>
      </w:r>
      <w:r>
        <w:rPr>
          <w:b/>
          <w:bCs/>
        </w:rPr>
        <w:t xml:space="preserve">zero</w:t>
      </w:r>
      <w:r>
        <w:t xml:space="preserve"> </w:t>
      </w:r>
      <w:r>
        <w:t xml:space="preserve">contract failures together with latency gains. Instead, the closest prior art is fragmented across three clusters:</w:t>
      </w:r>
      <w:r>
        <w:t xml:space="preserve"> </w:t>
      </w:r>
      <w:r>
        <w:rPr>
          <w:b/>
          <w:bCs/>
        </w:rPr>
        <w:t xml:space="preserve">browser/on-device execution</w:t>
      </w:r>
      <w:r>
        <w:t xml:space="preserve"> </w:t>
      </w:r>
      <w:r>
        <w:t xml:space="preserve">systems such as WebLLM, MeMemo, MobileRAG, and Pocket RAG;</w:t>
      </w:r>
      <w:r>
        <w:t xml:space="preserve"> </w:t>
      </w:r>
      <w:r>
        <w:rPr>
          <w:b/>
          <w:bCs/>
        </w:rPr>
        <w:t xml:space="preserve">guardrail and routing</w:t>
      </w:r>
      <w:r>
        <w:t xml:space="preserve"> </w:t>
      </w:r>
      <w:r>
        <w:t xml:space="preserve">systems such as NeMo Guardrails, Guardrails AI, and a recent deterministic clinical-counseling RAG preprint; and</w:t>
      </w:r>
      <w:r>
        <w:t xml:space="preserve"> </w:t>
      </w:r>
      <w:r>
        <w:rPr>
          <w:b/>
          <w:bCs/>
        </w:rPr>
        <w:t xml:space="preserve">citation/evidence verification</w:t>
      </w:r>
      <w:r>
        <w:t xml:space="preserve"> </w:t>
      </w:r>
      <w:r>
        <w:t xml:space="preserve">systems such as Citation-Enforced RAG, CiteFix, VeriCite, SourceCheckup, and GroundedCache.</w:t>
      </w:r>
      <w:r>
        <w:t xml:space="preserve"> </w:t>
      </w:r>
      <w:hyperlink r:id="rId21">
        <w:r>
          <w:rPr>
            <w:rStyle w:val="Hyperlink"/>
          </w:rPr>
          <w:t xml:space="preserve">[1]</w:t>
        </w:r>
      </w:hyperlink>
    </w:p>
    <w:p>
      <w:pPr>
        <w:pStyle w:val="BodyText"/>
      </w:pPr>
      <w:r>
        <w:t xml:space="preserve">The strongest novelty threats are</w:t>
      </w:r>
      <w:r>
        <w:t xml:space="preserve"> </w:t>
      </w:r>
      <w:r>
        <w:rPr>
          <w:b/>
          <w:bCs/>
        </w:rPr>
        <w:t xml:space="preserve">not</w:t>
      </w:r>
      <w:r>
        <w:t xml:space="preserve"> </w:t>
      </w:r>
      <w:r>
        <w:t xml:space="preserve">the browser-local pieces alone. They are the papers that already get close on</w:t>
      </w:r>
      <w:r>
        <w:t xml:space="preserve"> </w:t>
      </w:r>
      <w:r>
        <w:rPr>
          <w:b/>
          <w:bCs/>
        </w:rPr>
        <w:t xml:space="preserve">deterministic routing</w:t>
      </w:r>
      <w:r>
        <w:t xml:space="preserve"> </w:t>
      </w:r>
      <w:r>
        <w:t xml:space="preserve">or</w:t>
      </w:r>
      <w:r>
        <w:t xml:space="preserve"> </w:t>
      </w:r>
      <w:r>
        <w:rPr>
          <w:b/>
          <w:bCs/>
        </w:rPr>
        <w:t xml:space="preserve">evidence-constrained answering</w:t>
      </w:r>
      <w:r>
        <w:t xml:space="preserve">: the clinical-counseling preprint with hard-coded crisis bypass and 1,895-case zero-failure operation, Citation-Enforced RAG with evidence-only prompting plus citation validation and abstention, and CiteFix/VeriCite with post-generation citation verification or refinement. If your paper overclaims novelty on “deterministic guardrails,” “citation-grounded RAG,” or “post-generation correction,” reviewers could reasonably push back with those works.</w:t>
      </w:r>
      <w:r>
        <w:t xml:space="preserve"> </w:t>
      </w:r>
      <w:hyperlink r:id="rId22">
        <w:r>
          <w:rPr>
            <w:rStyle w:val="Hyperlink"/>
          </w:rPr>
          <w:t xml:space="preserve">[2]</w:t>
        </w:r>
      </w:hyperlink>
    </w:p>
    <w:p>
      <w:pPr>
        <w:pStyle w:val="BodyText"/>
      </w:pPr>
      <w:r>
        <w:t xml:space="preserve">The clearest defensible gap is the</w:t>
      </w:r>
      <w:r>
        <w:t xml:space="preserve"> </w:t>
      </w:r>
      <w:r>
        <w:rPr>
          <w:b/>
          <w:bCs/>
        </w:rPr>
        <w:t xml:space="preserve">integration</w:t>
      </w:r>
      <w:r>
        <w:t xml:space="preserve">: I did not find a prior system that unifies</w:t>
      </w:r>
      <w:r>
        <w:t xml:space="preserve"> </w:t>
      </w:r>
      <w:r>
        <w:rPr>
          <w:b/>
          <w:bCs/>
        </w:rPr>
        <w:t xml:space="preserve">browser/WebGPU local inference</w:t>
      </w:r>
      <w:r>
        <w:t xml:space="preserve"> </w:t>
      </w:r>
      <w:r>
        <w:t xml:space="preserve">with</w:t>
      </w:r>
      <w:r>
        <w:t xml:space="preserve"> </w:t>
      </w:r>
      <w:r>
        <w:rPr>
          <w:b/>
          <w:bCs/>
        </w:rPr>
        <w:t xml:space="preserve">local evidence retrieval</w:t>
      </w:r>
      <w:r>
        <w:t xml:space="preserve">,</w:t>
      </w:r>
      <w:r>
        <w:t xml:space="preserve"> </w:t>
      </w:r>
      <w:r>
        <w:rPr>
          <w:b/>
          <w:bCs/>
        </w:rPr>
        <w:t xml:space="preserve">deterministic answer lanes</w:t>
      </w:r>
      <w:r>
        <w:t xml:space="preserve">, and</w:t>
      </w:r>
      <w:r>
        <w:t xml:space="preserve"> </w:t>
      </w:r>
      <w:r>
        <w:rPr>
          <w:b/>
          <w:bCs/>
        </w:rPr>
        <w:t xml:space="preserve">runtime contract-grounded post-processing</w:t>
      </w:r>
      <w:r>
        <w:t xml:space="preserve"> </w:t>
      </w:r>
      <w:r>
        <w:t xml:space="preserve">as a single hybrid runtime, then evaluates that runtime with</w:t>
      </w:r>
      <w:r>
        <w:t xml:space="preserve"> </w:t>
      </w:r>
      <w:r>
        <w:rPr>
          <w:b/>
          <w:bCs/>
        </w:rPr>
        <w:t xml:space="preserve">explicit latency decomposition</w:t>
      </w:r>
      <w:r>
        <w:t xml:space="preserve"> </w:t>
      </w:r>
      <w:r>
        <w:t xml:space="preserve">and</w:t>
      </w:r>
      <w:r>
        <w:t xml:space="preserve"> </w:t>
      </w:r>
      <w:r>
        <w:rPr>
          <w:b/>
          <w:bCs/>
        </w:rPr>
        <w:t xml:space="preserve">contract-failure counting</w:t>
      </w:r>
      <w:r>
        <w:t xml:space="preserve"> </w:t>
      </w:r>
      <w:r>
        <w:t xml:space="preserve">rather than relying mainly on judge scores or citation-quality percentages.</w:t>
      </w:r>
      <w:r>
        <w:t xml:space="preserve"> </w:t>
      </w:r>
      <w:hyperlink r:id="rId21">
        <w:r>
          <w:rPr>
            <w:rStyle w:val="Hyperlink"/>
          </w:rPr>
          <w:t xml:space="preserve">[3]</w:t>
        </w:r>
      </w:hyperlink>
    </w:p>
    <w:bookmarkEnd w:id="23"/>
    <w:bookmarkStart w:id="35" w:name="closest-related-works"/>
    <w:p>
      <w:pPr>
        <w:pStyle w:val="Heading2"/>
      </w:pPr>
      <w:r>
        <w:t xml:space="preserve">Closest related works</w:t>
      </w:r>
    </w:p>
    <w:p>
      <w:pPr>
        <w:pStyle w:val="FirstParagraph"/>
      </w:pPr>
      <w:r>
        <w:rPr>
          <w:b/>
          <w:bCs/>
        </w:rPr>
        <w:t xml:space="preserve">Legend:</w:t>
      </w:r>
      <w:r>
        <w:t xml:space="preserve"> </w:t>
      </w:r>
      <w:r>
        <w:rPr>
          <w:b/>
          <w:bCs/>
        </w:rPr>
        <w:t xml:space="preserve">Y</w:t>
      </w:r>
      <w:r>
        <w:t xml:space="preserve"> </w:t>
      </w:r>
      <w:r>
        <w:t xml:space="preserve">= explicit,</w:t>
      </w:r>
      <w:r>
        <w:t xml:space="preserve"> </w:t>
      </w:r>
      <w:r>
        <w:rPr>
          <w:b/>
          <w:bCs/>
        </w:rPr>
        <w:t xml:space="preserve">P</w:t>
      </w:r>
      <w:r>
        <w:t xml:space="preserve"> </w:t>
      </w:r>
      <w:r>
        <w:t xml:space="preserve">= partial or adjacent,</w:t>
      </w:r>
      <w:r>
        <w:t xml:space="preserve"> </w:t>
      </w:r>
      <w:r>
        <w:rPr>
          <w:b/>
          <w:bCs/>
        </w:rPr>
        <w:t xml:space="preserve">N</w:t>
      </w:r>
      <w:r>
        <w:t xml:space="preserve"> </w:t>
      </w:r>
      <w:r>
        <w:t xml:space="preserve">= not found in the cited source.</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paper/tool</w:t>
            </w:r>
          </w:p>
        </w:tc>
        <w:tc>
          <w:tcPr/>
          <w:p>
            <w:pPr>
              <w:pStyle w:val="Compact"/>
              <w:jc w:val="right"/>
            </w:pPr>
            <w:r>
              <w:t xml:space="preserve">year</w:t>
            </w:r>
          </w:p>
        </w:tc>
        <w:tc>
          <w:tcPr/>
          <w:p>
            <w:pPr>
              <w:pStyle w:val="Compact"/>
            </w:pPr>
            <w:r>
              <w:t xml:space="preserve">local/browser/on-device?</w:t>
            </w:r>
          </w:p>
        </w:tc>
        <w:tc>
          <w:tcPr/>
          <w:p>
            <w:pPr>
              <w:pStyle w:val="Compact"/>
              <w:jc w:val="right"/>
            </w:pPr>
            <w:r>
              <w:t xml:space="preserve">RAG?</w:t>
            </w:r>
          </w:p>
        </w:tc>
        <w:tc>
          <w:tcPr/>
          <w:p>
            <w:pPr>
              <w:pStyle w:val="Compact"/>
              <w:jc w:val="right"/>
            </w:pPr>
            <w:r>
              <w:t xml:space="preserve">deterministic bypass lanes?</w:t>
            </w:r>
          </w:p>
        </w:tc>
        <w:tc>
          <w:tcPr/>
          <w:p>
            <w:pPr>
              <w:pStyle w:val="Compact"/>
              <w:jc w:val="right"/>
            </w:pPr>
            <w:r>
              <w:t xml:space="preserve">evidence-field contract validation?</w:t>
            </w:r>
          </w:p>
        </w:tc>
        <w:tc>
          <w:tcPr/>
          <w:p>
            <w:pPr>
              <w:pStyle w:val="Compact"/>
              <w:jc w:val="right"/>
            </w:pPr>
            <w:r>
              <w:t xml:space="preserve">post-generation deterministic correction?</w:t>
            </w:r>
          </w:p>
        </w:tc>
        <w:tc>
          <w:tcPr/>
          <w:p>
            <w:pPr>
              <w:pStyle w:val="Compact"/>
              <w:jc w:val="right"/>
            </w:pPr>
            <w:r>
              <w:t xml:space="preserve">latency stratification?</w:t>
            </w:r>
          </w:p>
        </w:tc>
        <w:tc>
          <w:tcPr/>
          <w:p>
            <w:pPr>
              <w:pStyle w:val="Compact"/>
            </w:pPr>
            <w:r>
              <w:t xml:space="preserve">similarity to your target</w:t>
            </w:r>
          </w:p>
        </w:tc>
        <w:tc>
          <w:tcPr/>
          <w:p>
            <w:pPr>
              <w:pStyle w:val="Compact"/>
            </w:pPr>
            <w:r>
              <w:t xml:space="preserve">key difference</w:t>
            </w:r>
          </w:p>
        </w:tc>
      </w:tr>
      <w:tr>
        <w:tc>
          <w:tcPr/>
          <w:p>
            <w:pPr>
              <w:pStyle w:val="Compact"/>
            </w:pPr>
            <w:r>
              <w:rPr>
                <w:b/>
                <w:bCs/>
              </w:rPr>
              <w:t xml:space="preserve">WebLLM</w:t>
            </w:r>
            <w:r>
              <w:t xml:space="preserve"> </w:t>
            </w:r>
            <w:hyperlink r:id="rId21">
              <w:r>
                <w:rPr>
                  <w:rStyle w:val="Hyperlink"/>
                </w:rPr>
                <w:t xml:space="preserve">[4]</w:t>
              </w:r>
            </w:hyperlink>
          </w:p>
        </w:tc>
        <w:tc>
          <w:tcPr/>
          <w:p>
            <w:pPr>
              <w:pStyle w:val="Compact"/>
              <w:jc w:val="right"/>
            </w:pPr>
            <w:r>
              <w:t xml:space="preserve">2024</w:t>
            </w:r>
          </w:p>
        </w:tc>
        <w:tc>
          <w:tcPr/>
          <w:p>
            <w:pPr>
              <w:pStyle w:val="Compact"/>
            </w:pPr>
            <w:r>
              <w:t xml:space="preserve">Browser / WebGPU</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c>
          <w:tcPr/>
          <w:p>
            <w:pPr>
              <w:pStyle w:val="Compact"/>
            </w:pPr>
            <w:r>
              <w:t xml:space="preserve">Low</w:t>
            </w:r>
          </w:p>
        </w:tc>
        <w:tc>
          <w:tcPr/>
          <w:p>
            <w:pPr>
              <w:pStyle w:val="Compact"/>
            </w:pPr>
            <w:r>
              <w:t xml:space="preserve">Strongest browser-local inference paper, but it is an inference engine rather than a grounded QA/control architecture.</w:t>
            </w:r>
            <w:r>
              <w:t xml:space="preserve"> </w:t>
            </w:r>
            <w:hyperlink r:id="rId21">
              <w:r>
                <w:rPr>
                  <w:rStyle w:val="Hyperlink"/>
                </w:rPr>
                <w:t xml:space="preserve">[4]</w:t>
              </w:r>
            </w:hyperlink>
          </w:p>
        </w:tc>
      </w:tr>
      <w:tr>
        <w:tc>
          <w:tcPr/>
          <w:p>
            <w:pPr>
              <w:pStyle w:val="Compact"/>
            </w:pPr>
            <w:r>
              <w:rPr>
                <w:b/>
                <w:bCs/>
              </w:rPr>
              <w:t xml:space="preserve">MeMemo + RAG Playground</w:t>
            </w:r>
            <w:r>
              <w:t xml:space="preserve"> </w:t>
            </w:r>
            <w:hyperlink r:id="rId24">
              <w:r>
                <w:rPr>
                  <w:rStyle w:val="Hyperlink"/>
                </w:rPr>
                <w:t xml:space="preserve">[5]</w:t>
              </w:r>
            </w:hyperlink>
          </w:p>
        </w:tc>
        <w:tc>
          <w:tcPr/>
          <w:p>
            <w:pPr>
              <w:pStyle w:val="Compact"/>
              <w:jc w:val="right"/>
            </w:pPr>
            <w:r>
              <w:t xml:space="preserve">2024</w:t>
            </w:r>
          </w:p>
        </w:tc>
        <w:tc>
          <w:tcPr/>
          <w:p>
            <w:pPr>
              <w:pStyle w:val="Compact"/>
            </w:pPr>
            <w:r>
              <w:t xml:space="preserve">Browser</w:t>
            </w:r>
          </w:p>
        </w:tc>
        <w:tc>
          <w:tcPr/>
          <w:p>
            <w:pPr>
              <w:pStyle w:val="Compact"/>
              <w:jc w:val="right"/>
            </w:pPr>
            <w:r>
              <w:t xml:space="preserve">Y</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c>
          <w:tcPr/>
          <w:p>
            <w:pPr>
              <w:pStyle w:val="Compact"/>
            </w:pPr>
            <w:r>
              <w:t xml:space="preserve">Medium</w:t>
            </w:r>
          </w:p>
        </w:tc>
        <w:tc>
          <w:tcPr/>
          <w:p>
            <w:pPr>
              <w:pStyle w:val="Compact"/>
            </w:pPr>
            <w:r>
              <w:t xml:space="preserve">Very close on</w:t>
            </w:r>
            <w:r>
              <w:t xml:space="preserve"> </w:t>
            </w:r>
            <w:r>
              <w:rPr>
                <w:b/>
                <w:bCs/>
              </w:rPr>
              <w:t xml:space="preserve">in-browser local retrieval/RAG prototyping</w:t>
            </w:r>
            <w:r>
              <w:t xml:space="preserve">, but no deterministic routing, contract enforcement, or correction layer.</w:t>
            </w:r>
            <w:r>
              <w:t xml:space="preserve"> </w:t>
            </w:r>
            <w:hyperlink r:id="rId24">
              <w:r>
                <w:rPr>
                  <w:rStyle w:val="Hyperlink"/>
                </w:rPr>
                <w:t xml:space="preserve">[5]</w:t>
              </w:r>
            </w:hyperlink>
          </w:p>
        </w:tc>
      </w:tr>
      <w:tr>
        <w:tc>
          <w:tcPr/>
          <w:p>
            <w:pPr>
              <w:pStyle w:val="Compact"/>
            </w:pPr>
            <w:r>
              <w:rPr>
                <w:b/>
                <w:bCs/>
              </w:rPr>
              <w:t xml:space="preserve">MobileRAG</w:t>
            </w:r>
            <w:r>
              <w:t xml:space="preserve"> </w:t>
            </w:r>
            <w:hyperlink r:id="rId25">
              <w:r>
                <w:rPr>
                  <w:rStyle w:val="Hyperlink"/>
                </w:rPr>
                <w:t xml:space="preserve">[6]</w:t>
              </w:r>
            </w:hyperlink>
          </w:p>
        </w:tc>
        <w:tc>
          <w:tcPr/>
          <w:p>
            <w:pPr>
              <w:pStyle w:val="Compact"/>
              <w:jc w:val="right"/>
            </w:pPr>
            <w:r>
              <w:t xml:space="preserve">2025</w:t>
            </w:r>
          </w:p>
        </w:tc>
        <w:tc>
          <w:tcPr/>
          <w:p>
            <w:pPr>
              <w:pStyle w:val="Compact"/>
            </w:pPr>
            <w:r>
              <w:t xml:space="preserve">On-device</w:t>
            </w:r>
          </w:p>
        </w:tc>
        <w:tc>
          <w:tcPr/>
          <w:p>
            <w:pPr>
              <w:pStyle w:val="Compact"/>
              <w:jc w:val="right"/>
            </w:pPr>
            <w:r>
              <w:t xml:space="preserve">Y</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c>
          <w:tcPr/>
          <w:p>
            <w:pPr>
              <w:pStyle w:val="Compact"/>
              <w:jc w:val="right"/>
            </w:pPr>
            <w:r>
              <w:t xml:space="preserve">Y</w:t>
            </w:r>
          </w:p>
        </w:tc>
        <w:tc>
          <w:tcPr/>
          <w:p>
            <w:pPr>
              <w:pStyle w:val="Compact"/>
            </w:pPr>
            <w:r>
              <w:t xml:space="preserve">Medium</w:t>
            </w:r>
          </w:p>
        </w:tc>
        <w:tc>
          <w:tcPr/>
          <w:p>
            <w:pPr>
              <w:pStyle w:val="Compact"/>
            </w:pPr>
            <w:r>
              <w:t xml:space="preserve">Strong on fully on-device RAG efficiency, memory, and offline privacy; not about guardrails, evidence contracts, or prose repair.</w:t>
            </w:r>
            <w:r>
              <w:t xml:space="preserve"> </w:t>
            </w:r>
            <w:hyperlink r:id="rId25">
              <w:r>
                <w:rPr>
                  <w:rStyle w:val="Hyperlink"/>
                </w:rPr>
                <w:t xml:space="preserve">[7]</w:t>
              </w:r>
            </w:hyperlink>
          </w:p>
        </w:tc>
      </w:tr>
      <w:tr>
        <w:tc>
          <w:tcPr/>
          <w:p>
            <w:pPr>
              <w:pStyle w:val="Compact"/>
            </w:pPr>
            <w:r>
              <w:rPr>
                <w:b/>
                <w:bCs/>
              </w:rPr>
              <w:t xml:space="preserve">Pocket RAG</w:t>
            </w:r>
            <w:r>
              <w:t xml:space="preserve"> </w:t>
            </w:r>
            <w:hyperlink r:id="rId26">
              <w:r>
                <w:rPr>
                  <w:rStyle w:val="Hyperlink"/>
                </w:rPr>
                <w:t xml:space="preserve">[8]</w:t>
              </w:r>
            </w:hyperlink>
          </w:p>
        </w:tc>
        <w:tc>
          <w:tcPr/>
          <w:p>
            <w:pPr>
              <w:pStyle w:val="Compact"/>
              <w:jc w:val="right"/>
            </w:pPr>
            <w:r>
              <w:t xml:space="preserve">2026</w:t>
            </w:r>
          </w:p>
        </w:tc>
        <w:tc>
          <w:tcPr/>
          <w:p>
            <w:pPr>
              <w:pStyle w:val="Compact"/>
            </w:pPr>
            <w:r>
              <w:t xml:space="preserve">On-device</w:t>
            </w:r>
          </w:p>
        </w:tc>
        <w:tc>
          <w:tcPr/>
          <w:p>
            <w:pPr>
              <w:pStyle w:val="Compact"/>
              <w:jc w:val="right"/>
            </w:pPr>
            <w:r>
              <w:t xml:space="preserve">Y</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c>
          <w:tcPr/>
          <w:p>
            <w:pPr>
              <w:pStyle w:val="Compact"/>
              <w:jc w:val="right"/>
            </w:pPr>
            <w:r>
              <w:t xml:space="preserve">P</w:t>
            </w:r>
          </w:p>
        </w:tc>
        <w:tc>
          <w:tcPr/>
          <w:p>
            <w:pPr>
              <w:pStyle w:val="Compact"/>
            </w:pPr>
            <w:r>
              <w:t xml:space="preserve">Medium</w:t>
            </w:r>
          </w:p>
        </w:tc>
        <w:tc>
          <w:tcPr/>
          <w:p>
            <w:pPr>
              <w:pStyle w:val="Compact"/>
            </w:pPr>
            <w:r>
              <w:t xml:space="preserve">Strong offline mobile RAG with reliability and speed improvement, but no deterministic bypass or evidence-contract validation.</w:t>
            </w:r>
            <w:r>
              <w:t xml:space="preserve"> </w:t>
            </w:r>
            <w:hyperlink r:id="rId26">
              <w:r>
                <w:rPr>
                  <w:rStyle w:val="Hyperlink"/>
                </w:rPr>
                <w:t xml:space="preserve">[8]</w:t>
              </w:r>
            </w:hyperlink>
          </w:p>
        </w:tc>
      </w:tr>
      <w:tr>
        <w:tc>
          <w:tcPr/>
          <w:p>
            <w:pPr>
              <w:pStyle w:val="Compact"/>
            </w:pPr>
            <w:r>
              <w:rPr>
                <w:b/>
                <w:bCs/>
              </w:rPr>
              <w:t xml:space="preserve">NeMo Guardrails</w:t>
            </w:r>
            <w:r>
              <w:t xml:space="preserve"> </w:t>
            </w:r>
            <w:hyperlink r:id="rId27">
              <w:r>
                <w:rPr>
                  <w:rStyle w:val="Hyperlink"/>
                </w:rPr>
                <w:t xml:space="preserve">[9]</w:t>
              </w:r>
            </w:hyperlink>
          </w:p>
        </w:tc>
        <w:tc>
          <w:tcPr/>
          <w:p>
            <w:pPr>
              <w:pStyle w:val="Compact"/>
              <w:jc w:val="right"/>
            </w:pPr>
            <w:r>
              <w:t xml:space="preserve">2023</w:t>
            </w:r>
          </w:p>
        </w:tc>
        <w:tc>
          <w:tcPr/>
          <w:p>
            <w:pPr>
              <w:pStyle w:val="Compact"/>
            </w:pPr>
            <w:r>
              <w:t xml:space="preserve">No</w:t>
            </w:r>
          </w:p>
        </w:tc>
        <w:tc>
          <w:tcPr/>
          <w:p>
            <w:pPr>
              <w:pStyle w:val="Compact"/>
              <w:jc w:val="right"/>
            </w:pPr>
            <w:r>
              <w:t xml:space="preserve">P</w:t>
            </w:r>
          </w:p>
        </w:tc>
        <w:tc>
          <w:tcPr/>
          <w:p>
            <w:pPr>
              <w:pStyle w:val="Compact"/>
              <w:jc w:val="right"/>
            </w:pPr>
            <w:r>
              <w:t xml:space="preserve">Y</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c>
          <w:tcPr/>
          <w:p>
            <w:pPr>
              <w:pStyle w:val="Compact"/>
            </w:pPr>
            <w:r>
              <w:t xml:space="preserve">Medium</w:t>
            </w:r>
          </w:p>
        </w:tc>
        <w:tc>
          <w:tcPr/>
          <w:p>
            <w:pPr>
              <w:pStyle w:val="Compact"/>
            </w:pPr>
            <w:r>
              <w:t xml:space="preserve">Closest “programmable rails” prior art, but rails are not tied to retrieved-evidence field contracts or browser-local execution.</w:t>
            </w:r>
            <w:r>
              <w:t xml:space="preserve"> </w:t>
            </w:r>
            <w:hyperlink r:id="rId27">
              <w:r>
                <w:rPr>
                  <w:rStyle w:val="Hyperlink"/>
                </w:rPr>
                <w:t xml:space="preserve">[9]</w:t>
              </w:r>
            </w:hyperlink>
          </w:p>
        </w:tc>
      </w:tr>
      <w:tr>
        <w:tc>
          <w:tcPr/>
          <w:p>
            <w:pPr>
              <w:pStyle w:val="Compact"/>
            </w:pPr>
            <w:r>
              <w:rPr>
                <w:b/>
                <w:bCs/>
              </w:rPr>
              <w:t xml:space="preserve">Guardrails AI</w:t>
            </w:r>
            <w:r>
              <w:t xml:space="preserve"> </w:t>
            </w:r>
            <w:hyperlink r:id="rId28">
              <w:r>
                <w:rPr>
                  <w:rStyle w:val="Hyperlink"/>
                </w:rPr>
                <w:t xml:space="preserve">[10]</w:t>
              </w:r>
            </w:hyperlink>
          </w:p>
        </w:tc>
        <w:tc>
          <w:tcPr/>
          <w:p>
            <w:pPr>
              <w:pStyle w:val="Compact"/>
              <w:jc w:val="right"/>
            </w:pPr>
            <w:r>
              <w:t xml:space="preserve">2026</w:t>
            </w:r>
          </w:p>
        </w:tc>
        <w:tc>
          <w:tcPr/>
          <w:p>
            <w:pPr>
              <w:pStyle w:val="Compact"/>
            </w:pPr>
            <w:r>
              <w:t xml:space="preserve">Tool; not inherently local</w:t>
            </w:r>
          </w:p>
        </w:tc>
        <w:tc>
          <w:tcPr/>
          <w:p>
            <w:pPr>
              <w:pStyle w:val="Compact"/>
              <w:jc w:val="right"/>
            </w:pPr>
            <w:r>
              <w:t xml:space="preserve">P</w:t>
            </w:r>
          </w:p>
        </w:tc>
        <w:tc>
          <w:tcPr/>
          <w:p>
            <w:pPr>
              <w:pStyle w:val="Compact"/>
              <w:jc w:val="right"/>
            </w:pPr>
            <w:r>
              <w:t xml:space="preserve">P</w:t>
            </w:r>
          </w:p>
        </w:tc>
        <w:tc>
          <w:tcPr/>
          <w:p>
            <w:pPr>
              <w:pStyle w:val="Compact"/>
              <w:jc w:val="right"/>
            </w:pPr>
            <w:r>
              <w:t xml:space="preserve">N</w:t>
            </w:r>
          </w:p>
        </w:tc>
        <w:tc>
          <w:tcPr/>
          <w:p>
            <w:pPr>
              <w:pStyle w:val="Compact"/>
              <w:jc w:val="right"/>
            </w:pPr>
            <w:r>
              <w:t xml:space="preserve">P</w:t>
            </w:r>
          </w:p>
        </w:tc>
        <w:tc>
          <w:tcPr/>
          <w:p>
            <w:pPr>
              <w:pStyle w:val="Compact"/>
              <w:jc w:val="right"/>
            </w:pPr>
            <w:r>
              <w:t xml:space="preserve">N</w:t>
            </w:r>
          </w:p>
        </w:tc>
        <w:tc>
          <w:tcPr/>
          <w:p>
            <w:pPr>
              <w:pStyle w:val="Compact"/>
            </w:pPr>
            <w:r>
              <w:t xml:space="preserve">Low–Medium</w:t>
            </w:r>
          </w:p>
        </w:tc>
        <w:tc>
          <w:tcPr/>
          <w:p>
            <w:pPr>
              <w:pStyle w:val="Compact"/>
            </w:pPr>
            <w:r>
              <w:t xml:space="preserve">Has validators, structured-output support, and deterministic fix/reask actions, but not retrieval-evidence-bound answer contracts.</w:t>
            </w:r>
            <w:r>
              <w:t xml:space="preserve"> </w:t>
            </w:r>
            <w:hyperlink r:id="rId28">
              <w:r>
                <w:rPr>
                  <w:rStyle w:val="Hyperlink"/>
                </w:rPr>
                <w:t xml:space="preserve">[10]</w:t>
              </w:r>
            </w:hyperlink>
          </w:p>
        </w:tc>
      </w:tr>
      <w:tr>
        <w:tc>
          <w:tcPr/>
          <w:p>
            <w:pPr>
              <w:pStyle w:val="Compact"/>
            </w:pPr>
            <w:r>
              <w:rPr>
                <w:b/>
                <w:bCs/>
              </w:rPr>
              <w:t xml:space="preserve">Citation-Enforced RAG for Fiscal Document Intelligence</w:t>
            </w:r>
            <w:r>
              <w:t xml:space="preserve"> </w:t>
            </w:r>
            <w:hyperlink r:id="rId29">
              <w:r>
                <w:rPr>
                  <w:rStyle w:val="Hyperlink"/>
                </w:rPr>
                <w:t xml:space="preserve">[11]</w:t>
              </w:r>
            </w:hyperlink>
          </w:p>
        </w:tc>
        <w:tc>
          <w:tcPr/>
          <w:p>
            <w:pPr>
              <w:pStyle w:val="Compact"/>
              <w:jc w:val="right"/>
            </w:pPr>
            <w:r>
              <w:t xml:space="preserve">2026</w:t>
            </w:r>
          </w:p>
        </w:tc>
        <w:tc>
          <w:tcPr/>
          <w:p>
            <w:pPr>
              <w:pStyle w:val="Compact"/>
            </w:pPr>
            <w:r>
              <w:t xml:space="preserve">Local-hosted model</w:t>
            </w:r>
          </w:p>
        </w:tc>
        <w:tc>
          <w:tcPr/>
          <w:p>
            <w:pPr>
              <w:pStyle w:val="Compact"/>
              <w:jc w:val="right"/>
            </w:pPr>
            <w:r>
              <w:t xml:space="preserve">Y</w:t>
            </w:r>
          </w:p>
        </w:tc>
        <w:tc>
          <w:tcPr/>
          <w:p>
            <w:pPr>
              <w:pStyle w:val="Compact"/>
              <w:jc w:val="right"/>
            </w:pPr>
            <w:r>
              <w:t xml:space="preserve">P</w:t>
            </w:r>
          </w:p>
        </w:tc>
        <w:tc>
          <w:tcPr/>
          <w:p>
            <w:pPr>
              <w:pStyle w:val="Compact"/>
              <w:jc w:val="right"/>
            </w:pPr>
            <w:r>
              <w:t xml:space="preserve">P</w:t>
            </w:r>
          </w:p>
        </w:tc>
        <w:tc>
          <w:tcPr/>
          <w:p>
            <w:pPr>
              <w:pStyle w:val="Compact"/>
              <w:jc w:val="right"/>
            </w:pPr>
            <w:r>
              <w:t xml:space="preserve">P</w:t>
            </w:r>
          </w:p>
        </w:tc>
        <w:tc>
          <w:tcPr/>
          <w:p>
            <w:pPr>
              <w:pStyle w:val="Compact"/>
              <w:jc w:val="right"/>
            </w:pPr>
            <w:r>
              <w:t xml:space="preserve">N</w:t>
            </w:r>
          </w:p>
        </w:tc>
        <w:tc>
          <w:tcPr/>
          <w:p>
            <w:pPr>
              <w:pStyle w:val="Compact"/>
            </w:pPr>
            <w:r>
              <w:t xml:space="preserve">High</w:t>
            </w:r>
          </w:p>
        </w:tc>
        <w:tc>
          <w:tcPr/>
          <w:p>
            <w:pPr>
              <w:pStyle w:val="Compact"/>
            </w:pPr>
            <w:r>
              <w:t xml:space="preserve">Probably the single closest systems paper: evidence-only prompting, citation enforcement, abstention, and post-generation validation. But evaluation is 55 queries, citation correctness is checked by human review, and there is no browser/on-device WebGPU angle or hybrid latency decomposition.</w:t>
            </w:r>
            <w:r>
              <w:t xml:space="preserve"> </w:t>
            </w:r>
            <w:hyperlink r:id="rId29">
              <w:r>
                <w:rPr>
                  <w:rStyle w:val="Hyperlink"/>
                </w:rPr>
                <w:t xml:space="preserve">[12]</w:t>
              </w:r>
            </w:hyperlink>
          </w:p>
        </w:tc>
      </w:tr>
      <w:tr>
        <w:tc>
          <w:tcPr/>
          <w:p>
            <w:pPr>
              <w:pStyle w:val="Compact"/>
            </w:pPr>
            <w:r>
              <w:rPr>
                <w:b/>
                <w:bCs/>
              </w:rPr>
              <w:t xml:space="preserve">CiteFix</w:t>
            </w:r>
            <w:r>
              <w:t xml:space="preserve"> </w:t>
            </w:r>
            <w:hyperlink r:id="rId30">
              <w:r>
                <w:rPr>
                  <w:rStyle w:val="Hyperlink"/>
                </w:rPr>
                <w:t xml:space="preserve">[13]</w:t>
              </w:r>
            </w:hyperlink>
          </w:p>
        </w:tc>
        <w:tc>
          <w:tcPr/>
          <w:p>
            <w:pPr>
              <w:pStyle w:val="Compact"/>
              <w:jc w:val="right"/>
            </w:pPr>
            <w:r>
              <w:t xml:space="preserve">2025</w:t>
            </w:r>
          </w:p>
        </w:tc>
        <w:tc>
          <w:tcPr/>
          <w:p>
            <w:pPr>
              <w:pStyle w:val="Compact"/>
            </w:pPr>
            <w:r>
              <w:t xml:space="preserve">No</w:t>
            </w:r>
          </w:p>
        </w:tc>
        <w:tc>
          <w:tcPr/>
          <w:p>
            <w:pPr>
              <w:pStyle w:val="Compact"/>
              <w:jc w:val="right"/>
            </w:pPr>
            <w:r>
              <w:t xml:space="preserve">Y</w:t>
            </w:r>
          </w:p>
        </w:tc>
        <w:tc>
          <w:tcPr/>
          <w:p>
            <w:pPr>
              <w:pStyle w:val="Compact"/>
              <w:jc w:val="right"/>
            </w:pPr>
            <w:r>
              <w:t xml:space="preserve">N</w:t>
            </w:r>
          </w:p>
        </w:tc>
        <w:tc>
          <w:tcPr/>
          <w:p>
            <w:pPr>
              <w:pStyle w:val="Compact"/>
              <w:jc w:val="right"/>
            </w:pPr>
            <w:r>
              <w:t xml:space="preserve">P</w:t>
            </w:r>
          </w:p>
        </w:tc>
        <w:tc>
          <w:tcPr/>
          <w:p>
            <w:pPr>
              <w:pStyle w:val="Compact"/>
              <w:jc w:val="right"/>
            </w:pPr>
            <w:r>
              <w:t xml:space="preserve">P</w:t>
            </w:r>
          </w:p>
        </w:tc>
        <w:tc>
          <w:tcPr/>
          <w:p>
            <w:pPr>
              <w:pStyle w:val="Compact"/>
              <w:jc w:val="right"/>
            </w:pPr>
            <w:r>
              <w:t xml:space="preserve">N</w:t>
            </w:r>
          </w:p>
        </w:tc>
        <w:tc>
          <w:tcPr/>
          <w:p>
            <w:pPr>
              <w:pStyle w:val="Compact"/>
            </w:pPr>
            <w:r>
              <w:t xml:space="preserve">High</w:t>
            </w:r>
          </w:p>
        </w:tc>
        <w:tc>
          <w:tcPr/>
          <w:p>
            <w:pPr>
              <w:pStyle w:val="Compact"/>
            </w:pPr>
            <w:r>
              <w:t xml:space="preserve">Closest on post-generation citation repair with low overhead, but it corrects attribution rather than enforcing a runtime evidence-field contract or deterministic answer lanes.</w:t>
            </w:r>
            <w:r>
              <w:t xml:space="preserve"> </w:t>
            </w:r>
            <w:hyperlink r:id="rId30">
              <w:r>
                <w:rPr>
                  <w:rStyle w:val="Hyperlink"/>
                </w:rPr>
                <w:t xml:space="preserve">[13]</w:t>
              </w:r>
            </w:hyperlink>
          </w:p>
        </w:tc>
      </w:tr>
      <w:tr>
        <w:tc>
          <w:tcPr/>
          <w:p>
            <w:pPr>
              <w:pStyle w:val="Compact"/>
            </w:pPr>
            <w:r>
              <w:rPr>
                <w:b/>
                <w:bCs/>
              </w:rPr>
              <w:t xml:space="preserve">VeriCite</w:t>
            </w:r>
            <w:r>
              <w:t xml:space="preserve"> </w:t>
            </w:r>
            <w:hyperlink r:id="rId31">
              <w:r>
                <w:rPr>
                  <w:rStyle w:val="Hyperlink"/>
                </w:rPr>
                <w:t xml:space="preserve">[14]</w:t>
              </w:r>
            </w:hyperlink>
          </w:p>
        </w:tc>
        <w:tc>
          <w:tcPr/>
          <w:p>
            <w:pPr>
              <w:pStyle w:val="Compact"/>
              <w:jc w:val="right"/>
            </w:pPr>
            <w:r>
              <w:t xml:space="preserve">2025</w:t>
            </w:r>
          </w:p>
        </w:tc>
        <w:tc>
          <w:tcPr/>
          <w:p>
            <w:pPr>
              <w:pStyle w:val="Compact"/>
            </w:pPr>
            <w:r>
              <w:t xml:space="preserve">No</w:t>
            </w:r>
          </w:p>
        </w:tc>
        <w:tc>
          <w:tcPr/>
          <w:p>
            <w:pPr>
              <w:pStyle w:val="Compact"/>
              <w:jc w:val="right"/>
            </w:pPr>
            <w:r>
              <w:t xml:space="preserve">Y</w:t>
            </w:r>
          </w:p>
        </w:tc>
        <w:tc>
          <w:tcPr/>
          <w:p>
            <w:pPr>
              <w:pStyle w:val="Compact"/>
              <w:jc w:val="right"/>
            </w:pPr>
            <w:r>
              <w:t xml:space="preserve">N</w:t>
            </w:r>
          </w:p>
        </w:tc>
        <w:tc>
          <w:tcPr/>
          <w:p>
            <w:pPr>
              <w:pStyle w:val="Compact"/>
              <w:jc w:val="right"/>
            </w:pPr>
            <w:r>
              <w:t xml:space="preserve">P</w:t>
            </w:r>
          </w:p>
        </w:tc>
        <w:tc>
          <w:tcPr/>
          <w:p>
            <w:pPr>
              <w:pStyle w:val="Compact"/>
              <w:jc w:val="right"/>
            </w:pPr>
            <w:r>
              <w:t xml:space="preserve">P</w:t>
            </w:r>
          </w:p>
        </w:tc>
        <w:tc>
          <w:tcPr/>
          <w:p>
            <w:pPr>
              <w:pStyle w:val="Compact"/>
              <w:jc w:val="right"/>
            </w:pPr>
            <w:r>
              <w:t xml:space="preserve">N</w:t>
            </w:r>
          </w:p>
        </w:tc>
        <w:tc>
          <w:tcPr/>
          <w:p>
            <w:pPr>
              <w:pStyle w:val="Compact"/>
            </w:pPr>
            <w:r>
              <w:t xml:space="preserve">High</w:t>
            </w:r>
          </w:p>
        </w:tc>
        <w:tc>
          <w:tcPr/>
          <w:p>
            <w:pPr>
              <w:pStyle w:val="Compact"/>
            </w:pPr>
            <w:r>
              <w:t xml:space="preserve">Closest on claim verification + evidence selection + final refinement, but the verification/refinement is still model-based rather than deterministic field-level validation.</w:t>
            </w:r>
            <w:r>
              <w:t xml:space="preserve"> </w:t>
            </w:r>
            <w:hyperlink r:id="rId31">
              <w:r>
                <w:rPr>
                  <w:rStyle w:val="Hyperlink"/>
                </w:rPr>
                <w:t xml:space="preserve">[14]</w:t>
              </w:r>
            </w:hyperlink>
          </w:p>
        </w:tc>
      </w:tr>
      <w:tr>
        <w:tc>
          <w:tcPr/>
          <w:p>
            <w:pPr>
              <w:pStyle w:val="Compact"/>
            </w:pPr>
            <w:r>
              <w:rPr>
                <w:b/>
                <w:bCs/>
              </w:rPr>
              <w:t xml:space="preserve">RAGAS / ARES / TruLens / RAGChecker / RAGVUE</w:t>
            </w:r>
            <w:r>
              <w:t xml:space="preserve"> </w:t>
            </w:r>
            <w:hyperlink r:id="rId32">
              <w:r>
                <w:rPr>
                  <w:rStyle w:val="Hyperlink"/>
                </w:rPr>
                <w:t xml:space="preserve">[15]</w:t>
              </w:r>
            </w:hyperlink>
          </w:p>
        </w:tc>
        <w:tc>
          <w:tcPr/>
          <w:p>
            <w:pPr>
              <w:pStyle w:val="Compact"/>
              <w:jc w:val="right"/>
            </w:pPr>
            <w:r>
              <w:t xml:space="preserve">2023–2026</w:t>
            </w:r>
          </w:p>
        </w:tc>
        <w:tc>
          <w:tcPr/>
          <w:p>
            <w:pPr>
              <w:pStyle w:val="Compact"/>
            </w:pPr>
            <w:r>
              <w:t xml:space="preserve">No</w:t>
            </w:r>
          </w:p>
        </w:tc>
        <w:tc>
          <w:tcPr/>
          <w:p>
            <w:pPr>
              <w:pStyle w:val="Compact"/>
              <w:jc w:val="right"/>
            </w:pPr>
            <w:r>
              <w:t xml:space="preserve">Eval only</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c>
          <w:tcPr/>
          <w:p>
            <w:pPr>
              <w:pStyle w:val="Compact"/>
            </w:pPr>
            <w:r>
              <w:t xml:space="preserve">Medium</w:t>
            </w:r>
          </w:p>
        </w:tc>
        <w:tc>
          <w:tcPr/>
          <w:p>
            <w:pPr>
              <w:pStyle w:val="Compact"/>
            </w:pPr>
            <w:r>
              <w:t xml:space="preserve">These are the dominant RAG evaluation frameworks, but they</w:t>
            </w:r>
            <w:r>
              <w:t xml:space="preserve"> </w:t>
            </w:r>
            <w:r>
              <w:rPr>
                <w:b/>
                <w:bCs/>
              </w:rPr>
              <w:t xml:space="preserve">score or diagnose</w:t>
            </w:r>
            <w:r>
              <w:t xml:space="preserve"> </w:t>
            </w:r>
            <w:r>
              <w:t xml:space="preserve">RAG systems; they do not enforce runtime answer contracts.</w:t>
            </w:r>
            <w:r>
              <w:t xml:space="preserve"> </w:t>
            </w:r>
            <w:hyperlink r:id="rId32">
              <w:r>
                <w:rPr>
                  <w:rStyle w:val="Hyperlink"/>
                </w:rPr>
                <w:t xml:space="preserve">[15]</w:t>
              </w:r>
            </w:hyperlink>
          </w:p>
        </w:tc>
      </w:tr>
      <w:tr>
        <w:tc>
          <w:tcPr/>
          <w:p>
            <w:pPr>
              <w:pStyle w:val="Compact"/>
            </w:pPr>
            <w:r>
              <w:rPr>
                <w:b/>
                <w:bCs/>
              </w:rPr>
              <w:t xml:space="preserve">SourceCheckup / PaperTrail / RefLens</w:t>
            </w:r>
            <w:r>
              <w:t xml:space="preserve"> </w:t>
            </w:r>
            <w:hyperlink r:id="rId33">
              <w:r>
                <w:rPr>
                  <w:rStyle w:val="Hyperlink"/>
                </w:rPr>
                <w:t xml:space="preserve">[16]</w:t>
              </w:r>
            </w:hyperlink>
          </w:p>
        </w:tc>
        <w:tc>
          <w:tcPr/>
          <w:p>
            <w:pPr>
              <w:pStyle w:val="Compact"/>
              <w:jc w:val="right"/>
            </w:pPr>
            <w:r>
              <w:t xml:space="preserve">2025–2026</w:t>
            </w:r>
          </w:p>
        </w:tc>
        <w:tc>
          <w:tcPr/>
          <w:p>
            <w:pPr>
              <w:pStyle w:val="Compact"/>
            </w:pPr>
            <w:r>
              <w:t xml:space="preserve">No</w:t>
            </w:r>
          </w:p>
        </w:tc>
        <w:tc>
          <w:tcPr/>
          <w:p>
            <w:pPr>
              <w:pStyle w:val="Compact"/>
              <w:jc w:val="right"/>
            </w:pPr>
            <w:r>
              <w:t xml:space="preserve">P</w:t>
            </w:r>
          </w:p>
        </w:tc>
        <w:tc>
          <w:tcPr/>
          <w:p>
            <w:pPr>
              <w:pStyle w:val="Compact"/>
              <w:jc w:val="right"/>
            </w:pPr>
            <w:r>
              <w:t xml:space="preserve">N</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c>
          <w:tcPr/>
          <w:p>
            <w:pPr>
              <w:pStyle w:val="Compact"/>
            </w:pPr>
            <w:r>
              <w:t xml:space="preserve">Medium</w:t>
            </w:r>
          </w:p>
        </w:tc>
        <w:tc>
          <w:tcPr/>
          <w:p>
            <w:pPr>
              <w:pStyle w:val="Compact"/>
            </w:pPr>
            <w:r>
              <w:t xml:space="preserve">Very relevant for claim–evidence supportiveness and provenance interfaces, but they are evaluation/verification interfaces, not local/browser hybrid runtime architectures.</w:t>
            </w:r>
            <w:r>
              <w:t xml:space="preserve"> </w:t>
            </w:r>
            <w:hyperlink r:id="rId33">
              <w:r>
                <w:rPr>
                  <w:rStyle w:val="Hyperlink"/>
                </w:rPr>
                <w:t xml:space="preserve">[16]</w:t>
              </w:r>
            </w:hyperlink>
          </w:p>
        </w:tc>
      </w:tr>
      <w:tr>
        <w:tc>
          <w:tcPr/>
          <w:p>
            <w:pPr>
              <w:pStyle w:val="Compact"/>
            </w:pPr>
            <w:r>
              <w:rPr>
                <w:b/>
                <w:bCs/>
              </w:rPr>
              <w:t xml:space="preserve">GroundedCache</w:t>
            </w:r>
            <w:r>
              <w:t xml:space="preserve"> </w:t>
            </w:r>
            <w:hyperlink r:id="rId34">
              <w:r>
                <w:rPr>
                  <w:rStyle w:val="Hyperlink"/>
                </w:rPr>
                <w:t xml:space="preserve">[17]</w:t>
              </w:r>
            </w:hyperlink>
          </w:p>
        </w:tc>
        <w:tc>
          <w:tcPr/>
          <w:p>
            <w:pPr>
              <w:pStyle w:val="Compact"/>
              <w:jc w:val="right"/>
            </w:pPr>
            <w:r>
              <w:t xml:space="preserve">2026</w:t>
            </w:r>
          </w:p>
        </w:tc>
        <w:tc>
          <w:tcPr/>
          <w:p>
            <w:pPr>
              <w:pStyle w:val="Compact"/>
            </w:pPr>
            <w:r>
              <w:t xml:space="preserve">No</w:t>
            </w:r>
          </w:p>
        </w:tc>
        <w:tc>
          <w:tcPr/>
          <w:p>
            <w:pPr>
              <w:pStyle w:val="Compact"/>
              <w:jc w:val="right"/>
            </w:pPr>
            <w:r>
              <w:t xml:space="preserve">Y</w:t>
            </w:r>
          </w:p>
        </w:tc>
        <w:tc>
          <w:tcPr/>
          <w:p>
            <w:pPr>
              <w:pStyle w:val="Compact"/>
              <w:jc w:val="right"/>
            </w:pPr>
            <w:r>
              <w:t xml:space="preserve">Y</w:t>
            </w:r>
          </w:p>
        </w:tc>
        <w:tc>
          <w:tcPr/>
          <w:p>
            <w:pPr>
              <w:pStyle w:val="Compact"/>
              <w:jc w:val="right"/>
            </w:pPr>
            <w:r>
              <w:t xml:space="preserve">P</w:t>
            </w:r>
          </w:p>
        </w:tc>
        <w:tc>
          <w:tcPr/>
          <w:p>
            <w:pPr>
              <w:pStyle w:val="Compact"/>
              <w:jc w:val="right"/>
            </w:pPr>
            <w:r>
              <w:t xml:space="preserve">N</w:t>
            </w:r>
          </w:p>
        </w:tc>
        <w:tc>
          <w:tcPr/>
          <w:p>
            <w:pPr>
              <w:pStyle w:val="Compact"/>
              <w:jc w:val="right"/>
            </w:pPr>
            <w:r>
              <w:t xml:space="preserve">Y</w:t>
            </w:r>
          </w:p>
        </w:tc>
        <w:tc>
          <w:tcPr/>
          <w:p>
            <w:pPr>
              <w:pStyle w:val="Compact"/>
            </w:pPr>
            <w:r>
              <w:t xml:space="preserve">Medium–High</w:t>
            </w:r>
          </w:p>
        </w:tc>
        <w:tc>
          <w:tcPr/>
          <w:p>
            <w:pPr>
              <w:pStyle w:val="Compact"/>
            </w:pPr>
            <w:r>
              <w:t xml:space="preserve">Evidence-validated routing with measurable latency savings is conceptually close, but it governs</w:t>
            </w:r>
            <w:r>
              <w:t xml:space="preserve"> </w:t>
            </w:r>
            <w:r>
              <w:rPr>
                <w:b/>
                <w:bCs/>
              </w:rPr>
              <w:t xml:space="preserve">cache reuse safety</w:t>
            </w:r>
            <w:r>
              <w:t xml:space="preserve">, not end-to-end answer-field contracts or browser-local RAG generation.</w:t>
            </w:r>
            <w:r>
              <w:t xml:space="preserve"> </w:t>
            </w:r>
            <w:hyperlink r:id="rId34">
              <w:r>
                <w:rPr>
                  <w:rStyle w:val="Hyperlink"/>
                </w:rPr>
                <w:t xml:space="preserve">[17]</w:t>
              </w:r>
            </w:hyperlink>
          </w:p>
        </w:tc>
      </w:tr>
      <w:tr>
        <w:tc>
          <w:tcPr/>
          <w:p>
            <w:pPr>
              <w:pStyle w:val="Compact"/>
            </w:pPr>
            <w:r>
              <w:rPr>
                <w:b/>
                <w:bCs/>
              </w:rPr>
              <w:t xml:space="preserve">Deterministic retrieval-grounded clinical counseling preprint</w:t>
            </w:r>
            <w:r>
              <w:t xml:space="preserve"> </w:t>
            </w:r>
            <w:hyperlink r:id="rId22">
              <w:r>
                <w:rPr>
                  <w:rStyle w:val="Hyperlink"/>
                </w:rPr>
                <w:t xml:space="preserve">[18]</w:t>
              </w:r>
            </w:hyperlink>
          </w:p>
        </w:tc>
        <w:tc>
          <w:tcPr/>
          <w:p>
            <w:pPr>
              <w:pStyle w:val="Compact"/>
              <w:jc w:val="right"/>
            </w:pPr>
            <w:r>
              <w:t xml:space="preserve">2026</w:t>
            </w:r>
          </w:p>
        </w:tc>
        <w:tc>
          <w:tcPr/>
          <w:p>
            <w:pPr>
              <w:pStyle w:val="Compact"/>
            </w:pPr>
            <w:r>
              <w:t xml:space="preserve">No</w:t>
            </w:r>
          </w:p>
        </w:tc>
        <w:tc>
          <w:tcPr/>
          <w:p>
            <w:pPr>
              <w:pStyle w:val="Compact"/>
              <w:jc w:val="right"/>
            </w:pPr>
            <w:r>
              <w:t xml:space="preserve">Y</w:t>
            </w:r>
          </w:p>
        </w:tc>
        <w:tc>
          <w:tcPr/>
          <w:p>
            <w:pPr>
              <w:pStyle w:val="Compact"/>
              <w:jc w:val="right"/>
            </w:pPr>
            <w:r>
              <w:t xml:space="preserve">Y</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c>
          <w:tcPr/>
          <w:p>
            <w:pPr>
              <w:pStyle w:val="Compact"/>
            </w:pPr>
            <w:r>
              <w:t xml:space="preserve">High</w:t>
            </w:r>
          </w:p>
        </w:tc>
        <w:tc>
          <w:tcPr/>
          <w:p>
            <w:pPr>
              <w:pStyle w:val="Compact"/>
            </w:pPr>
            <w:r>
              <w:t xml:space="preserve">Important threat on deterministic routing and large-scale reliable execution, but it is domain-specific, not browser/on-device, and its validation is not evidence-field answer contracting.</w:t>
            </w:r>
            <w:r>
              <w:t xml:space="preserve"> </w:t>
            </w:r>
            <w:hyperlink r:id="rId22">
              <w:r>
                <w:rPr>
                  <w:rStyle w:val="Hyperlink"/>
                </w:rPr>
                <w:t xml:space="preserve">[19]</w:t>
              </w:r>
            </w:hyperlink>
          </w:p>
        </w:tc>
      </w:tr>
    </w:tbl>
    <w:bookmarkEnd w:id="35"/>
    <w:bookmarkStart w:id="36" w:name="prior-art-that-matters-most-for-novelty"/>
    <w:p>
      <w:pPr>
        <w:pStyle w:val="Heading2"/>
      </w:pPr>
      <w:r>
        <w:t xml:space="preserve">Prior art that matters most for novelty</w:t>
      </w:r>
    </w:p>
    <w:p>
      <w:pPr>
        <w:pStyle w:val="FirstParagraph"/>
      </w:pPr>
      <w:r>
        <w:t xml:space="preserve">If your main claim is</w:t>
      </w:r>
      <w:r>
        <w:t xml:space="preserve"> </w:t>
      </w:r>
      <w:r>
        <w:rPr>
          <w:b/>
          <w:bCs/>
        </w:rPr>
        <w:t xml:space="preserve">“we combine local/browser inference with local RAG”</w:t>
      </w:r>
      <w:r>
        <w:t xml:space="preserve">, then the novelty is already narrowed by</w:t>
      </w:r>
      <w:r>
        <w:t xml:space="preserve"> </w:t>
      </w:r>
      <w:r>
        <w:rPr>
          <w:b/>
          <w:bCs/>
        </w:rPr>
        <w:t xml:space="preserve">WebLLM</w:t>
      </w:r>
      <w:r>
        <w:t xml:space="preserve">,</w:t>
      </w:r>
      <w:r>
        <w:t xml:space="preserve"> </w:t>
      </w:r>
      <w:r>
        <w:rPr>
          <w:b/>
          <w:bCs/>
        </w:rPr>
        <w:t xml:space="preserve">MeMemo</w:t>
      </w:r>
      <w:r>
        <w:t xml:space="preserve">,</w:t>
      </w:r>
      <w:r>
        <w:t xml:space="preserve"> </w:t>
      </w:r>
      <w:r>
        <w:rPr>
          <w:b/>
          <w:bCs/>
        </w:rPr>
        <w:t xml:space="preserve">MobileRAG</w:t>
      </w:r>
      <w:r>
        <w:t xml:space="preserve">, and</w:t>
      </w:r>
      <w:r>
        <w:t xml:space="preserve"> </w:t>
      </w:r>
      <w:r>
        <w:rPr>
          <w:b/>
          <w:bCs/>
        </w:rPr>
        <w:t xml:space="preserve">Pocket RAG</w:t>
      </w:r>
      <w:r>
        <w:t xml:space="preserve">. WebLLM establishes practical browser-local WebGPU inference; MeMemo explicitly brings in-browser dense retrieval and a local RAG playground; MobileRAG and Pocket RAG show that fully on-device RAG can be made practical and faster in constrained environments. A claim at that granularity will likely read as incremental.</w:t>
      </w:r>
      <w:r>
        <w:t xml:space="preserve"> </w:t>
      </w:r>
      <w:hyperlink r:id="rId21">
        <w:r>
          <w:rPr>
            <w:rStyle w:val="Hyperlink"/>
          </w:rPr>
          <w:t xml:space="preserve">[20]</w:t>
        </w:r>
      </w:hyperlink>
    </w:p>
    <w:p>
      <w:pPr>
        <w:pStyle w:val="BodyText"/>
      </w:pPr>
      <w:r>
        <w:t xml:space="preserve">If your main claim is</w:t>
      </w:r>
      <w:r>
        <w:t xml:space="preserve"> </w:t>
      </w:r>
      <w:r>
        <w:rPr>
          <w:b/>
          <w:bCs/>
        </w:rPr>
        <w:t xml:space="preserve">“we add deterministic rails or bypasses”</w:t>
      </w:r>
      <w:r>
        <w:t xml:space="preserve">, then</w:t>
      </w:r>
      <w:r>
        <w:t xml:space="preserve"> </w:t>
      </w:r>
      <w:r>
        <w:rPr>
          <w:b/>
          <w:bCs/>
        </w:rPr>
        <w:t xml:space="preserve">NeMo Guardrails</w:t>
      </w:r>
      <w:r>
        <w:t xml:space="preserve"> </w:t>
      </w:r>
      <w:r>
        <w:t xml:space="preserve">and the 2026 clinical-counseling preprint are the real comparators. NeMo already frames the idea as “programmable rails,” and the counseling system explicitly routes crisis cases through a hard-coded safety pathway before any generation, later reporting 1,895 cases with zero failures, zero timeouts, and zero unintended diagnostic outputs. That means the novelty cannot simply be “deterministic bypass lanes exist.” It has to be about</w:t>
      </w:r>
      <w:r>
        <w:t xml:space="preserve"> </w:t>
      </w:r>
      <w:r>
        <w:rPr>
          <w:b/>
          <w:bCs/>
        </w:rPr>
        <w:t xml:space="preserve">what lanes</w:t>
      </w:r>
      <w:r>
        <w:t xml:space="preserve">,</w:t>
      </w:r>
      <w:r>
        <w:t xml:space="preserve"> </w:t>
      </w:r>
      <w:r>
        <w:rPr>
          <w:b/>
          <w:bCs/>
        </w:rPr>
        <w:t xml:space="preserve">how they are tied to evidence</w:t>
      </w:r>
      <w:r>
        <w:t xml:space="preserve">, and</w:t>
      </w:r>
      <w:r>
        <w:t xml:space="preserve"> </w:t>
      </w:r>
      <w:r>
        <w:rPr>
          <w:b/>
          <w:bCs/>
        </w:rPr>
        <w:t xml:space="preserve">where they run</w:t>
      </w:r>
      <w:r>
        <w:t xml:space="preserve">.</w:t>
      </w:r>
      <w:r>
        <w:t xml:space="preserve"> </w:t>
      </w:r>
      <w:hyperlink r:id="rId27">
        <w:r>
          <w:rPr>
            <w:rStyle w:val="Hyperlink"/>
          </w:rPr>
          <w:t xml:space="preserve">[21]</w:t>
        </w:r>
      </w:hyperlink>
    </w:p>
    <w:p>
      <w:pPr>
        <w:pStyle w:val="BodyText"/>
      </w:pPr>
      <w:r>
        <w:t xml:space="preserve">If your main claim is</w:t>
      </w:r>
      <w:r>
        <w:t xml:space="preserve"> </w:t>
      </w:r>
      <w:r>
        <w:rPr>
          <w:b/>
          <w:bCs/>
        </w:rPr>
        <w:t xml:space="preserve">“we enforce citations/evidence and repair unsupported answers”</w:t>
      </w:r>
      <w:r>
        <w:t xml:space="preserve">, then</w:t>
      </w:r>
      <w:r>
        <w:t xml:space="preserve"> </w:t>
      </w:r>
      <w:r>
        <w:rPr>
          <w:b/>
          <w:bCs/>
        </w:rPr>
        <w:t xml:space="preserve">Citation-Enforced RAG</w:t>
      </w:r>
      <w:r>
        <w:t xml:space="preserve">,</w:t>
      </w:r>
      <w:r>
        <w:t xml:space="preserve"> </w:t>
      </w:r>
      <w:r>
        <w:rPr>
          <w:b/>
          <w:bCs/>
        </w:rPr>
        <w:t xml:space="preserve">CiteFix</w:t>
      </w:r>
      <w:r>
        <w:t xml:space="preserve">, and</w:t>
      </w:r>
      <w:r>
        <w:t xml:space="preserve"> </w:t>
      </w:r>
      <w:r>
        <w:rPr>
          <w:b/>
          <w:bCs/>
        </w:rPr>
        <w:t xml:space="preserve">VeriCite</w:t>
      </w:r>
      <w:r>
        <w:t xml:space="preserve"> </w:t>
      </w:r>
      <w:r>
        <w:t xml:space="preserve">are the most direct threats. Citation-Enforced RAG already uses evidence-only prompting, paragraph-level citations, a post-generation validation step, and abstention. CiteFix already studies post-processing citation correction with minimal latency impact. VeriCite already uses claim verification via NLI, evidence selection, and final answer refinement. What I did</w:t>
      </w:r>
      <w:r>
        <w:t xml:space="preserve"> </w:t>
      </w:r>
      <w:r>
        <w:rPr>
          <w:b/>
          <w:bCs/>
        </w:rPr>
        <w:t xml:space="preserve">not</w:t>
      </w:r>
      <w:r>
        <w:t xml:space="preserve"> </w:t>
      </w:r>
      <w:r>
        <w:t xml:space="preserve">find is a system that makes these steps into a</w:t>
      </w:r>
      <w:r>
        <w:t xml:space="preserve"> </w:t>
      </w:r>
      <w:r>
        <w:rPr>
          <w:b/>
          <w:bCs/>
        </w:rPr>
        <w:t xml:space="preserve">deterministic evidence-field contract layer</w:t>
      </w:r>
      <w:r>
        <w:t xml:space="preserve"> </w:t>
      </w:r>
      <w:r>
        <w:t xml:space="preserve">in a browser-local runtime. That distinction matters.</w:t>
      </w:r>
      <w:r>
        <w:t xml:space="preserve"> </w:t>
      </w:r>
      <w:hyperlink r:id="rId29">
        <w:r>
          <w:rPr>
            <w:rStyle w:val="Hyperlink"/>
          </w:rPr>
          <w:t xml:space="preserve">[22]</w:t>
        </w:r>
      </w:hyperlink>
    </w:p>
    <w:p>
      <w:pPr>
        <w:pStyle w:val="BodyText"/>
      </w:pPr>
      <w:r>
        <w:t xml:space="preserve">If your main claim is</w:t>
      </w:r>
      <w:r>
        <w:t xml:space="preserve"> </w:t>
      </w:r>
      <w:r>
        <w:rPr>
          <w:b/>
          <w:bCs/>
        </w:rPr>
        <w:t xml:space="preserve">“we measure reliability and latency together”</w:t>
      </w:r>
      <w:r>
        <w:t xml:space="preserve">, then several works partially occupy that space already, but not with your exact contract-centered framing. MobileRAG reports latency, memory, power, and accuracy for on-device RAG. Pocket RAG reports accuracy and a near-4× speedup. EncouRAGe emphasizes local deployment and shows reranking can raise latency with only marginal gains. RAGPerf separates retrieval-system components and measures throughput plus factual consistency. GroundedCache is especially notable because it combines evidence-aware routing with latency reporting. What is still missing, in the literature I found, is</w:t>
      </w:r>
      <w:r>
        <w:t xml:space="preserve"> </w:t>
      </w:r>
      <w:r>
        <w:rPr>
          <w:b/>
          <w:bCs/>
        </w:rPr>
        <w:t xml:space="preserve">contract-failure counting as the primary reliability measure</w:t>
      </w:r>
      <w:r>
        <w:t xml:space="preserve"> </w:t>
      </w:r>
      <w:r>
        <w:t xml:space="preserve">for a local/browser RAG runtime.</w:t>
      </w:r>
      <w:r>
        <w:t xml:space="preserve"> </w:t>
      </w:r>
      <w:hyperlink r:id="rId25">
        <w:r>
          <w:rPr>
            <w:rStyle w:val="Hyperlink"/>
          </w:rPr>
          <w:t xml:space="preserve">[23]</w:t>
        </w:r>
      </w:hyperlink>
    </w:p>
    <w:bookmarkEnd w:id="36"/>
    <w:bookmarkStart w:id="38" w:name="where-the-gap-still-appears-real"/>
    <w:p>
      <w:pPr>
        <w:pStyle w:val="Heading2"/>
      </w:pPr>
      <w:r>
        <w:t xml:space="preserve">Where the gap still appears real</w:t>
      </w:r>
    </w:p>
    <w:p>
      <w:pPr>
        <w:pStyle w:val="FirstParagraph"/>
      </w:pPr>
      <w:r>
        <w:t xml:space="preserve">The most defensible distinctiveness is an</w:t>
      </w:r>
      <w:r>
        <w:t xml:space="preserve"> </w:t>
      </w:r>
      <w:r>
        <w:rPr>
          <w:b/>
          <w:bCs/>
        </w:rPr>
        <w:t xml:space="preserve">integrated hybrid runtime</w:t>
      </w:r>
      <w:r>
        <w:t xml:space="preserve"> </w:t>
      </w:r>
      <w:r>
        <w:t xml:space="preserve">that joins capabilities that the literature mostly treats separately. Browser systems focus on execution and privacy. Guardrail systems focus on safety control and structure. Citation/verification systems focus on provenance and supportiveness. Benchmark papers focus on measurement. I did not find a paper in the searched set that fuses these into one</w:t>
      </w:r>
      <w:r>
        <w:t xml:space="preserve"> </w:t>
      </w:r>
      <w:r>
        <w:rPr>
          <w:b/>
          <w:bCs/>
        </w:rPr>
        <w:t xml:space="preserve">browser-local or WebGPU-based RAG stack</w:t>
      </w:r>
      <w:r>
        <w:t xml:space="preserve"> </w:t>
      </w:r>
      <w:r>
        <w:t xml:space="preserve">with</w:t>
      </w:r>
      <w:r>
        <w:t xml:space="preserve"> </w:t>
      </w:r>
      <w:r>
        <w:rPr>
          <w:b/>
          <w:bCs/>
        </w:rPr>
        <w:t xml:space="preserve">deterministic answer lanes</w:t>
      </w:r>
      <w:r>
        <w:t xml:space="preserve"> </w:t>
      </w:r>
      <w:r>
        <w:t xml:space="preserve">and</w:t>
      </w:r>
      <w:r>
        <w:t xml:space="preserve"> </w:t>
      </w:r>
      <w:r>
        <w:rPr>
          <w:b/>
          <w:bCs/>
        </w:rPr>
        <w:t xml:space="preserve">runtime evidence-contract enforcement</w:t>
      </w:r>
      <w:r>
        <w:t xml:space="preserve">.</w:t>
      </w:r>
      <w:r>
        <w:t xml:space="preserve"> </w:t>
      </w:r>
      <w:hyperlink r:id="rId21">
        <w:r>
          <w:rPr>
            <w:rStyle w:val="Hyperlink"/>
          </w:rPr>
          <w:t xml:space="preserve">[24]</w:t>
        </w:r>
      </w:hyperlink>
    </w:p>
    <w:p>
      <w:pPr>
        <w:pStyle w:val="BodyText"/>
      </w:pPr>
      <w:r>
        <w:t xml:space="preserve">A second real gap is</w:t>
      </w:r>
      <w:r>
        <w:t xml:space="preserve"> </w:t>
      </w:r>
      <w:r>
        <w:rPr>
          <w:b/>
          <w:bCs/>
        </w:rPr>
        <w:t xml:space="preserve">contract-grounded runtime validation</w:t>
      </w:r>
      <w:r>
        <w:t xml:space="preserve"> </w:t>
      </w:r>
      <w:r>
        <w:t xml:space="preserve">rather than post-hoc scoring. The mainstream RAG evaluation literature is dominated by frameworks such as RAGAS, ARES, TruLens, RAGChecker, and RAGVUE, which provide reference-free metrics, judge models, or diagnostic views. These are useful for evaluation, but they do not by themselves constitute a hard runtime guarantee that “every answer field must be supported by retrieved evidence or the system refuses/rewrites deterministically.”</w:t>
      </w:r>
      <w:r>
        <w:t xml:space="preserve"> </w:t>
      </w:r>
      <w:hyperlink r:id="rId32">
        <w:r>
          <w:rPr>
            <w:rStyle w:val="Hyperlink"/>
          </w:rPr>
          <w:t xml:space="preserve">[15]</w:t>
        </w:r>
      </w:hyperlink>
    </w:p>
    <w:p>
      <w:pPr>
        <w:pStyle w:val="BodyText"/>
      </w:pPr>
      <w:r>
        <w:t xml:space="preserve">A third distinct gap is</w:t>
      </w:r>
      <w:r>
        <w:t xml:space="preserve"> </w:t>
      </w:r>
      <w:r>
        <w:rPr>
          <w:b/>
          <w:bCs/>
        </w:rPr>
        <w:t xml:space="preserve">deterministic prose normalization aimed at epistemic overclaiming</w:t>
      </w:r>
      <w:r>
        <w:t xml:space="preserve">. Citation-Enforced RAG instructs the model to avoid speculative language and state limitations explicitly, and CiteFix/VeriCite improve citation support through corrective or refinement loops. But I did not find a surveyed paper that describes a</w:t>
      </w:r>
      <w:r>
        <w:t xml:space="preserve"> </w:t>
      </w:r>
      <w:r>
        <w:rPr>
          <w:b/>
          <w:bCs/>
        </w:rPr>
        <w:t xml:space="preserve">separate deterministic post-generation polishing pass</w:t>
      </w:r>
      <w:r>
        <w:t xml:space="preserve"> </w:t>
      </w:r>
      <w:r>
        <w:t xml:space="preserve">specifically targeting unsupported superlatives such as “first,” “earliest,” unsupported inference markers, or overconfident phrasing in browser/local RAG output.</w:t>
      </w:r>
      <w:r>
        <w:t xml:space="preserve"> </w:t>
      </w:r>
      <w:hyperlink r:id="rId29">
        <w:r>
          <w:rPr>
            <w:rStyle w:val="Hyperlink"/>
          </w:rPr>
          <w:t xml:space="preserve">[25]</w:t>
        </w:r>
      </w:hyperlink>
    </w:p>
    <w:p>
      <w:pPr>
        <w:pStyle w:val="BodyText"/>
      </w:pPr>
      <w:r>
        <w:t xml:space="preserve">A fourth gap is the exact evaluation pattern you described:</w:t>
      </w:r>
      <w:r>
        <w:t xml:space="preserve"> </w:t>
      </w:r>
      <w:r>
        <w:rPr>
          <w:b/>
          <w:bCs/>
        </w:rPr>
        <w:t xml:space="preserve">200–300+ queries, zero contract failures, and explicit hybrid-versus-generation latency decomposition</w:t>
      </w:r>
      <w:r>
        <w:t xml:space="preserve">. The closest high-scale reliability result I found is the 1,895-case clinical-counseling preprint, but that work is not local/browser, does not report the latency split you want, and does not define reliability as zero evidence-contract failures. Citation-Enforced RAG is much closer on answer grounding but evaluates only 55 queries and reports human citation support rather than zero contract failure.</w:t>
      </w:r>
      <w:r>
        <w:t xml:space="preserve"> </w:t>
      </w:r>
      <w:hyperlink r:id="rId22">
        <w:r>
          <w:rPr>
            <w:rStyle w:val="Hyperlink"/>
          </w:rPr>
          <w:t xml:space="preserve">[26]</w:t>
        </w:r>
      </w:hyperlink>
    </w:p>
    <w:bookmarkStart w:id="37" w:name="Xcb4c22e9dc94efd7e28ff98f2d847e8d20d9d6e"/>
    <w:p>
      <w:pPr>
        <w:pStyle w:val="Heading3"/>
      </w:pPr>
      <w:r>
        <w:t xml:space="preserve">Generic guardrails versus contract-grounded post-processing</w:t>
      </w:r>
    </w:p>
    <w:p>
      <w:pPr>
        <w:pStyle w:val="FirstParagraph"/>
      </w:pPr>
      <w:r>
        <w:rPr>
          <w:b/>
          <w:bCs/>
        </w:rPr>
        <w:t xml:space="preserve">Generic guardrails</w:t>
      </w:r>
      <w:r>
        <w:t xml:space="preserve"> </w:t>
      </w:r>
      <w:r>
        <w:t xml:space="preserve">supervise input/output behavior at the level of safety policy, formatting, or conversational flow. NeMo Guardrails adds programmable rails to conversational systems; Guardrails AI provides validators, structured-output generation, and deterministic fix/reask behaviors; Llama Guard is an input/output safeguard classifier. These mechanisms are useful, but they generally answer questions like “Is this safe?”, “Is the JSON valid?”, or “Should this topic be blocked?” rather than “Does each answer field have adequate retrieved evidence?”</w:t>
      </w:r>
      <w:r>
        <w:t xml:space="preserve"> </w:t>
      </w:r>
      <w:hyperlink r:id="rId27">
        <w:r>
          <w:rPr>
            <w:rStyle w:val="Hyperlink"/>
          </w:rPr>
          <w:t xml:space="preserve">[27]</w:t>
        </w:r>
      </w:hyperlink>
    </w:p>
    <w:p>
      <w:pPr>
        <w:pStyle w:val="BodyText"/>
      </w:pPr>
      <w:r>
        <w:rPr>
          <w:b/>
          <w:bCs/>
        </w:rPr>
        <w:t xml:space="preserve">Contract-grounded, evidence-field post-processing</w:t>
      </w:r>
      <w:r>
        <w:t xml:space="preserve"> </w:t>
      </w:r>
      <w:r>
        <w:t xml:space="preserve">is stricter. It binds output structure to retrieved evidence and treats unsupported claims as contract violations. The closest examples I found are Citation-Enforced RAG’s paragraph-level citation requirement with post-generation validation and abstention, VeriCite’s claim verification plus evidence selection plus answer refinement, and claim–evidence analysis tools such as SourceCheckup, PaperTrail, and RefLens. But even these are mostly</w:t>
      </w:r>
      <w:r>
        <w:t xml:space="preserve"> </w:t>
      </w:r>
      <w:r>
        <w:rPr>
          <w:b/>
          <w:bCs/>
        </w:rPr>
        <w:t xml:space="preserve">citation enforcement, evidence-aware refinement, or verification interfaces</w:t>
      </w:r>
      <w:r>
        <w:t xml:space="preserve"> </w:t>
      </w:r>
      <w:r>
        <w:t xml:space="preserve">— not a deterministic browser-local answer-contract runtime in the sense you described.</w:t>
      </w:r>
      <w:r>
        <w:t xml:space="preserve"> </w:t>
      </w:r>
      <w:hyperlink r:id="rId29">
        <w:r>
          <w:rPr>
            <w:rStyle w:val="Hyperlink"/>
          </w:rPr>
          <w:t xml:space="preserve">[28]</w:t>
        </w:r>
      </w:hyperlink>
    </w:p>
    <w:bookmarkEnd w:id="37"/>
    <w:bookmarkEnd w:id="38"/>
    <w:bookmarkStart w:id="41" w:name="reliability-and-latency-in-local-rag"/>
    <w:p>
      <w:pPr>
        <w:pStyle w:val="Heading2"/>
      </w:pPr>
      <w:r>
        <w:t xml:space="preserve">Reliability and latency in local RAG</w:t>
      </w:r>
    </w:p>
    <w:p>
      <w:pPr>
        <w:pStyle w:val="FirstParagraph"/>
      </w:pPr>
      <w:r>
        <w:t xml:space="preserve">There</w:t>
      </w:r>
      <w:r>
        <w:t xml:space="preserve"> </w:t>
      </w:r>
      <w:r>
        <w:rPr>
          <w:b/>
          <w:bCs/>
        </w:rPr>
        <w:t xml:space="preserve">are</w:t>
      </w:r>
      <w:r>
        <w:t xml:space="preserve"> </w:t>
      </w:r>
      <w:r>
        <w:t xml:space="preserve">useful precedents for reporting both answer quality and efficiency in local/on-device RAG, but they stop short of your target contract framing.</w:t>
      </w:r>
      <w:r>
        <w:t xml:space="preserve"> </w:t>
      </w:r>
      <w:r>
        <w:rPr>
          <w:b/>
          <w:bCs/>
        </w:rPr>
        <w:t xml:space="preserve">Pocket RAG</w:t>
      </w:r>
      <w:r>
        <w:t xml:space="preserve"> </w:t>
      </w:r>
      <w:r>
        <w:t xml:space="preserve">is the cleanest applied example: it reports 94.5% accuracy on physical first aid, 97.0% on psychological first aid, and reduces response time from 14.2 seconds to 3.7 seconds on a mobile-friendly offline system. That makes it a strong citation for “local RAG can be evaluated on both reliability and speed.”</w:t>
      </w:r>
      <w:r>
        <w:t xml:space="preserve"> </w:t>
      </w:r>
      <w:hyperlink r:id="rId26">
        <w:r>
          <w:rPr>
            <w:rStyle w:val="Hyperlink"/>
          </w:rPr>
          <w:t xml:space="preserve">[8]</w:t>
        </w:r>
      </w:hyperlink>
    </w:p>
    <w:p>
      <w:pPr>
        <w:pStyle w:val="BodyText"/>
      </w:pPr>
      <w:r>
        <w:rPr>
          <w:b/>
          <w:bCs/>
        </w:rPr>
        <w:t xml:space="preserve">MobileRAG</w:t>
      </w:r>
      <w:r>
        <w:t xml:space="preserve"> </w:t>
      </w:r>
      <w:r>
        <w:t xml:space="preserve">is the strongest systems-style local-RAG citation I found. It explicitly describes a</w:t>
      </w:r>
      <w:r>
        <w:t xml:space="preserve"> </w:t>
      </w:r>
      <w:r>
        <w:rPr>
          <w:b/>
          <w:bCs/>
        </w:rPr>
        <w:t xml:space="preserve">fully on-device pipeline</w:t>
      </w:r>
      <w:r>
        <w:t xml:space="preserve"> </w:t>
      </w:r>
      <w:r>
        <w:t xml:space="preserve">and reports improvements in latency, memory usage, and power consumption while maintaining accuracy and offline privacy. It also discusses accuracy analysis and a separate analysis for small-LM inference latency, which is closer to the latency stratification you want than most RAG papers provide.</w:t>
      </w:r>
      <w:r>
        <w:t xml:space="preserve"> </w:t>
      </w:r>
      <w:hyperlink r:id="rId25">
        <w:r>
          <w:rPr>
            <w:rStyle w:val="Hyperlink"/>
          </w:rPr>
          <w:t xml:space="preserve">[29]</w:t>
        </w:r>
      </w:hyperlink>
    </w:p>
    <w:p>
      <w:pPr>
        <w:pStyle w:val="BodyText"/>
      </w:pPr>
      <w:r>
        <w:rPr>
          <w:b/>
          <w:bCs/>
        </w:rPr>
        <w:t xml:space="preserve">MoRAGBench</w:t>
      </w:r>
      <w:r>
        <w:t xml:space="preserve"> </w:t>
      </w:r>
      <w:r>
        <w:t xml:space="preserve">is useful if you want to cite the existence of a</w:t>
      </w:r>
      <w:r>
        <w:t xml:space="preserve"> </w:t>
      </w:r>
      <w:r>
        <w:rPr>
          <w:b/>
          <w:bCs/>
        </w:rPr>
        <w:t xml:space="preserve">mobile RAG benchmarking framework</w:t>
      </w:r>
      <w:r>
        <w:t xml:space="preserve"> </w:t>
      </w:r>
      <w:r>
        <w:t xml:space="preserve">rather than a single application. It executes entirely on-device, decouples retrieval benchmarking from end-to-end QA benchmarking, and reports task accuracy, latency, throughput, and memory usage on a OnePlus 13 smartphone. The thesis explicitly argues that mobile RAG is a systems problem with trade-offs among accuracy, latency, throughput, and memory, and it reports separate decoding throughput numbers such as a baseline of 10.7 tokens per second.</w:t>
      </w:r>
      <w:r>
        <w:t xml:space="preserve"> </w:t>
      </w:r>
      <w:hyperlink r:id="rId39">
        <w:r>
          <w:rPr>
            <w:rStyle w:val="Hyperlink"/>
          </w:rPr>
          <w:t xml:space="preserve">[30]</w:t>
        </w:r>
      </w:hyperlink>
    </w:p>
    <w:p>
      <w:pPr>
        <w:pStyle w:val="BodyText"/>
      </w:pPr>
      <w:r>
        <w:t xml:space="preserve">For broader benchmarking rather than specifically mobile deployment,</w:t>
      </w:r>
      <w:r>
        <w:t xml:space="preserve"> </w:t>
      </w:r>
      <w:r>
        <w:rPr>
          <w:b/>
          <w:bCs/>
        </w:rPr>
        <w:t xml:space="preserve">EncouRAGe</w:t>
      </w:r>
      <w:r>
        <w:t xml:space="preserve"> </w:t>
      </w:r>
      <w:r>
        <w:t xml:space="preserve">and</w:t>
      </w:r>
      <w:r>
        <w:t xml:space="preserve"> </w:t>
      </w:r>
      <w:r>
        <w:rPr>
          <w:b/>
          <w:bCs/>
        </w:rPr>
        <w:t xml:space="preserve">RAGPerf</w:t>
      </w:r>
      <w:r>
        <w:t xml:space="preserve"> </w:t>
      </w:r>
      <w:r>
        <w:t xml:space="preserve">are also relevant. EncouRAGe emphasizes local deployment and evaluates over 25k QA pairs and 51k documents, finding that reranking often adds latency for only small gains. RAGPerf explicitly decomposes the RAG workflow into embedding, indexing, retrieval, reranking, and generation, and collects both performance and factual-consistency metrics. These are strong comparators if you want to justify separate reporting of retrieval/system cost versus generation cost, even though they are not browser-local systems.</w:t>
      </w:r>
      <w:r>
        <w:t xml:space="preserve"> </w:t>
      </w:r>
      <w:hyperlink r:id="rId40">
        <w:r>
          <w:rPr>
            <w:rStyle w:val="Hyperlink"/>
          </w:rPr>
          <w:t xml:space="preserve">[31]</w:t>
        </w:r>
      </w:hyperlink>
    </w:p>
    <w:bookmarkEnd w:id="41"/>
    <w:bookmarkStart w:id="42" w:name="how-to-phrase-novelty-conservatively"/>
    <w:p>
      <w:pPr>
        <w:pStyle w:val="Heading2"/>
      </w:pPr>
      <w:r>
        <w:t xml:space="preserve">How to phrase novelty conservatively</w:t>
      </w:r>
    </w:p>
    <w:p>
      <w:pPr>
        <w:pStyle w:val="FirstParagraph"/>
      </w:pPr>
      <w:r>
        <w:t xml:space="preserve">The safest novelty framing is</w:t>
      </w:r>
      <w:r>
        <w:t xml:space="preserve"> </w:t>
      </w:r>
      <w:r>
        <w:rPr>
          <w:b/>
          <w:bCs/>
        </w:rPr>
        <w:t xml:space="preserve">not</w:t>
      </w:r>
      <w:r>
        <w:t xml:space="preserve"> </w:t>
      </w:r>
      <w:r>
        <w:t xml:space="preserve">“the first local/browser RAG system,” because WebLLM, MeMemo, MobileRAG, and Pocket RAG already make that too broad. It is also</w:t>
      </w:r>
      <w:r>
        <w:t xml:space="preserve"> </w:t>
      </w:r>
      <w:r>
        <w:rPr>
          <w:b/>
          <w:bCs/>
        </w:rPr>
        <w:t xml:space="preserve">not</w:t>
      </w:r>
      <w:r>
        <w:t xml:space="preserve"> </w:t>
      </w:r>
      <w:r>
        <w:t xml:space="preserve">“the first deterministic guardrail system,” because NeMo Guardrails and the clinical-counseling preprint already cover programmable rails and hard-coded bypass behavior. And it is</w:t>
      </w:r>
      <w:r>
        <w:t xml:space="preserve"> </w:t>
      </w:r>
      <w:r>
        <w:rPr>
          <w:b/>
          <w:bCs/>
        </w:rPr>
        <w:t xml:space="preserve">not</w:t>
      </w:r>
      <w:r>
        <w:t xml:space="preserve"> </w:t>
      </w:r>
      <w:r>
        <w:t xml:space="preserve">“the first citation-grounded RAG” or “the first post-generation correction method,” because Citation-Enforced RAG, CiteFix, and VeriCite already occupy much of that territory.</w:t>
      </w:r>
      <w:r>
        <w:t xml:space="preserve"> </w:t>
      </w:r>
      <w:hyperlink r:id="rId21">
        <w:r>
          <w:rPr>
            <w:rStyle w:val="Hyperlink"/>
          </w:rPr>
          <w:t xml:space="preserve">[32]</w:t>
        </w:r>
      </w:hyperlink>
    </w:p>
    <w:p>
      <w:pPr>
        <w:pStyle w:val="BodyText"/>
      </w:pPr>
      <w:r>
        <w:t xml:space="preserve">A better claim is something like this:</w:t>
      </w:r>
    </w:p>
    <w:p>
      <w:pPr>
        <w:pStyle w:val="BlockText"/>
      </w:pPr>
      <w:r>
        <w:rPr>
          <w:b/>
          <w:bCs/>
        </w:rPr>
        <w:t xml:space="preserve">We present a browser-local hybrid deterministic–generative RAG architecture that combines WebGPU-based local inference, on-device evidence retrieval, deterministic non-generative answer lanes, and runtime evidence-contract enforcement, with explicit latency decomposition and contract-failure accounting.</w:t>
      </w:r>
    </w:p>
    <w:p>
      <w:pPr>
        <w:pStyle w:val="FirstParagraph"/>
      </w:pPr>
      <w:r>
        <w:t xml:space="preserve">That claim is conservative because it makes the novelty about the</w:t>
      </w:r>
      <w:r>
        <w:t xml:space="preserve"> </w:t>
      </w:r>
      <w:r>
        <w:rPr>
          <w:b/>
          <w:bCs/>
        </w:rPr>
        <w:t xml:space="preserve">specific integration</w:t>
      </w:r>
      <w:r>
        <w:t xml:space="preserve"> </w:t>
      </w:r>
      <w:r>
        <w:t xml:space="preserve">and the</w:t>
      </w:r>
      <w:r>
        <w:t xml:space="preserve"> </w:t>
      </w:r>
      <w:r>
        <w:rPr>
          <w:b/>
          <w:bCs/>
        </w:rPr>
        <w:t xml:space="preserve">runtime contract semantics</w:t>
      </w:r>
      <w:r>
        <w:t xml:space="preserve">, not about any one ingredient in isolation. It is also easy to defend against the closest prior art.</w:t>
      </w:r>
      <w:r>
        <w:t xml:space="preserve"> </w:t>
      </w:r>
      <w:hyperlink r:id="rId21">
        <w:r>
          <w:rPr>
            <w:rStyle w:val="Hyperlink"/>
          </w:rPr>
          <w:t xml:space="preserve">[33]</w:t>
        </w:r>
      </w:hyperlink>
    </w:p>
    <w:p>
      <w:pPr>
        <w:pStyle w:val="BodyText"/>
      </w:pPr>
      <w:r>
        <w:t xml:space="preserve">If you also have a deterministic prose-polishing layer, the right wording is:</w:t>
      </w:r>
    </w:p>
    <w:p>
      <w:pPr>
        <w:pStyle w:val="BlockText"/>
      </w:pPr>
      <w:r>
        <w:rPr>
          <w:b/>
          <w:bCs/>
        </w:rPr>
        <w:t xml:space="preserve">We add a deterministic post-generation normalization step that rewrites unsupported or over-strong wording under an evidence contract, rather than relying only on judge scores or model self-critique.</w:t>
      </w:r>
    </w:p>
    <w:p>
      <w:pPr>
        <w:pStyle w:val="FirstParagraph"/>
      </w:pPr>
      <w:r>
        <w:t xml:space="preserve">I found adjacent work on citation correction and answer refinement, but not a clearly matching browser-local deterministic prose-normalization contribution in the searched literature.</w:t>
      </w:r>
      <w:r>
        <w:t xml:space="preserve"> </w:t>
      </w:r>
      <w:hyperlink r:id="rId30">
        <w:r>
          <w:rPr>
            <w:rStyle w:val="Hyperlink"/>
          </w:rPr>
          <w:t xml:space="preserve">[34]</w:t>
        </w:r>
      </w:hyperlink>
    </w:p>
    <w:p>
      <w:pPr>
        <w:pStyle w:val="BodyText"/>
      </w:pPr>
      <w:r>
        <w:t xml:space="preserve">The claim I would</w:t>
      </w:r>
      <w:r>
        <w:t xml:space="preserve"> </w:t>
      </w:r>
      <w:r>
        <w:rPr>
          <w:b/>
          <w:bCs/>
        </w:rPr>
        <w:t xml:space="preserve">avoid</w:t>
      </w:r>
      <w:r>
        <w:t xml:space="preserve"> </w:t>
      </w:r>
      <w:r>
        <w:t xml:space="preserve">is “first trustworthy in-browser RAG.” “Trustworthy” is too broad, and reviewers can point to browser-local inference, browser-local retrieval/RAG, programmable rails, citation enforcement, and supportiveness verification as already-existing components. Your paper looks much stronger if it says</w:t>
      </w:r>
      <w:r>
        <w:t xml:space="preserve"> </w:t>
      </w:r>
      <w:r>
        <w:rPr>
          <w:b/>
          <w:bCs/>
        </w:rPr>
        <w:t xml:space="preserve">which trust guarantee</w:t>
      </w:r>
      <w:r>
        <w:t xml:space="preserve"> </w:t>
      </w:r>
      <w:r>
        <w:t xml:space="preserve">you add: namely,</w:t>
      </w:r>
      <w:r>
        <w:t xml:space="preserve"> </w:t>
      </w:r>
      <w:r>
        <w:rPr>
          <w:b/>
          <w:bCs/>
        </w:rPr>
        <w:t xml:space="preserve">deterministic evidence-contract execution</w:t>
      </w:r>
      <w:r>
        <w:t xml:space="preserve"> </w:t>
      </w:r>
      <w:r>
        <w:t xml:space="preserve">and</w:t>
      </w:r>
      <w:r>
        <w:t xml:space="preserve"> </w:t>
      </w:r>
      <w:r>
        <w:rPr>
          <w:b/>
          <w:bCs/>
        </w:rPr>
        <w:t xml:space="preserve">runtime failure accounting</w:t>
      </w:r>
      <w:r>
        <w:t xml:space="preserve">.</w:t>
      </w:r>
      <w:r>
        <w:t xml:space="preserve"> </w:t>
      </w:r>
      <w:hyperlink r:id="rId21">
        <w:r>
          <w:rPr>
            <w:rStyle w:val="Hyperlink"/>
          </w:rPr>
          <w:t xml:space="preserve">[35]</w:t>
        </w:r>
      </w:hyperlink>
    </w:p>
    <w:bookmarkEnd w:id="42"/>
    <w:bookmarkStart w:id="48" w:name="suggested-citations-and-framing"/>
    <w:p>
      <w:pPr>
        <w:pStyle w:val="Heading2"/>
      </w:pPr>
      <w:r>
        <w:t xml:space="preserve">Suggested citations and framing</w:t>
      </w:r>
    </w:p>
    <w:bookmarkStart w:id="44" w:name="X5d7e5b22057f6f4b003edca6e9e595467ce491d"/>
    <w:p>
      <w:pPr>
        <w:pStyle w:val="Heading3"/>
      </w:pPr>
      <w:r>
        <w:t xml:space="preserve">Recommended citations for the related-work section</w:t>
      </w:r>
    </w:p>
    <w:p>
      <w:pPr>
        <w:pStyle w:val="FirstParagraph"/>
      </w:pPr>
      <w:r>
        <w:t xml:space="preserve">If you want a compact but credible 10-paper/tool related-work set, I would recommend these:</w:t>
      </w:r>
    </w:p>
    <w:p>
      <w:pPr>
        <w:pStyle w:val="Compact"/>
        <w:numPr>
          <w:ilvl w:val="0"/>
          <w:numId w:val="1001"/>
        </w:numPr>
      </w:pPr>
      <w:r>
        <w:rPr>
          <w:b/>
          <w:bCs/>
        </w:rPr>
        <w:t xml:space="preserve">WebLLM</w:t>
      </w:r>
      <w:r>
        <w:t xml:space="preserve"> </w:t>
      </w:r>
      <w:r>
        <w:t xml:space="preserve">for browser-local WebGPU inference. It is the anchor citation for “browser-native LLM inference is practical.”</w:t>
      </w:r>
      <w:r>
        <w:t xml:space="preserve"> </w:t>
      </w:r>
      <w:hyperlink r:id="rId21">
        <w:r>
          <w:rPr>
            <w:rStyle w:val="Hyperlink"/>
          </w:rPr>
          <w:t xml:space="preserve">[4]</w:t>
        </w:r>
      </w:hyperlink>
    </w:p>
    <w:p>
      <w:pPr>
        <w:pStyle w:val="Compact"/>
        <w:numPr>
          <w:ilvl w:val="0"/>
          <w:numId w:val="1001"/>
        </w:numPr>
      </w:pPr>
      <w:r>
        <w:rPr>
          <w:b/>
          <w:bCs/>
        </w:rPr>
        <w:t xml:space="preserve">MeMemo</w:t>
      </w:r>
      <w:r>
        <w:t xml:space="preserve"> </w:t>
      </w:r>
      <w:r>
        <w:t xml:space="preserve">for in-browser retrieval and browser-local RAG prototyping. It is your best citation for browser-side local evidence retrieval.</w:t>
      </w:r>
      <w:r>
        <w:t xml:space="preserve"> </w:t>
      </w:r>
      <w:hyperlink r:id="rId24">
        <w:r>
          <w:rPr>
            <w:rStyle w:val="Hyperlink"/>
          </w:rPr>
          <w:t xml:space="preserve">[5]</w:t>
        </w:r>
      </w:hyperlink>
    </w:p>
    <w:p>
      <w:pPr>
        <w:pStyle w:val="Compact"/>
        <w:numPr>
          <w:ilvl w:val="0"/>
          <w:numId w:val="1001"/>
        </w:numPr>
      </w:pPr>
      <w:r>
        <w:rPr>
          <w:b/>
          <w:bCs/>
        </w:rPr>
        <w:t xml:space="preserve">MobileRAG</w:t>
      </w:r>
      <w:r>
        <w:t xml:space="preserve"> </w:t>
      </w:r>
      <w:r>
        <w:t xml:space="preserve">for fully on-device RAG with explicit efficiency trade-offs.</w:t>
      </w:r>
      <w:r>
        <w:t xml:space="preserve"> </w:t>
      </w:r>
      <w:hyperlink r:id="rId25">
        <w:r>
          <w:rPr>
            <w:rStyle w:val="Hyperlink"/>
          </w:rPr>
          <w:t xml:space="preserve">[6]</w:t>
        </w:r>
      </w:hyperlink>
    </w:p>
    <w:p>
      <w:pPr>
        <w:pStyle w:val="Compact"/>
        <w:numPr>
          <w:ilvl w:val="0"/>
          <w:numId w:val="1001"/>
        </w:numPr>
      </w:pPr>
      <w:r>
        <w:rPr>
          <w:b/>
          <w:bCs/>
        </w:rPr>
        <w:t xml:space="preserve">Pocket RAG</w:t>
      </w:r>
      <w:r>
        <w:t xml:space="preserve"> </w:t>
      </w:r>
      <w:r>
        <w:t xml:space="preserve">for applied offline mobile RAG with both accuracy and latency numbers.</w:t>
      </w:r>
      <w:r>
        <w:t xml:space="preserve"> </w:t>
      </w:r>
      <w:hyperlink r:id="rId26">
        <w:r>
          <w:rPr>
            <w:rStyle w:val="Hyperlink"/>
          </w:rPr>
          <w:t xml:space="preserve">[8]</w:t>
        </w:r>
      </w:hyperlink>
    </w:p>
    <w:p>
      <w:pPr>
        <w:pStyle w:val="Compact"/>
        <w:numPr>
          <w:ilvl w:val="0"/>
          <w:numId w:val="1001"/>
        </w:numPr>
      </w:pPr>
      <w:r>
        <w:rPr>
          <w:b/>
          <w:bCs/>
        </w:rPr>
        <w:t xml:space="preserve">NeMo Guardrails</w:t>
      </w:r>
      <w:r>
        <w:t xml:space="preserve"> </w:t>
      </w:r>
      <w:r>
        <w:t xml:space="preserve">for programmable rails and deterministic conversation control.</w:t>
      </w:r>
      <w:r>
        <w:t xml:space="preserve"> </w:t>
      </w:r>
      <w:hyperlink r:id="rId27">
        <w:r>
          <w:rPr>
            <w:rStyle w:val="Hyperlink"/>
          </w:rPr>
          <w:t xml:space="preserve">[9]</w:t>
        </w:r>
      </w:hyperlink>
    </w:p>
    <w:p>
      <w:pPr>
        <w:pStyle w:val="Compact"/>
        <w:numPr>
          <w:ilvl w:val="0"/>
          <w:numId w:val="1001"/>
        </w:numPr>
      </w:pPr>
      <w:r>
        <w:rPr>
          <w:b/>
          <w:bCs/>
        </w:rPr>
        <w:t xml:space="preserve">Citation-Enforced RAG for Fiscal Document Intelligence</w:t>
      </w:r>
      <w:r>
        <w:t xml:space="preserve"> </w:t>
      </w:r>
      <w:r>
        <w:t xml:space="preserve">for evidence-only prompting, citation enforcement, and abstention in a high-stakes domain.</w:t>
      </w:r>
      <w:r>
        <w:t xml:space="preserve"> </w:t>
      </w:r>
      <w:hyperlink r:id="rId29">
        <w:r>
          <w:rPr>
            <w:rStyle w:val="Hyperlink"/>
          </w:rPr>
          <w:t xml:space="preserve">[12]</w:t>
        </w:r>
      </w:hyperlink>
    </w:p>
    <w:p>
      <w:pPr>
        <w:pStyle w:val="Compact"/>
        <w:numPr>
          <w:ilvl w:val="0"/>
          <w:numId w:val="1001"/>
        </w:numPr>
      </w:pPr>
      <w:r>
        <w:rPr>
          <w:b/>
          <w:bCs/>
        </w:rPr>
        <w:t xml:space="preserve">CiteFix</w:t>
      </w:r>
      <w:r>
        <w:t xml:space="preserve"> </w:t>
      </w:r>
      <w:r>
        <w:t xml:space="preserve">for post-generation citation correction with low latency overhead.</w:t>
      </w:r>
      <w:r>
        <w:t xml:space="preserve"> </w:t>
      </w:r>
      <w:hyperlink r:id="rId30">
        <w:r>
          <w:rPr>
            <w:rStyle w:val="Hyperlink"/>
          </w:rPr>
          <w:t xml:space="preserve">[13]</w:t>
        </w:r>
      </w:hyperlink>
    </w:p>
    <w:p>
      <w:pPr>
        <w:pStyle w:val="Compact"/>
        <w:numPr>
          <w:ilvl w:val="0"/>
          <w:numId w:val="1001"/>
        </w:numPr>
      </w:pPr>
      <w:r>
        <w:rPr>
          <w:b/>
          <w:bCs/>
        </w:rPr>
        <w:t xml:space="preserve">VeriCite</w:t>
      </w:r>
      <w:r>
        <w:t xml:space="preserve"> </w:t>
      </w:r>
      <w:r>
        <w:t xml:space="preserve">for claim verification, support-evidence selection, and refined answer generation.</w:t>
      </w:r>
      <w:r>
        <w:t xml:space="preserve"> </w:t>
      </w:r>
      <w:hyperlink r:id="rId31">
        <w:r>
          <w:rPr>
            <w:rStyle w:val="Hyperlink"/>
          </w:rPr>
          <w:t xml:space="preserve">[14]</w:t>
        </w:r>
      </w:hyperlink>
    </w:p>
    <w:p>
      <w:pPr>
        <w:pStyle w:val="Compact"/>
        <w:numPr>
          <w:ilvl w:val="0"/>
          <w:numId w:val="1001"/>
        </w:numPr>
      </w:pPr>
      <w:r>
        <w:rPr>
          <w:b/>
          <w:bCs/>
        </w:rPr>
        <w:t xml:space="preserve">RAGChecker</w:t>
      </w:r>
      <w:r>
        <w:t xml:space="preserve"> </w:t>
      </w:r>
      <w:r>
        <w:t xml:space="preserve">or</w:t>
      </w:r>
      <w:r>
        <w:t xml:space="preserve"> </w:t>
      </w:r>
      <w:r>
        <w:rPr>
          <w:b/>
          <w:bCs/>
        </w:rPr>
        <w:t xml:space="preserve">ARES</w:t>
      </w:r>
      <w:r>
        <w:t xml:space="preserve"> </w:t>
      </w:r>
      <w:r>
        <w:t xml:space="preserve">as the representative evaluation-framework citation, depending on whether you want fine-grained diagnostics or automated judge-based evaluation.</w:t>
      </w:r>
      <w:r>
        <w:t xml:space="preserve"> </w:t>
      </w:r>
      <w:hyperlink r:id="rId43">
        <w:r>
          <w:rPr>
            <w:rStyle w:val="Hyperlink"/>
          </w:rPr>
          <w:t xml:space="preserve">[36]</w:t>
        </w:r>
      </w:hyperlink>
    </w:p>
    <w:p>
      <w:pPr>
        <w:pStyle w:val="Compact"/>
        <w:numPr>
          <w:ilvl w:val="0"/>
          <w:numId w:val="1001"/>
        </w:numPr>
      </w:pPr>
      <w:r>
        <w:rPr>
          <w:b/>
          <w:bCs/>
        </w:rPr>
        <w:t xml:space="preserve">SourceCheckup</w:t>
      </w:r>
      <w:r>
        <w:t xml:space="preserve"> </w:t>
      </w:r>
      <w:r>
        <w:t xml:space="preserve">for the broader point that cited answers often remain unsupported and that supportiveness must be checked explicitly.</w:t>
      </w:r>
      <w:r>
        <w:t xml:space="preserve"> </w:t>
      </w:r>
      <w:hyperlink r:id="rId33">
        <w:r>
          <w:rPr>
            <w:rStyle w:val="Hyperlink"/>
          </w:rPr>
          <w:t xml:space="preserve">[37]</w:t>
        </w:r>
      </w:hyperlink>
    </w:p>
    <w:p>
      <w:pPr>
        <w:pStyle w:val="FirstParagraph"/>
      </w:pPr>
      <w:r>
        <w:t xml:space="preserve">If you have room for two more, add</w:t>
      </w:r>
      <w:r>
        <w:t xml:space="preserve"> </w:t>
      </w:r>
      <w:r>
        <w:rPr>
          <w:b/>
          <w:bCs/>
        </w:rPr>
        <w:t xml:space="preserve">GroundedCache</w:t>
      </w:r>
      <w:r>
        <w:t xml:space="preserve"> </w:t>
      </w:r>
      <w:r>
        <w:t xml:space="preserve">for evidence-validated routing with latency effects, and</w:t>
      </w:r>
      <w:r>
        <w:t xml:space="preserve"> </w:t>
      </w:r>
      <w:r>
        <w:rPr>
          <w:b/>
          <w:bCs/>
        </w:rPr>
        <w:t xml:space="preserve">PaperTrail</w:t>
      </w:r>
      <w:r>
        <w:t xml:space="preserve"> </w:t>
      </w:r>
      <w:r>
        <w:t xml:space="preserve">or</w:t>
      </w:r>
      <w:r>
        <w:t xml:space="preserve"> </w:t>
      </w:r>
      <w:r>
        <w:rPr>
          <w:b/>
          <w:bCs/>
        </w:rPr>
        <w:t xml:space="preserve">RefLens</w:t>
      </w:r>
      <w:r>
        <w:t xml:space="preserve"> </w:t>
      </w:r>
      <w:r>
        <w:t xml:space="preserve">for claim–evidence provenance and evidence-grounded verification interfaces.</w:t>
      </w:r>
      <w:r>
        <w:t xml:space="preserve"> </w:t>
      </w:r>
      <w:hyperlink r:id="rId34">
        <w:r>
          <w:rPr>
            <w:rStyle w:val="Hyperlink"/>
          </w:rPr>
          <w:t xml:space="preserve">[38]</w:t>
        </w:r>
      </w:hyperlink>
    </w:p>
    <w:bookmarkEnd w:id="44"/>
    <w:bookmarkStart w:id="46" w:name="recommended-framing"/>
    <w:p>
      <w:pPr>
        <w:pStyle w:val="Heading3"/>
      </w:pPr>
      <w:r>
        <w:t xml:space="preserve">Recommended framing</w:t>
      </w:r>
    </w:p>
    <w:p>
      <w:pPr>
        <w:pStyle w:val="FirstParagraph"/>
      </w:pPr>
      <w:r>
        <w:t xml:space="preserve">Based on the literature I found, the contribution should be framed primarily as a</w:t>
      </w:r>
      <w:r>
        <w:t xml:space="preserve"> </w:t>
      </w:r>
      <w:r>
        <w:rPr>
          <w:b/>
          <w:bCs/>
        </w:rPr>
        <w:t xml:space="preserve">system architecture paper</w:t>
      </w:r>
      <w:r>
        <w:t xml:space="preserve">, with a strong</w:t>
      </w:r>
      <w:r>
        <w:t xml:space="preserve"> </w:t>
      </w:r>
      <w:r>
        <w:rPr>
          <w:b/>
          <w:bCs/>
        </w:rPr>
        <w:t xml:space="preserve">measurement-study</w:t>
      </w:r>
      <w:r>
        <w:t xml:space="preserve"> </w:t>
      </w:r>
      <w:r>
        <w:t xml:space="preserve">component. That is the most defensible framing if your core contribution is the composition of browser-local execution, deterministic routing, evidence contracts, post-processing, and latency-aware evaluation.</w:t>
      </w:r>
      <w:r>
        <w:t xml:space="preserve"> </w:t>
      </w:r>
      <w:hyperlink r:id="rId21">
        <w:r>
          <w:rPr>
            <w:rStyle w:val="Hyperlink"/>
          </w:rPr>
          <w:t xml:space="preserve">[39]</w:t>
        </w:r>
      </w:hyperlink>
    </w:p>
    <w:p>
      <w:pPr>
        <w:pStyle w:val="BodyText"/>
      </w:pPr>
      <w:r>
        <w:t xml:space="preserve">It should be framed as a</w:t>
      </w:r>
      <w:r>
        <w:t xml:space="preserve"> </w:t>
      </w:r>
      <w:r>
        <w:rPr>
          <w:b/>
          <w:bCs/>
        </w:rPr>
        <w:t xml:space="preserve">new benchmark</w:t>
      </w:r>
      <w:r>
        <w:t xml:space="preserve"> </w:t>
      </w:r>
      <w:r>
        <w:t xml:space="preserve">only if your query set, contract schema, and failure-analysis harness are public, reusable, and positioned as a standalone evaluation resource in the style of RAGBench, EncouRAGe, or RAGPerf. Otherwise, calling it a benchmark paper would undersell the architectural novelty and invite comparison to papers whose main contribution is evaluation infrastructure.</w:t>
      </w:r>
      <w:r>
        <w:t xml:space="preserve"> </w:t>
      </w:r>
      <w:hyperlink r:id="rId45">
        <w:r>
          <w:rPr>
            <w:rStyle w:val="Hyperlink"/>
          </w:rPr>
          <w:t xml:space="preserve">[40]</w:t>
        </w:r>
      </w:hyperlink>
    </w:p>
    <w:p>
      <w:pPr>
        <w:pStyle w:val="BodyText"/>
      </w:pPr>
      <w:r>
        <w:t xml:space="preserve">It could be framed as an</w:t>
      </w:r>
      <w:r>
        <w:t xml:space="preserve"> </w:t>
      </w:r>
      <w:r>
        <w:rPr>
          <w:b/>
          <w:bCs/>
        </w:rPr>
        <w:t xml:space="preserve">applied method paper</w:t>
      </w:r>
      <w:r>
        <w:t xml:space="preserve"> </w:t>
      </w:r>
      <w:r>
        <w:t xml:space="preserve">if the domain is narrow and the evaluation corpus is mostly domain-specific. But unless the system is heavily domain-bound, I think “applied method” is weaker than “hybrid deterministic-generative architecture for browser-local RAG.” The strongest package is:</w:t>
      </w:r>
      <w:r>
        <w:t xml:space="preserve"> </w:t>
      </w:r>
      <w:r>
        <w:rPr>
          <w:b/>
          <w:bCs/>
        </w:rPr>
        <w:t xml:space="preserve">architecture first, measurement second, benchmark third only if released and reusable.</w:t>
      </w:r>
      <w:r>
        <w:t xml:space="preserve"> </w:t>
      </w:r>
      <w:hyperlink r:id="rId29">
        <w:r>
          <w:rPr>
            <w:rStyle w:val="Hyperlink"/>
          </w:rPr>
          <w:t xml:space="preserve">[41]</w:t>
        </w:r>
      </w:hyperlink>
    </w:p>
    <w:bookmarkEnd w:id="46"/>
    <w:bookmarkStart w:id="47" w:name="open-questions-and-limitations"/>
    <w:p>
      <w:pPr>
        <w:pStyle w:val="Heading3"/>
      </w:pPr>
      <w:r>
        <w:t xml:space="preserve">Open questions and limitations</w:t>
      </w:r>
    </w:p>
    <w:p>
      <w:pPr>
        <w:pStyle w:val="FirstParagraph"/>
      </w:pPr>
      <w:r>
        <w:t xml:space="preserve">A few of the closest conceptual neighbors are</w:t>
      </w:r>
      <w:r>
        <w:t xml:space="preserve"> </w:t>
      </w:r>
      <w:r>
        <w:rPr>
          <w:b/>
          <w:bCs/>
        </w:rPr>
        <w:t xml:space="preserve">very recent 2026 arXiv papers, demos, or preprints</w:t>
      </w:r>
      <w:r>
        <w:t xml:space="preserve">, not yet widely peer-reviewed. The clinical-counseling system and GroundedCache are especially relevant conceptually, but they should be treated as strong prior-art signals rather than settled canon.</w:t>
      </w:r>
      <w:r>
        <w:t xml:space="preserve"> </w:t>
      </w:r>
      <w:hyperlink r:id="rId22">
        <w:r>
          <w:rPr>
            <w:rStyle w:val="Hyperlink"/>
          </w:rPr>
          <w:t xml:space="preserve">[42]</w:t>
        </w:r>
      </w:hyperlink>
    </w:p>
    <w:p>
      <w:pPr>
        <w:pStyle w:val="BodyText"/>
      </w:pPr>
      <w:r>
        <w:t xml:space="preserve">Also,</w:t>
      </w:r>
      <w:r>
        <w:t xml:space="preserve"> </w:t>
      </w:r>
      <w:r>
        <w:rPr>
          <w:b/>
          <w:bCs/>
        </w:rPr>
        <w:t xml:space="preserve">“evidence-field contract validation”</w:t>
      </w:r>
      <w:r>
        <w:t xml:space="preserve"> </w:t>
      </w:r>
      <w:r>
        <w:t xml:space="preserve">is not a standard label in the literature. Existing papers talk instead about</w:t>
      </w:r>
      <w:r>
        <w:t xml:space="preserve"> </w:t>
      </w:r>
      <w:r>
        <w:rPr>
          <w:i/>
          <w:iCs/>
        </w:rPr>
        <w:t xml:space="preserve">citation enforcement</w:t>
      </w:r>
      <w:r>
        <w:t xml:space="preserve">,</w:t>
      </w:r>
      <w:r>
        <w:t xml:space="preserve"> </w:t>
      </w:r>
      <w:r>
        <w:rPr>
          <w:i/>
          <w:iCs/>
        </w:rPr>
        <w:t xml:space="preserve">supportiveness</w:t>
      </w:r>
      <w:r>
        <w:t xml:space="preserve">,</w:t>
      </w:r>
      <w:r>
        <w:t xml:space="preserve"> </w:t>
      </w:r>
      <w:r>
        <w:rPr>
          <w:i/>
          <w:iCs/>
        </w:rPr>
        <w:t xml:space="preserve">abstention</w:t>
      </w:r>
      <w:r>
        <w:t xml:space="preserve">,</w:t>
      </w:r>
      <w:r>
        <w:t xml:space="preserve"> </w:t>
      </w:r>
      <w:r>
        <w:rPr>
          <w:i/>
          <w:iCs/>
        </w:rPr>
        <w:t xml:space="preserve">groundedness</w:t>
      </w:r>
      <w:r>
        <w:t xml:space="preserve">,</w:t>
      </w:r>
      <w:r>
        <w:t xml:space="preserve"> </w:t>
      </w:r>
      <w:r>
        <w:rPr>
          <w:i/>
          <w:iCs/>
        </w:rPr>
        <w:t xml:space="preserve">claim verification</w:t>
      </w:r>
      <w:r>
        <w:t xml:space="preserve">, or</w:t>
      </w:r>
      <w:r>
        <w:t xml:space="preserve"> </w:t>
      </w:r>
      <w:r>
        <w:rPr>
          <w:i/>
          <w:iCs/>
        </w:rPr>
        <w:t xml:space="preserve">structured output constraints</w:t>
      </w:r>
      <w:r>
        <w:t xml:space="preserve">. So the novelty argument must be made at the level of</w:t>
      </w:r>
      <w:r>
        <w:t xml:space="preserve"> </w:t>
      </w:r>
      <w:r>
        <w:rPr>
          <w:b/>
          <w:bCs/>
        </w:rPr>
        <w:t xml:space="preserve">system behavior and guarantees</w:t>
      </w:r>
      <w:r>
        <w:t xml:space="preserve">, not by assuming reviewers already recognize your terminology.</w:t>
      </w:r>
      <w:r>
        <w:t xml:space="preserve"> </w:t>
      </w:r>
      <w:hyperlink r:id="rId29">
        <w:r>
          <w:rPr>
            <w:rStyle w:val="Hyperlink"/>
          </w:rPr>
          <w:t xml:space="preserve">[43]</w:t>
        </w:r>
      </w:hyperlink>
    </w:p>
    <w:bookmarkEnd w:id="47"/>
    <w:bookmarkEnd w:id="48"/>
    <w:bookmarkEnd w:id="49"/>
    <w:bookmarkEnd w:id="50"/>
    <w:p>
      <w:r>
        <w:pict>
          <v:rect style="width:0;height:1.5pt" o:hralign="center" o:hrstd="t" o:hr="t"/>
        </w:pict>
      </w:r>
    </w:p>
    <w:bookmarkStart w:id="51"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[4]</w:t>
        </w:r>
      </w:hyperlink>
      <w:r>
        <w:t xml:space="preserve"> </w:t>
      </w:r>
      <w:hyperlink r:id="rId21">
        <w:r>
          <w:rPr>
            <w:rStyle w:val="Hyperlink"/>
          </w:rPr>
          <w:t xml:space="preserve">[20]</w:t>
        </w:r>
      </w:hyperlink>
      <w:r>
        <w:t xml:space="preserve"> </w:t>
      </w:r>
      <w:hyperlink r:id="rId21">
        <w:r>
          <w:rPr>
            <w:rStyle w:val="Hyperlink"/>
          </w:rPr>
          <w:t xml:space="preserve">[24]</w:t>
        </w:r>
      </w:hyperlink>
      <w:r>
        <w:t xml:space="preserve"> </w:t>
      </w:r>
      <w:hyperlink r:id="rId21">
        <w:r>
          <w:rPr>
            <w:rStyle w:val="Hyperlink"/>
          </w:rPr>
          <w:t xml:space="preserve">[32]</w:t>
        </w:r>
      </w:hyperlink>
      <w:r>
        <w:t xml:space="preserve"> </w:t>
      </w:r>
      <w:hyperlink r:id="rId21">
        <w:r>
          <w:rPr>
            <w:rStyle w:val="Hyperlink"/>
          </w:rPr>
          <w:t xml:space="preserve">[33]</w:t>
        </w:r>
      </w:hyperlink>
      <w:r>
        <w:t xml:space="preserve"> </w:t>
      </w:r>
      <w:hyperlink r:id="rId21">
        <w:r>
          <w:rPr>
            <w:rStyle w:val="Hyperlink"/>
          </w:rPr>
          <w:t xml:space="preserve">[35]</w:t>
        </w:r>
      </w:hyperlink>
      <w:r>
        <w:t xml:space="preserve"> </w:t>
      </w:r>
      <w:hyperlink r:id="rId21">
        <w:r>
          <w:rPr>
            <w:rStyle w:val="Hyperlink"/>
          </w:rPr>
          <w:t xml:space="preserve">[39]</w:t>
        </w:r>
      </w:hyperlink>
      <w:r>
        <w:t xml:space="preserve"> </w:t>
      </w:r>
      <w:r>
        <w:t xml:space="preserve">https://arxiv.org/abs/2412.15803</w:t>
      </w:r>
    </w:p>
    <w:p>
      <w:pPr>
        <w:pStyle w:val="BodyText"/>
      </w:pPr>
      <w:hyperlink r:id="rId21">
        <w:r>
          <w:rPr>
            <w:rStyle w:val="Hyperlink"/>
          </w:rPr>
          <w:t xml:space="preserve">https://arxiv.org/abs/2412.15803</w:t>
        </w:r>
      </w:hyperlink>
    </w:p>
    <w:p>
      <w:pPr>
        <w:pStyle w:val="BodyText"/>
      </w:pPr>
      <w:hyperlink r:id="rId22">
        <w:r>
          <w:rPr>
            <w:rStyle w:val="Hyperlink"/>
          </w:rPr>
          <w:t xml:space="preserve">[2]</w:t>
        </w:r>
      </w:hyperlink>
      <w:r>
        <w:t xml:space="preserve"> </w:t>
      </w:r>
      <w:hyperlink r:id="rId22">
        <w:r>
          <w:rPr>
            <w:rStyle w:val="Hyperlink"/>
          </w:rPr>
          <w:t xml:space="preserve">[18]</w:t>
        </w:r>
      </w:hyperlink>
      <w:r>
        <w:t xml:space="preserve"> </w:t>
      </w:r>
      <w:hyperlink r:id="rId22">
        <w:r>
          <w:rPr>
            <w:rStyle w:val="Hyperlink"/>
          </w:rPr>
          <w:t xml:space="preserve">[19]</w:t>
        </w:r>
      </w:hyperlink>
      <w:r>
        <w:t xml:space="preserve"> </w:t>
      </w:r>
      <w:hyperlink r:id="rId22">
        <w:r>
          <w:rPr>
            <w:rStyle w:val="Hyperlink"/>
          </w:rPr>
          <w:t xml:space="preserve">[26]</w:t>
        </w:r>
      </w:hyperlink>
      <w:r>
        <w:t xml:space="preserve"> </w:t>
      </w:r>
      <w:hyperlink r:id="rId22">
        <w:r>
          <w:rPr>
            <w:rStyle w:val="Hyperlink"/>
          </w:rPr>
          <w:t xml:space="preserve">[42]</w:t>
        </w:r>
      </w:hyperlink>
      <w:r>
        <w:t xml:space="preserve"> </w:t>
      </w:r>
      <w:r>
        <w:t xml:space="preserve">https://www.preprints.org/manuscript/202603.1217</w:t>
      </w:r>
    </w:p>
    <w:p>
      <w:pPr>
        <w:pStyle w:val="BodyText"/>
      </w:pPr>
      <w:hyperlink r:id="rId22">
        <w:r>
          <w:rPr>
            <w:rStyle w:val="Hyperlink"/>
          </w:rPr>
          <w:t xml:space="preserve">https://www.preprints.org/manuscript/202603.1217</w:t>
        </w:r>
      </w:hyperlink>
    </w:p>
    <w:p>
      <w:pPr>
        <w:pStyle w:val="BodyText"/>
      </w:pPr>
      <w:hyperlink r:id="rId24">
        <w:r>
          <w:rPr>
            <w:rStyle w:val="Hyperlink"/>
          </w:rPr>
          <w:t xml:space="preserve">[5]</w:t>
        </w:r>
      </w:hyperlink>
      <w:r>
        <w:t xml:space="preserve"> </w:t>
      </w:r>
      <w:r>
        <w:t xml:space="preserve">https://arxiv.org/abs/2407.01972</w:t>
      </w:r>
    </w:p>
    <w:p>
      <w:pPr>
        <w:pStyle w:val="BodyText"/>
      </w:pPr>
      <w:hyperlink r:id="rId24">
        <w:r>
          <w:rPr>
            <w:rStyle w:val="Hyperlink"/>
          </w:rPr>
          <w:t xml:space="preserve">https://arxiv.org/abs/2407.01972</w:t>
        </w:r>
      </w:hyperlink>
    </w:p>
    <w:p>
      <w:pPr>
        <w:pStyle w:val="BodyText"/>
      </w:pPr>
      <w:hyperlink r:id="rId25">
        <w:r>
          <w:rPr>
            <w:rStyle w:val="Hyperlink"/>
          </w:rPr>
          <w:t xml:space="preserve">[6]</w:t>
        </w:r>
      </w:hyperlink>
      <w:r>
        <w:t xml:space="preserve"> </w:t>
      </w:r>
      <w:hyperlink r:id="rId25">
        <w:r>
          <w:rPr>
            <w:rStyle w:val="Hyperlink"/>
          </w:rPr>
          <w:t xml:space="preserve">[7]</w:t>
        </w:r>
      </w:hyperlink>
      <w:r>
        <w:t xml:space="preserve"> </w:t>
      </w:r>
      <w:hyperlink r:id="rId25">
        <w:r>
          <w:rPr>
            <w:rStyle w:val="Hyperlink"/>
          </w:rPr>
          <w:t xml:space="preserve">[23]</w:t>
        </w:r>
      </w:hyperlink>
      <w:r>
        <w:t xml:space="preserve"> </w:t>
      </w:r>
      <w:hyperlink r:id="rId25">
        <w:r>
          <w:rPr>
            <w:rStyle w:val="Hyperlink"/>
          </w:rPr>
          <w:t xml:space="preserve">[29]</w:t>
        </w:r>
      </w:hyperlink>
      <w:r>
        <w:t xml:space="preserve"> </w:t>
      </w:r>
      <w:r>
        <w:t xml:space="preserve">https://arxiv.org/html/2507.01079v1</w:t>
      </w:r>
    </w:p>
    <w:p>
      <w:pPr>
        <w:pStyle w:val="BodyText"/>
      </w:pPr>
      <w:hyperlink r:id="rId25">
        <w:r>
          <w:rPr>
            <w:rStyle w:val="Hyperlink"/>
          </w:rPr>
          <w:t xml:space="preserve">https://arxiv.org/html/2507.01079v1</w:t>
        </w:r>
      </w:hyperlink>
    </w:p>
    <w:p>
      <w:pPr>
        <w:pStyle w:val="BodyText"/>
      </w:pPr>
      <w:hyperlink r:id="rId26">
        <w:r>
          <w:rPr>
            <w:rStyle w:val="Hyperlink"/>
          </w:rPr>
          <w:t xml:space="preserve">[8]</w:t>
        </w:r>
      </w:hyperlink>
      <w:r>
        <w:t xml:space="preserve"> </w:t>
      </w:r>
      <w:r>
        <w:t xml:space="preserve">https://arxiv.org/pdf/2602.13229</w:t>
      </w:r>
    </w:p>
    <w:p>
      <w:pPr>
        <w:pStyle w:val="BodyText"/>
      </w:pPr>
      <w:hyperlink r:id="rId26">
        <w:r>
          <w:rPr>
            <w:rStyle w:val="Hyperlink"/>
          </w:rPr>
          <w:t xml:space="preserve">https://arxiv.org/pdf/2602.13229</w:t>
        </w:r>
      </w:hyperlink>
    </w:p>
    <w:p>
      <w:pPr>
        <w:pStyle w:val="BodyText"/>
      </w:pPr>
      <w:hyperlink r:id="rId27">
        <w:r>
          <w:rPr>
            <w:rStyle w:val="Hyperlink"/>
          </w:rPr>
          <w:t xml:space="preserve">[9]</w:t>
        </w:r>
      </w:hyperlink>
      <w:r>
        <w:t xml:space="preserve"> </w:t>
      </w:r>
      <w:hyperlink r:id="rId27">
        <w:r>
          <w:rPr>
            <w:rStyle w:val="Hyperlink"/>
          </w:rPr>
          <w:t xml:space="preserve">[21]</w:t>
        </w:r>
      </w:hyperlink>
      <w:r>
        <w:t xml:space="preserve"> </w:t>
      </w:r>
      <w:hyperlink r:id="rId27">
        <w:r>
          <w:rPr>
            <w:rStyle w:val="Hyperlink"/>
          </w:rPr>
          <w:t xml:space="preserve">[27]</w:t>
        </w:r>
      </w:hyperlink>
      <w:r>
        <w:t xml:space="preserve"> </w:t>
      </w:r>
      <w:r>
        <w:t xml:space="preserve">https://arxiv.org/abs/2310.10501</w:t>
      </w:r>
    </w:p>
    <w:p>
      <w:pPr>
        <w:pStyle w:val="BodyText"/>
      </w:pPr>
      <w:hyperlink r:id="rId27">
        <w:r>
          <w:rPr>
            <w:rStyle w:val="Hyperlink"/>
          </w:rPr>
          <w:t xml:space="preserve">https://arxiv.org/abs/2310.10501</w:t>
        </w:r>
      </w:hyperlink>
    </w:p>
    <w:p>
      <w:pPr>
        <w:pStyle w:val="BodyText"/>
      </w:pPr>
      <w:hyperlink r:id="rId28">
        <w:r>
          <w:rPr>
            <w:rStyle w:val="Hyperlink"/>
          </w:rPr>
          <w:t xml:space="preserve">[10]</w:t>
        </w:r>
      </w:hyperlink>
      <w:r>
        <w:t xml:space="preserve"> </w:t>
      </w:r>
      <w:r>
        <w:t xml:space="preserve">https://github.com/guardrails-ai/guardrails</w:t>
      </w:r>
    </w:p>
    <w:p>
      <w:pPr>
        <w:pStyle w:val="BodyText"/>
      </w:pPr>
      <w:hyperlink r:id="rId28">
        <w:r>
          <w:rPr>
            <w:rStyle w:val="Hyperlink"/>
          </w:rPr>
          <w:t xml:space="preserve">https://github.com/guardrails-ai/guardrails</w:t>
        </w:r>
      </w:hyperlink>
    </w:p>
    <w:p>
      <w:pPr>
        <w:pStyle w:val="BodyText"/>
      </w:pPr>
      <w:hyperlink r:id="rId29">
        <w:r>
          <w:rPr>
            <w:rStyle w:val="Hyperlink"/>
          </w:rPr>
          <w:t xml:space="preserve">[11]</w:t>
        </w:r>
      </w:hyperlink>
      <w:r>
        <w:t xml:space="preserve"> </w:t>
      </w:r>
      <w:hyperlink r:id="rId29">
        <w:r>
          <w:rPr>
            <w:rStyle w:val="Hyperlink"/>
          </w:rPr>
          <w:t xml:space="preserve">[12]</w:t>
        </w:r>
      </w:hyperlink>
      <w:r>
        <w:t xml:space="preserve"> </w:t>
      </w:r>
      <w:hyperlink r:id="rId29">
        <w:r>
          <w:rPr>
            <w:rStyle w:val="Hyperlink"/>
          </w:rPr>
          <w:t xml:space="preserve">[22]</w:t>
        </w:r>
      </w:hyperlink>
      <w:r>
        <w:t xml:space="preserve"> </w:t>
      </w:r>
      <w:hyperlink r:id="rId29">
        <w:r>
          <w:rPr>
            <w:rStyle w:val="Hyperlink"/>
          </w:rPr>
          <w:t xml:space="preserve">[25]</w:t>
        </w:r>
      </w:hyperlink>
      <w:r>
        <w:t xml:space="preserve"> </w:t>
      </w:r>
      <w:hyperlink r:id="rId29">
        <w:r>
          <w:rPr>
            <w:rStyle w:val="Hyperlink"/>
          </w:rPr>
          <w:t xml:space="preserve">[28]</w:t>
        </w:r>
      </w:hyperlink>
      <w:r>
        <w:t xml:space="preserve"> </w:t>
      </w:r>
      <w:hyperlink r:id="rId29">
        <w:r>
          <w:rPr>
            <w:rStyle w:val="Hyperlink"/>
          </w:rPr>
          <w:t xml:space="preserve">[41]</w:t>
        </w:r>
      </w:hyperlink>
      <w:r>
        <w:t xml:space="preserve"> </w:t>
      </w:r>
      <w:hyperlink r:id="rId29">
        <w:r>
          <w:rPr>
            <w:rStyle w:val="Hyperlink"/>
          </w:rPr>
          <w:t xml:space="preserve">[43]</w:t>
        </w:r>
      </w:hyperlink>
      <w:r>
        <w:t xml:space="preserve"> </w:t>
      </w:r>
      <w:r>
        <w:t xml:space="preserve">https://arxiv.org/html/2603.14170v1</w:t>
      </w:r>
    </w:p>
    <w:p>
      <w:pPr>
        <w:pStyle w:val="BodyText"/>
      </w:pPr>
      <w:hyperlink r:id="rId29">
        <w:r>
          <w:rPr>
            <w:rStyle w:val="Hyperlink"/>
          </w:rPr>
          <w:t xml:space="preserve">https://arxiv.org/html/2603.14170v1</w:t>
        </w:r>
      </w:hyperlink>
    </w:p>
    <w:p>
      <w:pPr>
        <w:pStyle w:val="BodyText"/>
      </w:pPr>
      <w:hyperlink r:id="rId30">
        <w:r>
          <w:rPr>
            <w:rStyle w:val="Hyperlink"/>
          </w:rPr>
          <w:t xml:space="preserve">[13]</w:t>
        </w:r>
      </w:hyperlink>
      <w:r>
        <w:t xml:space="preserve"> </w:t>
      </w:r>
      <w:hyperlink r:id="rId30">
        <w:r>
          <w:rPr>
            <w:rStyle w:val="Hyperlink"/>
          </w:rPr>
          <w:t xml:space="preserve">[34]</w:t>
        </w:r>
      </w:hyperlink>
      <w:r>
        <w:t xml:space="preserve"> </w:t>
      </w:r>
      <w:r>
        <w:t xml:space="preserve">https://arxiv.org/abs/2504.15629</w:t>
      </w:r>
    </w:p>
    <w:p>
      <w:pPr>
        <w:pStyle w:val="BodyText"/>
      </w:pPr>
      <w:hyperlink r:id="rId30">
        <w:r>
          <w:rPr>
            <w:rStyle w:val="Hyperlink"/>
          </w:rPr>
          <w:t xml:space="preserve">https://arxiv.org/abs/2504.15629</w:t>
        </w:r>
      </w:hyperlink>
    </w:p>
    <w:p>
      <w:pPr>
        <w:pStyle w:val="BodyText"/>
      </w:pPr>
      <w:hyperlink r:id="rId31">
        <w:r>
          <w:rPr>
            <w:rStyle w:val="Hyperlink"/>
          </w:rPr>
          <w:t xml:space="preserve">[14]</w:t>
        </w:r>
      </w:hyperlink>
      <w:r>
        <w:t xml:space="preserve"> </w:t>
      </w:r>
      <w:r>
        <w:t xml:space="preserve">https://arxiv.org/abs/2510.11394</w:t>
      </w:r>
    </w:p>
    <w:p>
      <w:pPr>
        <w:pStyle w:val="BodyText"/>
      </w:pPr>
      <w:hyperlink r:id="rId31">
        <w:r>
          <w:rPr>
            <w:rStyle w:val="Hyperlink"/>
          </w:rPr>
          <w:t xml:space="preserve">https://arxiv.org/abs/2510.11394</w:t>
        </w:r>
      </w:hyperlink>
    </w:p>
    <w:p>
      <w:pPr>
        <w:pStyle w:val="BodyText"/>
      </w:pPr>
      <w:hyperlink r:id="rId32">
        <w:r>
          <w:rPr>
            <w:rStyle w:val="Hyperlink"/>
          </w:rPr>
          <w:t xml:space="preserve">[15]</w:t>
        </w:r>
      </w:hyperlink>
      <w:r>
        <w:t xml:space="preserve"> </w:t>
      </w:r>
      <w:r>
        <w:t xml:space="preserve">https://arxiv.org/abs/2309.15217</w:t>
      </w:r>
    </w:p>
    <w:p>
      <w:pPr>
        <w:pStyle w:val="BodyText"/>
      </w:pPr>
      <w:hyperlink r:id="rId32">
        <w:r>
          <w:rPr>
            <w:rStyle w:val="Hyperlink"/>
          </w:rPr>
          <w:t xml:space="preserve">https://arxiv.org/abs/2309.15217</w:t>
        </w:r>
      </w:hyperlink>
    </w:p>
    <w:p>
      <w:pPr>
        <w:pStyle w:val="BodyText"/>
      </w:pPr>
      <w:hyperlink r:id="rId33">
        <w:r>
          <w:rPr>
            <w:rStyle w:val="Hyperlink"/>
          </w:rPr>
          <w:t xml:space="preserve">[16]</w:t>
        </w:r>
      </w:hyperlink>
      <w:r>
        <w:t xml:space="preserve"> </w:t>
      </w:r>
      <w:hyperlink r:id="rId33">
        <w:r>
          <w:rPr>
            <w:rStyle w:val="Hyperlink"/>
          </w:rPr>
          <w:t xml:space="preserve">[37]</w:t>
        </w:r>
      </w:hyperlink>
      <w:r>
        <w:t xml:space="preserve"> </w:t>
      </w:r>
      <w:r>
        <w:t xml:space="preserve">https://www.nature.com/articles/s41467-025-58551-6</w:t>
      </w:r>
    </w:p>
    <w:p>
      <w:pPr>
        <w:pStyle w:val="BodyText"/>
      </w:pPr>
      <w:hyperlink r:id="rId33">
        <w:r>
          <w:rPr>
            <w:rStyle w:val="Hyperlink"/>
          </w:rPr>
          <w:t xml:space="preserve">https://www.nature.com/articles/s41467-025-58551-6</w:t>
        </w:r>
      </w:hyperlink>
    </w:p>
    <w:p>
      <w:pPr>
        <w:pStyle w:val="BodyText"/>
      </w:pPr>
      <w:hyperlink r:id="rId34">
        <w:r>
          <w:rPr>
            <w:rStyle w:val="Hyperlink"/>
          </w:rPr>
          <w:t xml:space="preserve">[17]</w:t>
        </w:r>
      </w:hyperlink>
      <w:r>
        <w:t xml:space="preserve"> </w:t>
      </w:r>
      <w:hyperlink r:id="rId34">
        <w:r>
          <w:rPr>
            <w:rStyle w:val="Hyperlink"/>
          </w:rPr>
          <w:t xml:space="preserve">[38]</w:t>
        </w:r>
      </w:hyperlink>
      <w:r>
        <w:t xml:space="preserve"> </w:t>
      </w:r>
      <w:r>
        <w:t xml:space="preserve">https://arxiv.org/abs/2605.27494</w:t>
      </w:r>
    </w:p>
    <w:p>
      <w:pPr>
        <w:pStyle w:val="BodyText"/>
      </w:pPr>
      <w:hyperlink r:id="rId34">
        <w:r>
          <w:rPr>
            <w:rStyle w:val="Hyperlink"/>
          </w:rPr>
          <w:t xml:space="preserve">https://arxiv.org/abs/2605.27494</w:t>
        </w:r>
      </w:hyperlink>
    </w:p>
    <w:p>
      <w:pPr>
        <w:pStyle w:val="BodyText"/>
      </w:pPr>
      <w:hyperlink r:id="rId39">
        <w:r>
          <w:rPr>
            <w:rStyle w:val="Hyperlink"/>
          </w:rPr>
          <w:t xml:space="preserve">[30]</w:t>
        </w:r>
      </w:hyperlink>
      <w:r>
        <w:t xml:space="preserve"> </w:t>
      </w:r>
      <w:r>
        <w:t xml:space="preserve">https://digital.ub.uni-paderborn.de/hs/download/pdf/8256643</w:t>
      </w:r>
    </w:p>
    <w:p>
      <w:pPr>
        <w:pStyle w:val="BodyText"/>
      </w:pPr>
      <w:hyperlink r:id="rId39">
        <w:r>
          <w:rPr>
            <w:rStyle w:val="Hyperlink"/>
          </w:rPr>
          <w:t xml:space="preserve">https://digital.ub.uni-paderborn.de/hs/download/pdf/8256643</w:t>
        </w:r>
      </w:hyperlink>
    </w:p>
    <w:p>
      <w:pPr>
        <w:pStyle w:val="BodyText"/>
      </w:pPr>
      <w:hyperlink r:id="rId40">
        <w:r>
          <w:rPr>
            <w:rStyle w:val="Hyperlink"/>
          </w:rPr>
          <w:t xml:space="preserve">[31]</w:t>
        </w:r>
      </w:hyperlink>
      <w:r>
        <w:t xml:space="preserve"> </w:t>
      </w:r>
      <w:r>
        <w:t xml:space="preserve">https://arxiv.org/abs/2511.04696</w:t>
      </w:r>
    </w:p>
    <w:p>
      <w:pPr>
        <w:pStyle w:val="BodyText"/>
      </w:pPr>
      <w:hyperlink r:id="rId40">
        <w:r>
          <w:rPr>
            <w:rStyle w:val="Hyperlink"/>
          </w:rPr>
          <w:t xml:space="preserve">https://arxiv.org/abs/2511.04696</w:t>
        </w:r>
      </w:hyperlink>
    </w:p>
    <w:p>
      <w:pPr>
        <w:pStyle w:val="BodyText"/>
      </w:pPr>
      <w:hyperlink r:id="rId43">
        <w:r>
          <w:rPr>
            <w:rStyle w:val="Hyperlink"/>
          </w:rPr>
          <w:t xml:space="preserve">[36]</w:t>
        </w:r>
      </w:hyperlink>
      <w:r>
        <w:t xml:space="preserve"> </w:t>
      </w:r>
      <w:r>
        <w:t xml:space="preserve">https://arxiv.org/abs/2408.08067</w:t>
      </w:r>
    </w:p>
    <w:p>
      <w:pPr>
        <w:pStyle w:val="BodyText"/>
      </w:pPr>
      <w:hyperlink r:id="rId43">
        <w:r>
          <w:rPr>
            <w:rStyle w:val="Hyperlink"/>
          </w:rPr>
          <w:t xml:space="preserve">https://arxiv.org/abs/2408.08067</w:t>
        </w:r>
      </w:hyperlink>
    </w:p>
    <w:p>
      <w:pPr>
        <w:pStyle w:val="BodyText"/>
      </w:pPr>
      <w:hyperlink r:id="rId45">
        <w:r>
          <w:rPr>
            <w:rStyle w:val="Hyperlink"/>
          </w:rPr>
          <w:t xml:space="preserve">[40]</w:t>
        </w:r>
      </w:hyperlink>
      <w:r>
        <w:t xml:space="preserve"> </w:t>
      </w:r>
      <w:r>
        <w:t xml:space="preserve">https://arxiv.org/html/2407.11005v2</w:t>
      </w:r>
    </w:p>
    <w:p>
      <w:pPr>
        <w:pStyle w:val="BodyText"/>
      </w:pPr>
      <w:hyperlink r:id="rId45">
        <w:r>
          <w:rPr>
            <w:rStyle w:val="Hyperlink"/>
          </w:rPr>
          <w:t xml:space="preserve">https://arxiv.org/html/2407.11005v2</w:t>
        </w:r>
      </w:hyperlink>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arxiv.org/abs/2309.15217" TargetMode="External" /><Relationship Type="http://schemas.openxmlformats.org/officeDocument/2006/relationships/hyperlink" Id="rId27" Target="https://arxiv.org/abs/2310.10501" TargetMode="External" /><Relationship Type="http://schemas.openxmlformats.org/officeDocument/2006/relationships/hyperlink" Id="rId24" Target="https://arxiv.org/abs/2407.01972" TargetMode="External" /><Relationship Type="http://schemas.openxmlformats.org/officeDocument/2006/relationships/hyperlink" Id="rId43" Target="https://arxiv.org/abs/2408.08067" TargetMode="External" /><Relationship Type="http://schemas.openxmlformats.org/officeDocument/2006/relationships/hyperlink" Id="rId21" Target="https://arxiv.org/abs/2412.15803" TargetMode="External" /><Relationship Type="http://schemas.openxmlformats.org/officeDocument/2006/relationships/hyperlink" Id="rId30" Target="https://arxiv.org/abs/2504.15629" TargetMode="External" /><Relationship Type="http://schemas.openxmlformats.org/officeDocument/2006/relationships/hyperlink" Id="rId31" Target="https://arxiv.org/abs/2510.11394" TargetMode="External" /><Relationship Type="http://schemas.openxmlformats.org/officeDocument/2006/relationships/hyperlink" Id="rId40" Target="https://arxiv.org/abs/2511.04696" TargetMode="External" /><Relationship Type="http://schemas.openxmlformats.org/officeDocument/2006/relationships/hyperlink" Id="rId34" Target="https://arxiv.org/abs/2605.27494" TargetMode="External" /><Relationship Type="http://schemas.openxmlformats.org/officeDocument/2006/relationships/hyperlink" Id="rId45" Target="https://arxiv.org/html/2407.11005v2" TargetMode="External" /><Relationship Type="http://schemas.openxmlformats.org/officeDocument/2006/relationships/hyperlink" Id="rId25" Target="https://arxiv.org/html/2507.01079v1" TargetMode="External" /><Relationship Type="http://schemas.openxmlformats.org/officeDocument/2006/relationships/hyperlink" Id="rId29" Target="https://arxiv.org/html/2603.14170v1" TargetMode="External" /><Relationship Type="http://schemas.openxmlformats.org/officeDocument/2006/relationships/hyperlink" Id="rId26" Target="https://arxiv.org/pdf/2602.13229" TargetMode="External" /><Relationship Type="http://schemas.openxmlformats.org/officeDocument/2006/relationships/hyperlink" Id="rId39" Target="https://digital.ub.uni-paderborn.de/hs/download/pdf/8256643" TargetMode="External" /><Relationship Type="http://schemas.openxmlformats.org/officeDocument/2006/relationships/hyperlink" Id="rId28" Target="https://github.com/guardrails-ai/guardrails" TargetMode="External" /><Relationship Type="http://schemas.openxmlformats.org/officeDocument/2006/relationships/hyperlink" Id="rId33" Target="https://www.nature.com/articles/s41467-025-58551-6" TargetMode="External" /><Relationship Type="http://schemas.openxmlformats.org/officeDocument/2006/relationships/hyperlink" Id="rId22" Target="https://www.preprints.org/manuscript/202603.1217" TargetMode="External" /></Relationships>
</file>

<file path=word/_rels/footnotes.xml.rels><?xml version="1.0" encoding="UTF-8"?><Relationships xmlns="http://schemas.openxmlformats.org/package/2006/relationships"><Relationship Type="http://schemas.openxmlformats.org/officeDocument/2006/relationships/hyperlink" Id="rId32" Target="https://arxiv.org/abs/2309.15217" TargetMode="External" /><Relationship Type="http://schemas.openxmlformats.org/officeDocument/2006/relationships/hyperlink" Id="rId27" Target="https://arxiv.org/abs/2310.10501" TargetMode="External" /><Relationship Type="http://schemas.openxmlformats.org/officeDocument/2006/relationships/hyperlink" Id="rId24" Target="https://arxiv.org/abs/2407.01972" TargetMode="External" /><Relationship Type="http://schemas.openxmlformats.org/officeDocument/2006/relationships/hyperlink" Id="rId43" Target="https://arxiv.org/abs/2408.08067" TargetMode="External" /><Relationship Type="http://schemas.openxmlformats.org/officeDocument/2006/relationships/hyperlink" Id="rId21" Target="https://arxiv.org/abs/2412.15803" TargetMode="External" /><Relationship Type="http://schemas.openxmlformats.org/officeDocument/2006/relationships/hyperlink" Id="rId30" Target="https://arxiv.org/abs/2504.15629" TargetMode="External" /><Relationship Type="http://schemas.openxmlformats.org/officeDocument/2006/relationships/hyperlink" Id="rId31" Target="https://arxiv.org/abs/2510.11394" TargetMode="External" /><Relationship Type="http://schemas.openxmlformats.org/officeDocument/2006/relationships/hyperlink" Id="rId40" Target="https://arxiv.org/abs/2511.04696" TargetMode="External" /><Relationship Type="http://schemas.openxmlformats.org/officeDocument/2006/relationships/hyperlink" Id="rId34" Target="https://arxiv.org/abs/2605.27494" TargetMode="External" /><Relationship Type="http://schemas.openxmlformats.org/officeDocument/2006/relationships/hyperlink" Id="rId45" Target="https://arxiv.org/html/2407.11005v2" TargetMode="External" /><Relationship Type="http://schemas.openxmlformats.org/officeDocument/2006/relationships/hyperlink" Id="rId25" Target="https://arxiv.org/html/2507.01079v1" TargetMode="External" /><Relationship Type="http://schemas.openxmlformats.org/officeDocument/2006/relationships/hyperlink" Id="rId29" Target="https://arxiv.org/html/2603.14170v1" TargetMode="External" /><Relationship Type="http://schemas.openxmlformats.org/officeDocument/2006/relationships/hyperlink" Id="rId26" Target="https://arxiv.org/pdf/2602.13229" TargetMode="External" /><Relationship Type="http://schemas.openxmlformats.org/officeDocument/2006/relationships/hyperlink" Id="rId39" Target="https://digital.ub.uni-paderborn.de/hs/download/pdf/8256643" TargetMode="External" /><Relationship Type="http://schemas.openxmlformats.org/officeDocument/2006/relationships/hyperlink" Id="rId28" Target="https://github.com/guardrails-ai/guardrails" TargetMode="External" /><Relationship Type="http://schemas.openxmlformats.org/officeDocument/2006/relationships/hyperlink" Id="rId33" Target="https://www.nature.com/articles/s41467-025-58551-6" TargetMode="External" /><Relationship Type="http://schemas.openxmlformats.org/officeDocument/2006/relationships/hyperlink" Id="rId22" Target="https://www.preprints.org/manuscript/202603.121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2026-06-10T07:29:12Z</dcterms:created>
  <dcterms:modified xsi:type="dcterms:W3CDTF">2026-06-10T07:29:12Z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