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5" w:name="content"/>
    <w:bookmarkStart w:id="64" w:name="X971eabaa1c8f7cad83cfbd6fc33007080f064b8"/>
    <w:p>
      <w:pPr>
        <w:pStyle w:val="Heading1"/>
      </w:pPr>
      <w:r>
        <w:t xml:space="preserve">Dynamic Archive Gateway for Modern Graphic Design History</w:t>
      </w:r>
    </w:p>
    <w:p>
      <w:pPr>
        <w:pStyle w:val="FirstParagraph"/>
      </w:pPr>
      <w:r>
        <w:t xml:space="preserve">Your project is best understood as a</w:t>
      </w:r>
      <w:r>
        <w:t xml:space="preserve"> </w:t>
      </w:r>
      <w:r>
        <w:rPr>
          <w:b/>
          <w:bCs/>
        </w:rPr>
        <w:t xml:space="preserve">graph-aware, provenance-rich research gateway</w:t>
      </w:r>
      <w:r>
        <w:t xml:space="preserve"> </w:t>
      </w:r>
      <w:r>
        <w:t xml:space="preserve">rather than as a single archive, course site, digital exhibition, or image gallery. In digital-humanities terms, the gateway should function as infrastructure for discovery, citation, comparison, and interpretation; in design-research terms, it should also work as a prototype that produces knowledge through its own structuring decisions and interface logic. That framing is consistent with scholarship that treats archives as a core laboratory of the humanities, argues that interfaces are epistemologically consequential rather than neutral, and shows that research-through-design can productively intersect with digital humanities in archival contexts.</w:t>
      </w:r>
      <w:r>
        <w:t xml:space="preserve"> </w:t>
      </w:r>
      <w:hyperlink r:id="rId21">
        <w:r>
          <w:rPr>
            <w:rStyle w:val="Hyperlink"/>
          </w:rPr>
          <w:t xml:space="preserve">[1]</w:t>
        </w:r>
      </w:hyperlink>
    </w:p>
    <w:bookmarkStart w:id="25" w:name="project-framing"/>
    <w:p>
      <w:pPr>
        <w:pStyle w:val="Heading2"/>
      </w:pPr>
      <w:r>
        <w:t xml:space="preserve">Project framing</w:t>
      </w:r>
    </w:p>
    <w:p>
      <w:pPr>
        <w:pStyle w:val="FirstParagraph"/>
      </w:pPr>
      <w:r>
        <w:t xml:space="preserve">Methodologically, the project can sit at the intersection of</w:t>
      </w:r>
      <w:r>
        <w:t xml:space="preserve"> </w:t>
      </w:r>
      <w:r>
        <w:rPr>
          <w:b/>
          <w:bCs/>
        </w:rPr>
        <w:t xml:space="preserve">digital humanities, design history, archive studies, information design, knowledge organization, visual culture studies, and design research</w:t>
      </w:r>
      <w:r>
        <w:t xml:space="preserve"> </w:t>
      </w:r>
      <w:r>
        <w:t xml:space="preserve">if it is defined as an</w:t>
      </w:r>
      <w:r>
        <w:t xml:space="preserve"> </w:t>
      </w:r>
      <w:r>
        <w:rPr>
          <w:i/>
          <w:iCs/>
        </w:rPr>
        <w:t xml:space="preserve">interpretive infrastructure</w:t>
      </w:r>
      <w:r>
        <w:t xml:space="preserve">. Digital-humanities infrastructure is not only a matter of storage; it includes collections, search aids, bibliographies, citation systems, metadata standards, and the librarians, archivists, editors, and curators who make materials discoverable and trustworthy. That matters because your gateway’s scholarly value will come less from owning content than from helping researchers move responsibly among distributed records, contexts, and evidentiary claims.</w:t>
      </w:r>
      <w:r>
        <w:t xml:space="preserve"> </w:t>
      </w:r>
      <w:hyperlink r:id="rId21">
        <w:r>
          <w:rPr>
            <w:rStyle w:val="Hyperlink"/>
          </w:rPr>
          <w:t xml:space="preserve">[2]</w:t>
        </w:r>
      </w:hyperlink>
    </w:p>
    <w:p>
      <w:pPr>
        <w:pStyle w:val="BodyText"/>
      </w:pPr>
      <w:r>
        <w:t xml:space="preserve">Two theoretical anchors are especially relevant. First, Johanna Drucker’s work argues that humanities interfaces should not pretend merely to show “what is”; they should acknowledge that data in humanistic work are better understood as</w:t>
      </w:r>
      <w:r>
        <w:t xml:space="preserve"> </w:t>
      </w:r>
      <w:r>
        <w:rPr>
          <w:b/>
          <w:bCs/>
        </w:rPr>
        <w:t xml:space="preserve">capta</w:t>
      </w:r>
      <w:r>
        <w:t xml:space="preserve">—taken, constructed, and interpreted—and that visualizations should make ambiguity, contingency, and interpretation visible. Second, Mitchell Whitelaw’s idea of</w:t>
      </w:r>
      <w:r>
        <w:t xml:space="preserve"> </w:t>
      </w:r>
      <w:r>
        <w:rPr>
          <w:b/>
          <w:bCs/>
        </w:rPr>
        <w:t xml:space="preserve">generous interfaces</w:t>
      </w:r>
      <w:r>
        <w:t xml:space="preserve"> </w:t>
      </w:r>
      <w:r>
        <w:t xml:space="preserve">suggests that cultural collections should offer rich, browsable overviews and exploratory pathways rather than forcing users into a narrow search-box model. Together, those arguments support a gateway that is neither a neutral database nor a didactic timeline, but an interface that helps researchers ask new questions.</w:t>
      </w:r>
      <w:r>
        <w:t xml:space="preserve"> </w:t>
      </w:r>
      <w:hyperlink r:id="rId22">
        <w:r>
          <w:rPr>
            <w:rStyle w:val="Hyperlink"/>
          </w:rPr>
          <w:t xml:space="preserve">[3]</w:t>
        </w:r>
      </w:hyperlink>
    </w:p>
    <w:p>
      <w:pPr>
        <w:pStyle w:val="BodyText"/>
      </w:pPr>
      <w:r>
        <w:t xml:space="preserve">Design research provides a second layer of justification. Research-through-design scholarship has shown that archive-oriented digital artefacts can be both research outputs and research methods, especially when prototypes are used to test how users discover, compare, and interpret dispersed materials. Work on</w:t>
      </w:r>
      <w:r>
        <w:t xml:space="preserve"> </w:t>
      </w:r>
      <w:r>
        <w:rPr>
          <w:b/>
          <w:bCs/>
        </w:rPr>
        <w:t xml:space="preserve">archival liveness</w:t>
      </w:r>
      <w:r>
        <w:t xml:space="preserve"> </w:t>
      </w:r>
      <w:r>
        <w:t xml:space="preserve">is particularly helpful here: it treats archival interfaces not as final windows onto complete collections, but as ways of revealing the ongoing, incomplete, and labor-intensive processes of cataloguing, description, and digitization. For your project, that means the gateway should expose process, incompleteness, and provenance rather than hiding them behind polished discovery surfaces.</w:t>
      </w:r>
      <w:r>
        <w:t xml:space="preserve"> </w:t>
      </w:r>
      <w:hyperlink r:id="rId23">
        <w:r>
          <w:rPr>
            <w:rStyle w:val="Hyperlink"/>
          </w:rPr>
          <w:t xml:space="preserve">[4]</w:t>
        </w:r>
      </w:hyperlink>
    </w:p>
    <w:p>
      <w:pPr>
        <w:pStyle w:val="BodyText"/>
      </w:pPr>
      <w:r>
        <w:t xml:space="preserve">To avoid becoming “merely” a database, timeline, educational site, or visual gallery, the project should make three commitments central rather than optional. It should foreground</w:t>
      </w:r>
      <w:r>
        <w:t xml:space="preserve"> </w:t>
      </w:r>
      <w:r>
        <w:rPr>
          <w:b/>
          <w:bCs/>
        </w:rPr>
        <w:t xml:space="preserve">relationships</w:t>
      </w:r>
      <w:r>
        <w:t xml:space="preserve"> </w:t>
      </w:r>
      <w:r>
        <w:t xml:space="preserve">rather than only records; it should record</w:t>
      </w:r>
      <w:r>
        <w:t xml:space="preserve"> </w:t>
      </w:r>
      <w:r>
        <w:rPr>
          <w:b/>
          <w:bCs/>
        </w:rPr>
        <w:t xml:space="preserve">source provenance and citation</w:t>
      </w:r>
      <w:r>
        <w:t xml:space="preserve"> </w:t>
      </w:r>
      <w:r>
        <w:t xml:space="preserve">rather than only descriptive metadata; and it should provide</w:t>
      </w:r>
      <w:r>
        <w:t xml:space="preserve"> </w:t>
      </w:r>
      <w:r>
        <w:rPr>
          <w:b/>
          <w:bCs/>
        </w:rPr>
        <w:t xml:space="preserve">multiple research views</w:t>
      </w:r>
      <w:r>
        <w:t xml:space="preserve">—historical, thematic, geographic, bibliographic, and institutional—rather than a single canonical path. This is particularly important in graphic design history, where canonical narratives have often been shaped by exhibition histories, institutional collecting, and survey texts rather than by a plural, relational synthesis of distributed evidence. Studies of MoMA’s role in defining “good graphic design,” Alice Twemlow’s work on silence in the graphic design archive, and recent calls for more plural design narratives all point in this direction.</w:t>
      </w:r>
      <w:r>
        <w:t xml:space="preserve"> </w:t>
      </w:r>
      <w:hyperlink r:id="rId24">
        <w:r>
          <w:rPr>
            <w:rStyle w:val="Hyperlink"/>
          </w:rPr>
          <w:t xml:space="preserve">[5]</w:t>
        </w:r>
      </w:hyperlink>
    </w:p>
    <w:bookmarkEnd w:id="25"/>
    <w:bookmarkStart w:id="32" w:name="sustainability-by-design"/>
    <w:p>
      <w:pPr>
        <w:pStyle w:val="Heading2"/>
      </w:pPr>
      <w:r>
        <w:t xml:space="preserve">Sustainability by design</w:t>
      </w:r>
    </w:p>
    <w:p>
      <w:pPr>
        <w:pStyle w:val="FirstParagraph"/>
      </w:pPr>
      <w:r>
        <w:t xml:space="preserve">In humanities and design research,</w:t>
      </w:r>
      <w:r>
        <w:t xml:space="preserve"> </w:t>
      </w:r>
      <w:r>
        <w:rPr>
          <w:b/>
          <w:bCs/>
        </w:rPr>
        <w:t xml:space="preserve">sustainability is socio-technical before it is purely technical</w:t>
      </w:r>
      <w:r>
        <w:t xml:space="preserve">. Joanna Tucker argues that digital sustainability in the humanities has at least four dimensions—technological, financial, environmental, and human—and Ciaran Trace’s account of archives as infrastructure emphasizes that the archive’s long-term value depends on ongoing maintenance work, not just initial system building. For your project, that means sustainability cannot mean simply “host it and keep the server on.” It must mean maintaining data, documenting transformations, curating relationships, preserving provenance, and planning for turnover in people and institutions.</w:t>
      </w:r>
      <w:r>
        <w:t xml:space="preserve"> </w:t>
      </w:r>
      <w:hyperlink r:id="rId26">
        <w:r>
          <w:rPr>
            <w:rStyle w:val="Hyperlink"/>
          </w:rPr>
          <w:t xml:space="preserve">[6]</w:t>
        </w:r>
      </w:hyperlink>
    </w:p>
    <w:p>
      <w:pPr>
        <w:pStyle w:val="BodyText"/>
      </w:pPr>
      <w:r>
        <w:t xml:space="preserve">A sustainable gateway should therefore prefer a</w:t>
      </w:r>
      <w:r>
        <w:t xml:space="preserve"> </w:t>
      </w:r>
      <w:r>
        <w:rPr>
          <w:b/>
          <w:bCs/>
        </w:rPr>
        <w:t xml:space="preserve">thin local core and thick provenance</w:t>
      </w:r>
      <w:r>
        <w:t xml:space="preserve">. The local core should contain stable identifiers, normalized key fields, relationship assertions, source citations, rights information, and notes on uncertainty. Everything else—full images, full object records, or institution-specific detail—should usually remain with the source institution and be linked rather than copied unless reuse rights clearly allow local storage. This approach reduces legal risk, lowers maintenance burden, and keeps the project honest about what is original scholarship, what is aggregated metadata, and what remains under institutional control. It also aligns with linked-data and web-data best practices that emphasize persistent identifiers, versioning, machine-readable metadata, and discoverable provenance.</w:t>
      </w:r>
      <w:r>
        <w:t xml:space="preserve"> </w:t>
      </w:r>
      <w:hyperlink r:id="rId27">
        <w:r>
          <w:rPr>
            <w:rStyle w:val="Hyperlink"/>
          </w:rPr>
          <w:t xml:space="preserve">[7]</w:t>
        </w:r>
      </w:hyperlink>
    </w:p>
    <w:p>
      <w:pPr>
        <w:pStyle w:val="BodyText"/>
      </w:pPr>
      <w:r>
        <w:rPr>
          <w:b/>
          <w:bCs/>
        </w:rPr>
        <w:t xml:space="preserve">Citation practice</w:t>
      </w:r>
      <w:r>
        <w:t xml:space="preserve"> </w:t>
      </w:r>
      <w:r>
        <w:t xml:space="preserve">should be treated as core infrastructure, not as interface decoration. FORCE11’s Joint Declaration of Data Citation Principles stresses that citation should be both human-understandable and machine-actionable, while W3C PROV-O provides a formal model for representing provenance across systems. Practically, every local assertion in your system should be traceable to at least one source record, publication, or archival description, with fields for source title, container, URL or identifier, access date, and—where relevant—page, figure, or record-level evidence. For derived relationships, such as “Movement X emerged in Place Y” or “Theme Z links these works,” the project should distinguish between direct source claims and editorial inferences.</w:t>
      </w:r>
      <w:r>
        <w:t xml:space="preserve"> </w:t>
      </w:r>
      <w:hyperlink r:id="rId28">
        <w:r>
          <w:rPr>
            <w:rStyle w:val="Hyperlink"/>
          </w:rPr>
          <w:t xml:space="preserve">[8]</w:t>
        </w:r>
      </w:hyperlink>
    </w:p>
    <w:p>
      <w:pPr>
        <w:pStyle w:val="BodyText"/>
      </w:pPr>
      <w:r>
        <w:rPr>
          <w:b/>
          <w:bCs/>
        </w:rPr>
        <w:t xml:space="preserve">Versioning</w:t>
      </w:r>
      <w:r>
        <w:t xml:space="preserve"> </w:t>
      </w:r>
      <w:r>
        <w:t xml:space="preserve">matters for both scholarly trust and maintenance. W3C guidance on publishing linked data highlights versioning and stability as explicit concerns, and several cultural-heritage APIs also warn implementers that records change over time. The V&amp;A, for example, states that its database is constantly updated and requires API users not to cache returned content for more than four weeks; Getty’s vocabularies are refreshed monthly and explicitly encourage regular updates. Your gateway should therefore store</w:t>
      </w:r>
      <w:r>
        <w:t xml:space="preserve"> </w:t>
      </w:r>
      <w:r>
        <w:rPr>
          <w:rStyle w:val="VerbatimChar"/>
        </w:rPr>
        <w:t xml:space="preserve">last_checked</w:t>
      </w:r>
      <w:r>
        <w:t xml:space="preserve">,</w:t>
      </w:r>
      <w:r>
        <w:t xml:space="preserve"> </w:t>
      </w:r>
      <w:r>
        <w:rPr>
          <w:rStyle w:val="VerbatimChar"/>
        </w:rPr>
        <w:t xml:space="preserve">source_last_modified</w:t>
      </w:r>
      <w:r>
        <w:t xml:space="preserve"> </w:t>
      </w:r>
      <w:r>
        <w:t xml:space="preserve">when available, a local record version, and a changelog for editorial interventions.</w:t>
      </w:r>
      <w:r>
        <w:t xml:space="preserve"> </w:t>
      </w:r>
      <w:hyperlink r:id="rId29">
        <w:r>
          <w:rPr>
            <w:rStyle w:val="Hyperlink"/>
          </w:rPr>
          <w:t xml:space="preserve">[9]</w:t>
        </w:r>
      </w:hyperlink>
    </w:p>
    <w:p>
      <w:pPr>
        <w:pStyle w:val="BodyText"/>
      </w:pPr>
      <w:r>
        <w:rPr>
          <w:b/>
          <w:bCs/>
        </w:rPr>
        <w:t xml:space="preserve">Rights and image use</w:t>
      </w:r>
      <w:r>
        <w:t xml:space="preserve"> </w:t>
      </w:r>
      <w:r>
        <w:t xml:space="preserve">are a major sustainability issue because they shape what you can preserve, display, and redistribute. RightsStatements.org provides machine-readable rights statements intended for cultural-heritage institutions; the Smithsonian’s Open Access program makes many assets available under CC0 and recommends at least minimal crediting even when attribution is not legally required; MoMA, by contrast, distinguishes open metadata from separately licensed images; and the V&amp;A permits some non-commercial uses but imposes API and image-display conditions. A sustainable MVP should therefore store a rights URI, a display credit line, the source image URL, and a local policy field such as</w:t>
      </w:r>
      <w:r>
        <w:t xml:space="preserve"> </w:t>
      </w:r>
      <w:r>
        <w:rPr>
          <w:rStyle w:val="VerbatimChar"/>
        </w:rPr>
        <w:t xml:space="preserve">link_only</w:t>
      </w:r>
      <w:r>
        <w:t xml:space="preserve">,</w:t>
      </w:r>
      <w:r>
        <w:t xml:space="preserve"> </w:t>
      </w:r>
      <w:r>
        <w:rPr>
          <w:rStyle w:val="VerbatimChar"/>
        </w:rPr>
        <w:t xml:space="preserve">thumbnail_only</w:t>
      </w:r>
      <w:r>
        <w:t xml:space="preserve">,</w:t>
      </w:r>
      <w:r>
        <w:t xml:space="preserve"> </w:t>
      </w:r>
      <w:r>
        <w:rPr>
          <w:rStyle w:val="VerbatimChar"/>
        </w:rPr>
        <w:t xml:space="preserve">iiif_embed</w:t>
      </w:r>
      <w:r>
        <w:t xml:space="preserve">, or</w:t>
      </w:r>
      <w:r>
        <w:t xml:space="preserve"> </w:t>
      </w:r>
      <w:r>
        <w:rPr>
          <w:rStyle w:val="VerbatimChar"/>
        </w:rPr>
        <w:t xml:space="preserve">local_copy_permitted</w:t>
      </w:r>
      <w:r>
        <w:t xml:space="preserve">.</w:t>
      </w:r>
      <w:r>
        <w:t xml:space="preserve"> </w:t>
      </w:r>
      <w:hyperlink r:id="rId30">
        <w:r>
          <w:rPr>
            <w:rStyle w:val="Hyperlink"/>
          </w:rPr>
          <w:t xml:space="preserve">[10]</w:t>
        </w:r>
      </w:hyperlink>
    </w:p>
    <w:p>
      <w:pPr>
        <w:pStyle w:val="BodyText"/>
      </w:pPr>
      <w:r>
        <w:t xml:space="preserve">Human curation is equally crucial. Getty’s vocabularies explicitly document editorial rules, contributor workflows, and revision histories; PGDA openly frames itself as a crowd-built archive that survives on support; and archive-studies scholarship repeatedly emphasizes the labor of maintenance. The lesson is that sustainability requires a governance model: who reconciles names, who reviews community submissions, who flags harmful language, who rechecks APIs, and who decides when a relationship is too uncertain to publish as fact. Without that labor model, “open” quickly becomes “stale.”</w:t>
      </w:r>
      <w:r>
        <w:t xml:space="preserve"> </w:t>
      </w:r>
      <w:hyperlink r:id="rId31">
        <w:r>
          <w:rPr>
            <w:rStyle w:val="Hyperlink"/>
          </w:rPr>
          <w:t xml:space="preserve">[11]</w:t>
        </w:r>
      </w:hyperlink>
    </w:p>
    <w:bookmarkEnd w:id="32"/>
    <w:bookmarkStart w:id="38" w:name="archive-graph-methodology"/>
    <w:p>
      <w:pPr>
        <w:pStyle w:val="Heading2"/>
      </w:pPr>
      <w:r>
        <w:t xml:space="preserve">Archive graph methodology</w:t>
      </w:r>
    </w:p>
    <w:p>
      <w:pPr>
        <w:pStyle w:val="FirstParagraph"/>
      </w:pPr>
      <w:r>
        <w:t xml:space="preserve">A graph-based model is a strong fit for your problem because modern graphic design history is inherently</w:t>
      </w:r>
      <w:r>
        <w:t xml:space="preserve"> </w:t>
      </w:r>
      <w:r>
        <w:rPr>
          <w:b/>
          <w:bCs/>
        </w:rPr>
        <w:t xml:space="preserve">distributed, many-to-many, cross-institutional, and relational</w:t>
      </w:r>
      <w:r>
        <w:t xml:space="preserve">. CIDOC CRM was designed precisely as a theoretical and practical tool for information integration across cultural-heritage datasets, and Europeana’s EDM was built to move across museums, archives, libraries, and audiovisual collections without forcing them into a reductive lowest common denominator. In other words, the existing cultural-heritage standards landscape already assumes that complex historical questions require entities, events, places, agents, and provenance to be connected rather than flattened into single records.</w:t>
      </w:r>
      <w:r>
        <w:t xml:space="preserve"> </w:t>
      </w:r>
      <w:hyperlink r:id="rId33">
        <w:r>
          <w:rPr>
            <w:rStyle w:val="Hyperlink"/>
          </w:rPr>
          <w:t xml:space="preserve">[12]</w:t>
        </w:r>
      </w:hyperlink>
    </w:p>
    <w:p>
      <w:pPr>
        <w:pStyle w:val="BodyText"/>
      </w:pPr>
      <w:r>
        <w:t xml:space="preserve">For an MVP, however, you do</w:t>
      </w:r>
      <w:r>
        <w:t xml:space="preserve"> </w:t>
      </w:r>
      <w:r>
        <w:rPr>
          <w:b/>
          <w:bCs/>
        </w:rPr>
        <w:t xml:space="preserve">not</w:t>
      </w:r>
      <w:r>
        <w:t xml:space="preserve"> </w:t>
      </w:r>
      <w:r>
        <w:t xml:space="preserve">need a full institutional ontology. Linked Art’s value is precisely that it pares back CIDOC CRM to a practical, interoperable core intended to cover most use cases with far less complexity. That makes it a very good conceptual precedent for your project: use CRM and archival standards as</w:t>
      </w:r>
      <w:r>
        <w:t xml:space="preserve"> </w:t>
      </w:r>
      <w:r>
        <w:rPr>
          <w:i/>
          <w:iCs/>
        </w:rPr>
        <w:t xml:space="preserve">reference models</w:t>
      </w:r>
      <w:r>
        <w:t xml:space="preserve"> </w:t>
      </w:r>
      <w:r>
        <w:t xml:space="preserve">for what kinds of distinctions matter, but implement a simpler local graph that is “linked-data ready” rather than “ontology complete.”</w:t>
      </w:r>
      <w:r>
        <w:t xml:space="preserve"> </w:t>
      </w:r>
      <w:hyperlink r:id="rId34">
        <w:r>
          <w:rPr>
            <w:rStyle w:val="Hyperlink"/>
          </w:rPr>
          <w:t xml:space="preserve">[13]</w:t>
        </w:r>
      </w:hyperlink>
    </w:p>
    <w:p>
      <w:pPr>
        <w:pStyle w:val="BodyText"/>
      </w:pPr>
      <w:r>
        <w:t xml:space="preserve">The most useful entity model for your project is slightly more granular than the draft you proposed. In practice, I would separate:</w:t>
      </w:r>
      <w:r>
        <w:t xml:space="preserve"> </w:t>
      </w:r>
      <w:r>
        <w:rPr>
          <w:b/>
          <w:bCs/>
        </w:rPr>
        <w:t xml:space="preserve">Work/Object</w:t>
      </w:r>
      <w:r>
        <w:t xml:space="preserve">,</w:t>
      </w:r>
      <w:r>
        <w:t xml:space="preserve"> </w:t>
      </w:r>
      <w:r>
        <w:rPr>
          <w:b/>
          <w:bCs/>
        </w:rPr>
        <w:t xml:space="preserve">Agent</w:t>
      </w:r>
      <w:r>
        <w:t xml:space="preserve"> </w:t>
      </w:r>
      <w:r>
        <w:t xml:space="preserve">(person or collective),</w:t>
      </w:r>
      <w:r>
        <w:t xml:space="preserve"> </w:t>
      </w:r>
      <w:r>
        <w:rPr>
          <w:b/>
          <w:bCs/>
        </w:rPr>
        <w:t xml:space="preserve">Institution</w:t>
      </w:r>
      <w:r>
        <w:t xml:space="preserve">,</w:t>
      </w:r>
      <w:r>
        <w:t xml:space="preserve"> </w:t>
      </w:r>
      <w:r>
        <w:rPr>
          <w:b/>
          <w:bCs/>
        </w:rPr>
        <w:t xml:space="preserve">Place</w:t>
      </w:r>
      <w:r>
        <w:t xml:space="preserve">,</w:t>
      </w:r>
      <w:r>
        <w:t xml:space="preserve"> </w:t>
      </w:r>
      <w:r>
        <w:rPr>
          <w:b/>
          <w:bCs/>
        </w:rPr>
        <w:t xml:space="preserve">Movement/Period</w:t>
      </w:r>
      <w:r>
        <w:t xml:space="preserve">,</w:t>
      </w:r>
      <w:r>
        <w:t xml:space="preserve"> </w:t>
      </w:r>
      <w:r>
        <w:rPr>
          <w:b/>
          <w:bCs/>
        </w:rPr>
        <w:t xml:space="preserve">Medium/Technology</w:t>
      </w:r>
      <w:r>
        <w:t xml:space="preserve">,</w:t>
      </w:r>
      <w:r>
        <w:t xml:space="preserve"> </w:t>
      </w:r>
      <w:r>
        <w:rPr>
          <w:b/>
          <w:bCs/>
        </w:rPr>
        <w:t xml:space="preserve">Text/Publication</w:t>
      </w:r>
      <w:r>
        <w:t xml:space="preserve">,</w:t>
      </w:r>
      <w:r>
        <w:t xml:space="preserve"> </w:t>
      </w:r>
      <w:r>
        <w:rPr>
          <w:b/>
          <w:bCs/>
        </w:rPr>
        <w:t xml:space="preserve">Exhibition</w:t>
      </w:r>
      <w:r>
        <w:t xml:space="preserve">,</w:t>
      </w:r>
      <w:r>
        <w:t xml:space="preserve"> </w:t>
      </w:r>
      <w:r>
        <w:rPr>
          <w:b/>
          <w:bCs/>
        </w:rPr>
        <w:t xml:space="preserve">Theme</w:t>
      </w:r>
      <w:r>
        <w:t xml:space="preserve">,</w:t>
      </w:r>
      <w:r>
        <w:t xml:space="preserve"> </w:t>
      </w:r>
      <w:r>
        <w:rPr>
          <w:b/>
          <w:bCs/>
        </w:rPr>
        <w:t xml:space="preserve">Source</w:t>
      </w:r>
      <w:r>
        <w:t xml:space="preserve">,</w:t>
      </w:r>
      <w:r>
        <w:t xml:space="preserve"> </w:t>
      </w:r>
      <w:r>
        <w:rPr>
          <w:b/>
          <w:bCs/>
        </w:rPr>
        <w:t xml:space="preserve">Source Record</w:t>
      </w:r>
      <w:r>
        <w:t xml:space="preserve">,</w:t>
      </w:r>
      <w:r>
        <w:t xml:space="preserve"> </w:t>
      </w:r>
      <w:r>
        <w:rPr>
          <w:b/>
          <w:bCs/>
        </w:rPr>
        <w:t xml:space="preserve">Image Asset</w:t>
      </w:r>
      <w:r>
        <w:t xml:space="preserve">, and</w:t>
      </w:r>
      <w:r>
        <w:t xml:space="preserve"> </w:t>
      </w:r>
      <w:r>
        <w:rPr>
          <w:b/>
          <w:bCs/>
        </w:rPr>
        <w:t xml:space="preserve">Assertion/Citation</w:t>
      </w:r>
      <w:r>
        <w:t xml:space="preserve">. The extra distinction between</w:t>
      </w:r>
      <w:r>
        <w:t xml:space="preserve"> </w:t>
      </w:r>
      <w:r>
        <w:rPr>
          <w:b/>
          <w:bCs/>
        </w:rPr>
        <w:t xml:space="preserve">Source</w:t>
      </w:r>
      <w:r>
        <w:t xml:space="preserve"> </w:t>
      </w:r>
      <w:r>
        <w:t xml:space="preserve">and</w:t>
      </w:r>
      <w:r>
        <w:t xml:space="preserve"> </w:t>
      </w:r>
      <w:r>
        <w:rPr>
          <w:b/>
          <w:bCs/>
        </w:rPr>
        <w:t xml:space="preserve">Source Record</w:t>
      </w:r>
      <w:r>
        <w:t xml:space="preserve"> </w:t>
      </w:r>
      <w:r>
        <w:t xml:space="preserve">matters because “V&amp;A” and “this particular V&amp;A object page” are not the same thing; similarly, “image file” and “work depicted by the image” should not collapse into one node. Europeana, DPLA, IIIF, and museum APIs all make this distinction in one form or another between cultural object, web resource, preview, provider, and metadata record.</w:t>
      </w:r>
      <w:r>
        <w:t xml:space="preserve"> </w:t>
      </w:r>
      <w:hyperlink r:id="rId35">
        <w:r>
          <w:rPr>
            <w:rStyle w:val="Hyperlink"/>
          </w:rPr>
          <w:t xml:space="preserve">[14]</w:t>
        </w:r>
      </w:hyperlink>
    </w:p>
    <w:p>
      <w:pPr>
        <w:pStyle w:val="BodyText"/>
      </w:pPr>
      <w:r>
        <w:t xml:space="preserve">The most important relationships should likewise distinguish between</w:t>
      </w:r>
      <w:r>
        <w:t xml:space="preserve"> </w:t>
      </w:r>
      <w:r>
        <w:rPr>
          <w:b/>
          <w:bCs/>
        </w:rPr>
        <w:t xml:space="preserve">historical relations</w:t>
      </w:r>
      <w:r>
        <w:t xml:space="preserve"> </w:t>
      </w:r>
      <w:r>
        <w:t xml:space="preserve">and</w:t>
      </w:r>
      <w:r>
        <w:t xml:space="preserve"> </w:t>
      </w:r>
      <w:r>
        <w:rPr>
          <w:b/>
          <w:bCs/>
        </w:rPr>
        <w:t xml:space="preserve">evidentiary relations</w:t>
      </w:r>
      <w:r>
        <w:t xml:space="preserve">. Historical relations include things like</w:t>
      </w:r>
      <w:r>
        <w:t xml:space="preserve"> </w:t>
      </w:r>
      <w:r>
        <w:rPr>
          <w:rStyle w:val="VerbatimChar"/>
        </w:rPr>
        <w:t xml:space="preserve">created_by</w:t>
      </w:r>
      <w:r>
        <w:t xml:space="preserve">,</w:t>
      </w:r>
      <w:r>
        <w:t xml:space="preserve"> </w:t>
      </w:r>
      <w:r>
        <w:rPr>
          <w:rStyle w:val="VerbatimChar"/>
        </w:rPr>
        <w:t xml:space="preserve">published_by</w:t>
      </w:r>
      <w:r>
        <w:t xml:space="preserve">,</w:t>
      </w:r>
      <w:r>
        <w:t xml:space="preserve"> </w:t>
      </w:r>
      <w:r>
        <w:rPr>
          <w:rStyle w:val="VerbatimChar"/>
        </w:rPr>
        <w:t xml:space="preserve">held_by</w:t>
      </w:r>
      <w:r>
        <w:t xml:space="preserve">,</w:t>
      </w:r>
      <w:r>
        <w:t xml:space="preserve"> </w:t>
      </w:r>
      <w:r>
        <w:rPr>
          <w:rStyle w:val="VerbatimChar"/>
        </w:rPr>
        <w:t xml:space="preserve">trained_at</w:t>
      </w:r>
      <w:r>
        <w:t xml:space="preserve">,</w:t>
      </w:r>
      <w:r>
        <w:t xml:space="preserve"> </w:t>
      </w:r>
      <w:r>
        <w:rPr>
          <w:rStyle w:val="VerbatimChar"/>
        </w:rPr>
        <w:t xml:space="preserve">active_in</w:t>
      </w:r>
      <w:r>
        <w:t xml:space="preserve">,</w:t>
      </w:r>
      <w:r>
        <w:t xml:space="preserve"> </w:t>
      </w:r>
      <w:r>
        <w:rPr>
          <w:rStyle w:val="VerbatimChar"/>
        </w:rPr>
        <w:t xml:space="preserve">associated_with_movement</w:t>
      </w:r>
      <w:r>
        <w:t xml:space="preserve">,</w:t>
      </w:r>
      <w:r>
        <w:t xml:space="preserve"> </w:t>
      </w:r>
      <w:r>
        <w:rPr>
          <w:rStyle w:val="VerbatimChar"/>
        </w:rPr>
        <w:t xml:space="preserve">used_medium</w:t>
      </w:r>
      <w:r>
        <w:t xml:space="preserve">,</w:t>
      </w:r>
      <w:r>
        <w:t xml:space="preserve"> </w:t>
      </w:r>
      <w:r>
        <w:rPr>
          <w:rStyle w:val="VerbatimChar"/>
        </w:rPr>
        <w:t xml:space="preserve">depicts</w:t>
      </w:r>
      <w:r>
        <w:t xml:space="preserve">,</w:t>
      </w:r>
      <w:r>
        <w:t xml:space="preserve"> </w:t>
      </w:r>
      <w:r>
        <w:rPr>
          <w:rStyle w:val="VerbatimChar"/>
        </w:rPr>
        <w:t xml:space="preserve">discussed_in</w:t>
      </w:r>
      <w:r>
        <w:t xml:space="preserve">,</w:t>
      </w:r>
      <w:r>
        <w:t xml:space="preserve"> </w:t>
      </w:r>
      <w:r>
        <w:rPr>
          <w:rStyle w:val="VerbatimChar"/>
        </w:rPr>
        <w:t xml:space="preserve">exhibited_in</w:t>
      </w:r>
      <w:r>
        <w:t xml:space="preserve">,</w:t>
      </w:r>
      <w:r>
        <w:t xml:space="preserve"> </w:t>
      </w:r>
      <w:r>
        <w:rPr>
          <w:rStyle w:val="VerbatimChar"/>
        </w:rPr>
        <w:t xml:space="preserve">influenced</w:t>
      </w:r>
      <w:r>
        <w:t xml:space="preserve">, and</w:t>
      </w:r>
      <w:r>
        <w:t xml:space="preserve"> </w:t>
      </w:r>
      <w:r>
        <w:rPr>
          <w:rStyle w:val="VerbatimChar"/>
        </w:rPr>
        <w:t xml:space="preserve">parallel_to</w:t>
      </w:r>
      <w:r>
        <w:t xml:space="preserve">. Evidentiary relations include</w:t>
      </w:r>
      <w:r>
        <w:t xml:space="preserve"> </w:t>
      </w:r>
      <w:r>
        <w:rPr>
          <w:rStyle w:val="VerbatimChar"/>
        </w:rPr>
        <w:t xml:space="preserve">described_by_source_record</w:t>
      </w:r>
      <w:r>
        <w:t xml:space="preserve">,</w:t>
      </w:r>
      <w:r>
        <w:t xml:space="preserve"> </w:t>
      </w:r>
      <w:r>
        <w:rPr>
          <w:rStyle w:val="VerbatimChar"/>
        </w:rPr>
        <w:t xml:space="preserve">asserted_by</w:t>
      </w:r>
      <w:r>
        <w:t xml:space="preserve">,</w:t>
      </w:r>
      <w:r>
        <w:t xml:space="preserve"> </w:t>
      </w:r>
      <w:r>
        <w:rPr>
          <w:rStyle w:val="VerbatimChar"/>
        </w:rPr>
        <w:t xml:space="preserve">quoted_in</w:t>
      </w:r>
      <w:r>
        <w:t xml:space="preserve">,</w:t>
      </w:r>
      <w:r>
        <w:t xml:space="preserve"> </w:t>
      </w:r>
      <w:r>
        <w:rPr>
          <w:rStyle w:val="VerbatimChar"/>
        </w:rPr>
        <w:t xml:space="preserve">derived_from</w:t>
      </w:r>
      <w:r>
        <w:t xml:space="preserve">,</w:t>
      </w:r>
      <w:r>
        <w:t xml:space="preserve"> </w:t>
      </w:r>
      <w:r>
        <w:rPr>
          <w:rStyle w:val="VerbatimChar"/>
        </w:rPr>
        <w:t xml:space="preserve">same_as</w:t>
      </w:r>
      <w:r>
        <w:t xml:space="preserve">,</w:t>
      </w:r>
      <w:r>
        <w:t xml:space="preserve"> </w:t>
      </w:r>
      <w:r>
        <w:rPr>
          <w:rStyle w:val="VerbatimChar"/>
        </w:rPr>
        <w:t xml:space="preserve">possibly_same_as</w:t>
      </w:r>
      <w:r>
        <w:t xml:space="preserve">, and</w:t>
      </w:r>
      <w:r>
        <w:t xml:space="preserve"> </w:t>
      </w:r>
      <w:r>
        <w:rPr>
          <w:rStyle w:val="VerbatimChar"/>
        </w:rPr>
        <w:t xml:space="preserve">contradicted_by</w:t>
      </w:r>
      <w:r>
        <w:t xml:space="preserve">. That second layer is what will keep the project from pretending that all cross-source synthesis is equally certain. The right mental model is not only an object graph, but a</w:t>
      </w:r>
      <w:r>
        <w:t xml:space="preserve"> </w:t>
      </w:r>
      <w:r>
        <w:rPr>
          <w:b/>
          <w:bCs/>
        </w:rPr>
        <w:t xml:space="preserve">claim graph</w:t>
      </w:r>
      <w:r>
        <w:t xml:space="preserve">.</w:t>
      </w:r>
      <w:r>
        <w:t xml:space="preserve"> </w:t>
      </w:r>
      <w:hyperlink r:id="rId36">
        <w:r>
          <w:rPr>
            <w:rStyle w:val="Hyperlink"/>
          </w:rPr>
          <w:t xml:space="preserve">[15]</w:t>
        </w:r>
      </w:hyperlink>
    </w:p>
    <w:p>
      <w:pPr>
        <w:pStyle w:val="BodyText"/>
      </w:pPr>
      <w:r>
        <w:t xml:space="preserve">Compared with alternatives, a graph is most appropriate as the</w:t>
      </w:r>
      <w:r>
        <w:t xml:space="preserve"> </w:t>
      </w:r>
      <w:r>
        <w:rPr>
          <w:b/>
          <w:bCs/>
        </w:rPr>
        <w:t xml:space="preserve">scholarly integration layer</w:t>
      </w:r>
      <w:r>
        <w:t xml:space="preserve">, but not necessarily as the only storage or interface layer. A relational database is still perfectly suitable for stable internal storage and editorial workflows; timelines are excellent for orientation; curated exhibitions are powerful for argument and pedagogy; and linked open data is valuable for interoperability. The best architecture is therefore hybrid:</w:t>
      </w:r>
      <w:r>
        <w:t xml:space="preserve"> </w:t>
      </w:r>
      <w:r>
        <w:rPr>
          <w:b/>
          <w:bCs/>
        </w:rPr>
        <w:t xml:space="preserve">relational storage or a document store for editing</w:t>
      </w:r>
      <w:r>
        <w:t xml:space="preserve">, a</w:t>
      </w:r>
      <w:r>
        <w:t xml:space="preserve"> </w:t>
      </w:r>
      <w:r>
        <w:rPr>
          <w:b/>
          <w:bCs/>
        </w:rPr>
        <w:t xml:space="preserve">graph abstraction for relationships</w:t>
      </w:r>
      <w:r>
        <w:t xml:space="preserve">,</w:t>
      </w:r>
      <w:r>
        <w:t xml:space="preserve"> </w:t>
      </w:r>
      <w:r>
        <w:rPr>
          <w:b/>
          <w:bCs/>
        </w:rPr>
        <w:t xml:space="preserve">JSON-LD export for interoperability</w:t>
      </w:r>
      <w:r>
        <w:t xml:space="preserve">, and</w:t>
      </w:r>
      <w:r>
        <w:t xml:space="preserve"> </w:t>
      </w:r>
      <w:r>
        <w:rPr>
          <w:b/>
          <w:bCs/>
        </w:rPr>
        <w:t xml:space="preserve">interface views</w:t>
      </w:r>
      <w:r>
        <w:t xml:space="preserve"> </w:t>
      </w:r>
      <w:r>
        <w:t xml:space="preserve">such as timeline, map, and object detail that selectively expose graph structure. This hybrid logic aligns with linked-data best practices, Europeana’s cross-domain framework, and the way many museum APIs already separate storage from public web presentation.</w:t>
      </w:r>
      <w:r>
        <w:t xml:space="preserve"> </w:t>
      </w:r>
      <w:hyperlink r:id="rId37">
        <w:r>
          <w:rPr>
            <w:rStyle w:val="Hyperlink"/>
          </w:rPr>
          <w:t xml:space="preserve">[16]</w:t>
        </w:r>
      </w:hyperlink>
    </w:p>
    <w:bookmarkEnd w:id="38"/>
    <w:bookmarkStart w:id="43" w:name="building-a-responsible-historical-spine"/>
    <w:p>
      <w:pPr>
        <w:pStyle w:val="Heading2"/>
      </w:pPr>
      <w:r>
        <w:t xml:space="preserve">Building a responsible historical spine</w:t>
      </w:r>
    </w:p>
    <w:p>
      <w:pPr>
        <w:pStyle w:val="FirstParagraph"/>
      </w:pPr>
      <w:r>
        <w:t xml:space="preserve">A curated historical spine is methodologically defensible</w:t>
      </w:r>
      <w:r>
        <w:t xml:space="preserve"> </w:t>
      </w:r>
      <w:r>
        <w:rPr>
          <w:b/>
          <w:bCs/>
        </w:rPr>
        <w:t xml:space="preserve">if it is treated as a navigational scaffold rather than as the one true sequence of graphic design history</w:t>
      </w:r>
      <w:r>
        <w:t xml:space="preserve">. That distinction is essential. Canonical histories of graphic design have been highly influential—Meggs remains a benchmark survey text—but scholarship in design history and graphic design studies increasingly argues that established narratives overemphasize Euro-American achievements, heroic individuals, and stylistic succession. Work on plural design narratives, global design history, Indigenous retellings of communication design history, decolonizing design, and postcolonial graphic design histories all support a more polycentric approach.</w:t>
      </w:r>
      <w:r>
        <w:t xml:space="preserve"> </w:t>
      </w:r>
      <w:hyperlink r:id="rId39">
        <w:r>
          <w:rPr>
            <w:rStyle w:val="Hyperlink"/>
          </w:rPr>
          <w:t xml:space="preserve">[17]</w:t>
        </w:r>
      </w:hyperlink>
    </w:p>
    <w:p>
      <w:pPr>
        <w:pStyle w:val="BodyText"/>
      </w:pPr>
      <w:r>
        <w:t xml:space="preserve">The spine should therefore be organized around</w:t>
      </w:r>
      <w:r>
        <w:t xml:space="preserve"> </w:t>
      </w:r>
      <w:r>
        <w:rPr>
          <w:b/>
          <w:bCs/>
        </w:rPr>
        <w:t xml:space="preserve">historical problems or conjunctures</w:t>
      </w:r>
      <w:r>
        <w:t xml:space="preserve">, not around a simple parade of styles or “great designers.” In your case, the most productive spine nodes are likely to be moments where media, labor, institutions, and circulation change together: the industrialization of print and lithography; reform movements and the reorganization of typography; mass persuasion and state/public information systems; corporate identity and information design; counterpublics and activist graphics; desktop publishing and digital type; and networked/platform-based graphic communication. These nodes remain historically legible, but they make room for region, labor, medium, and power rather than only style.</w:t>
      </w:r>
      <w:r>
        <w:t xml:space="preserve"> </w:t>
      </w:r>
      <w:hyperlink r:id="rId40">
        <w:r>
          <w:rPr>
            <w:rStyle w:val="Hyperlink"/>
          </w:rPr>
          <w:t xml:space="preserve">[18]</w:t>
        </w:r>
      </w:hyperlink>
    </w:p>
    <w:p>
      <w:pPr>
        <w:pStyle w:val="BodyText"/>
      </w:pPr>
      <w:r>
        <w:t xml:space="preserve">A responsible spine should also be</w:t>
      </w:r>
      <w:r>
        <w:t xml:space="preserve"> </w:t>
      </w:r>
      <w:r>
        <w:rPr>
          <w:b/>
          <w:bCs/>
        </w:rPr>
        <w:t xml:space="preserve">multi-perspectival at every node</w:t>
      </w:r>
      <w:r>
        <w:t xml:space="preserve">. Each historical node should include, at minimum, a canonical or widely recognized thread, a regional or transnational counter-thread, a labor/production thread, and a bibliography/source note explaining what kinds of evidence dominate and what kinds are missing. Twemlow’s work on silence in the graphic design archive makes clear that absences are not accidental noise; they are constitutive of how graphic design heritage has been collected and narrated. Similarly, studies of MoMA’s role in setting criteria for “good graphic design” show how exhibition culture has powerfully shaped canon formation.</w:t>
      </w:r>
      <w:r>
        <w:t xml:space="preserve"> </w:t>
      </w:r>
      <w:hyperlink r:id="rId41">
        <w:r>
          <w:rPr>
            <w:rStyle w:val="Hyperlink"/>
          </w:rPr>
          <w:t xml:space="preserve">[19]</w:t>
        </w:r>
      </w:hyperlink>
    </w:p>
    <w:p>
      <w:pPr>
        <w:pStyle w:val="BodyText"/>
      </w:pPr>
      <w:r>
        <w:t xml:space="preserve">One especially useful precedent here is</w:t>
      </w:r>
      <w:r>
        <w:t xml:space="preserve"> </w:t>
      </w:r>
      <w:r>
        <w:rPr>
          <w:b/>
          <w:bCs/>
        </w:rPr>
        <w:t xml:space="preserve">Digital Benin</w:t>
      </w:r>
      <w:r>
        <w:t xml:space="preserve">. It does not solve the same problem as your project, but it is exemplary in how it reconnects scattered objects across institutions while also foregrounding oral histories, language, provenance, harmful colonial terminology, and worldwide dispersion. The important lesson is not that your gateway should imitate its subject matter, but that it should combine historical structure with explicit attention to displacement, coloniality, and the politics of description.</w:t>
      </w:r>
      <w:r>
        <w:t xml:space="preserve"> </w:t>
      </w:r>
      <w:hyperlink r:id="rId42">
        <w:r>
          <w:rPr>
            <w:rStyle w:val="Hyperlink"/>
          </w:rPr>
          <w:t xml:space="preserve">[20]</w:t>
        </w:r>
      </w:hyperlink>
    </w:p>
    <w:p>
      <w:pPr>
        <w:pStyle w:val="BodyText"/>
      </w:pPr>
      <w:r>
        <w:t xml:space="preserve">For a first, responsible spine, I would recommend seven nodes:</w:t>
      </w:r>
    </w:p>
    <w:p>
      <w:pPr>
        <w:pStyle w:val="Compact"/>
        <w:numPr>
          <w:ilvl w:val="0"/>
          <w:numId w:val="1001"/>
        </w:numPr>
      </w:pPr>
      <w:r>
        <w:rPr>
          <w:b/>
          <w:bCs/>
        </w:rPr>
        <w:t xml:space="preserve">Industrial print and visual reproduction</w:t>
      </w:r>
    </w:p>
    <w:p>
      <w:pPr>
        <w:pStyle w:val="Compact"/>
        <w:numPr>
          <w:ilvl w:val="0"/>
          <w:numId w:val="1001"/>
        </w:numPr>
      </w:pPr>
      <w:r>
        <w:rPr>
          <w:b/>
          <w:bCs/>
        </w:rPr>
        <w:t xml:space="preserve">Reform, avant-garde, and new typography</w:t>
      </w:r>
    </w:p>
    <w:p>
      <w:pPr>
        <w:pStyle w:val="Compact"/>
        <w:numPr>
          <w:ilvl w:val="0"/>
          <w:numId w:val="1001"/>
        </w:numPr>
      </w:pPr>
      <w:r>
        <w:rPr>
          <w:b/>
          <w:bCs/>
        </w:rPr>
        <w:t xml:space="preserve">Mass persuasion, public information, and wartime graphics</w:t>
      </w:r>
    </w:p>
    <w:p>
      <w:pPr>
        <w:pStyle w:val="Compact"/>
        <w:numPr>
          <w:ilvl w:val="0"/>
          <w:numId w:val="1001"/>
        </w:numPr>
      </w:pPr>
      <w:r>
        <w:rPr>
          <w:b/>
          <w:bCs/>
        </w:rPr>
        <w:t xml:space="preserve">Corporate identity and information systems</w:t>
      </w:r>
    </w:p>
    <w:p>
      <w:pPr>
        <w:pStyle w:val="Compact"/>
        <w:numPr>
          <w:ilvl w:val="0"/>
          <w:numId w:val="1001"/>
        </w:numPr>
      </w:pPr>
      <w:r>
        <w:rPr>
          <w:b/>
          <w:bCs/>
        </w:rPr>
        <w:t xml:space="preserve">Counterpublics, protest, feminist and decolonial graphics</w:t>
      </w:r>
    </w:p>
    <w:p>
      <w:pPr>
        <w:pStyle w:val="Compact"/>
        <w:numPr>
          <w:ilvl w:val="0"/>
          <w:numId w:val="1001"/>
        </w:numPr>
      </w:pPr>
      <w:r>
        <w:rPr>
          <w:b/>
          <w:bCs/>
        </w:rPr>
        <w:t xml:space="preserve">Desktop publishing, independent type, and postmodern production</w:t>
      </w:r>
    </w:p>
    <w:p>
      <w:pPr>
        <w:pStyle w:val="Compact"/>
        <w:numPr>
          <w:ilvl w:val="0"/>
          <w:numId w:val="1001"/>
        </w:numPr>
      </w:pPr>
      <w:r>
        <w:rPr>
          <w:b/>
          <w:bCs/>
        </w:rPr>
        <w:t xml:space="preserve">Networked circulation and platform graphics</w:t>
      </w:r>
    </w:p>
    <w:p>
      <w:pPr>
        <w:pStyle w:val="FirstParagraph"/>
      </w:pPr>
      <w:r>
        <w:t xml:space="preserve">Those nodes are concise enough for navigation, but broad enough to incorporate Western canons alongside regional, feminist, labor, media-specific, and postcolonial perspectives. They also create a practical bridge from nineteenth-century preconditions to the present.</w:t>
      </w:r>
      <w:r>
        <w:t xml:space="preserve"> </w:t>
      </w:r>
      <w:hyperlink r:id="rId39">
        <w:r>
          <w:rPr>
            <w:rStyle w:val="Hyperlink"/>
          </w:rPr>
          <w:t xml:space="preserve">[21]</w:t>
        </w:r>
      </w:hyperlink>
    </w:p>
    <w:bookmarkEnd w:id="43"/>
    <w:bookmarkStart w:id="54" w:name="metadata-and-source-strategy"/>
    <w:p>
      <w:pPr>
        <w:pStyle w:val="Heading2"/>
      </w:pPr>
      <w:r>
        <w:t xml:space="preserve">Metadata and source strategy</w:t>
      </w:r>
    </w:p>
    <w:p>
      <w:pPr>
        <w:pStyle w:val="FirstParagraph"/>
      </w:pPr>
      <w:r>
        <w:t xml:space="preserve">For metadata, the most practical MVP strategy is</w:t>
      </w:r>
      <w:r>
        <w:t xml:space="preserve"> </w:t>
      </w:r>
      <w:r>
        <w:rPr>
          <w:b/>
          <w:bCs/>
        </w:rPr>
        <w:t xml:space="preserve">not</w:t>
      </w:r>
      <w:r>
        <w:t xml:space="preserve"> </w:t>
      </w:r>
      <w:r>
        <w:t xml:space="preserve">to implement full CIDOC CRM, RiC-CM, EDM, LIDO, IIIF, Wikidata, Getty, and archival standards directly. Instead, use them selectively according to function. Dublin Core is a lightweight baseline; CIDOC CRM and Linked Art are reference models for relationship design; IIIF is the right choice for image/manuscript delivery where available; Getty vocabularies are highly useful for controlled terms and authorities; Wikidata is valuable for multilingual identifiers and external linking; rightsstatements.org gives machine-readable rights labels; DACS, EAD, and RiC matter when you ingest archival descriptions; and EDM/LIDO matter primarily as mapping targets and source schemas, not necessarily as your internal MVP model.</w:t>
      </w:r>
      <w:r>
        <w:t xml:space="preserve"> </w:t>
      </w:r>
      <w:hyperlink r:id="rId44">
        <w:r>
          <w:rPr>
            <w:rStyle w:val="Hyperlink"/>
          </w:rPr>
          <w:t xml:space="preserve">[22]</w:t>
        </w:r>
      </w:hyperlink>
    </w:p>
    <w:p>
      <w:pPr>
        <w:pStyle w:val="BodyText"/>
      </w:pPr>
      <w:r>
        <w:t xml:space="preserve">A practical MVP schema should privilege a small number of required fields. At minimum, each resource record should include: local ID; entity type; preferred title; source title; creator with role; date display plus normalized start/end; place; medium/process; holding institution; source platform; source record URL; citation string; rights URI; image/manifest link if available; theme tags; historical-spine node; related entity IDs; uncertainty note; external authority IDs; last verified date; and local version. This is enough to build relationships, cite sources, display rights, and keep records maintainable without reproducing a full museum or archival management schema. The model is strengthened if you also include separate records for people, institutions, places, sources, and assertions.</w:t>
      </w:r>
      <w:r>
        <w:t xml:space="preserve"> </w:t>
      </w:r>
      <w:hyperlink r:id="rId45">
        <w:r>
          <w:rPr>
            <w:rStyle w:val="Hyperlink"/>
          </w:rPr>
          <w:t xml:space="preserve">[23]</w:t>
        </w:r>
      </w:hyperlink>
    </w:p>
    <w:p>
      <w:pPr>
        <w:pStyle w:val="BodyText"/>
      </w:pPr>
      <w:r>
        <w:t xml:space="preserve">Controlled vocabularies are worth using early, but selectively. Getty AAT is well suited for medium, process, style, and object-type terms; ULAN is useful for designers, studios, and repositories; TGN for historical and contemporary place names; LCSH can help with subject interoperability, especially for publications and library-derived resources; and Wikidata is useful for multilingual labels, external identifiers, and linking across datasets. The caution is that none of these vocabularies is complete for modern graphic design history, especially around ephemeral formats, activist print cultures, non-Western naming conventions, and community terminology. Your local schema should therefore allow both</w:t>
      </w:r>
      <w:r>
        <w:t xml:space="preserve"> </w:t>
      </w:r>
      <w:r>
        <w:rPr>
          <w:b/>
          <w:bCs/>
        </w:rPr>
        <w:t xml:space="preserve">controlled terms</w:t>
      </w:r>
      <w:r>
        <w:t xml:space="preserve"> </w:t>
      </w:r>
      <w:r>
        <w:t xml:space="preserve">and</w:t>
      </w:r>
      <w:r>
        <w:t xml:space="preserve"> </w:t>
      </w:r>
      <w:r>
        <w:rPr>
          <w:b/>
          <w:bCs/>
        </w:rPr>
        <w:t xml:space="preserve">editorial/local terms</w:t>
      </w:r>
      <w:r>
        <w:t xml:space="preserve">, with explicit mapping fields between them.</w:t>
      </w:r>
      <w:r>
        <w:t xml:space="preserve"> </w:t>
      </w:r>
      <w:hyperlink r:id="rId46">
        <w:r>
          <w:rPr>
            <w:rStyle w:val="Hyperlink"/>
          </w:rPr>
          <w:t xml:space="preserve">[24]</w:t>
        </w:r>
      </w:hyperlink>
    </w:p>
    <w:p>
      <w:pPr>
        <w:pStyle w:val="BodyText"/>
      </w:pPr>
      <w:r>
        <w:t xml:space="preserve">Design-specific metadata needs are visible in the source ecosystem itself. Letterform Archive’s online archive supports browsing by country, designer, decade, and format; Fonts In Use indexes typographic material by typeface, format, and topic; V&amp;A’s API exposes maker, depicts, associated person, material, technique, place, event, object type, and organization; and Design Reviewed’s artefact pages use fields such as format, year, client/publisher, and size. These examples suggest that a graphic-design gateway should treat</w:t>
      </w:r>
      <w:r>
        <w:t xml:space="preserve"> </w:t>
      </w:r>
      <w:r>
        <w:rPr>
          <w:b/>
          <w:bCs/>
        </w:rPr>
        <w:t xml:space="preserve">format, process, client/publisher, technology, and circulation context</w:t>
      </w:r>
      <w:r>
        <w:t xml:space="preserve"> </w:t>
      </w:r>
      <w:r>
        <w:t xml:space="preserve">as first-class metadata rather than as generic “notes.”</w:t>
      </w:r>
      <w:r>
        <w:t xml:space="preserve"> </w:t>
      </w:r>
      <w:hyperlink r:id="rId47">
        <w:r>
          <w:rPr>
            <w:rStyle w:val="Hyperlink"/>
          </w:rPr>
          <w:t xml:space="preserve">[25]</w:t>
        </w:r>
      </w:hyperlink>
    </w:p>
    <w:p>
      <w:pPr>
        <w:pStyle w:val="BodyText"/>
      </w:pPr>
      <w:r>
        <w:t xml:space="preserve">For source strategy, I would prioritize the following source types and roles:</w:t>
      </w:r>
    </w:p>
    <w:p>
      <w:pPr>
        <w:numPr>
          <w:ilvl w:val="0"/>
          <w:numId w:val="1002"/>
        </w:numPr>
      </w:pPr>
      <w:r>
        <w:rPr>
          <w:b/>
          <w:bCs/>
        </w:rPr>
        <w:t xml:space="preserve">Museum collections with APIs or open datasets</w:t>
      </w:r>
      <w:r>
        <w:t xml:space="preserve">. Examples include Cooper Hewitt, V&amp;A, MoMA, Harvard Art Museums, the Met, and Smithsonian Open Access. Their strengths are stable identifiers, institutional authority, rich object metadata, and sometimes open images; their limitations are uneven digitization, institution-specific vocabularies, and rights restrictions that vary widely.</w:t>
      </w:r>
      <w:r>
        <w:t xml:space="preserve"> </w:t>
      </w:r>
      <w:hyperlink r:id="rId48">
        <w:r>
          <w:rPr>
            <w:rStyle w:val="Hyperlink"/>
          </w:rPr>
          <w:t xml:space="preserve">[26]</w:t>
        </w:r>
      </w:hyperlink>
    </w:p>
    <w:p>
      <w:pPr>
        <w:numPr>
          <w:ilvl w:val="0"/>
          <w:numId w:val="1002"/>
        </w:numPr>
      </w:pPr>
      <w:r>
        <w:rPr>
          <w:b/>
          <w:bCs/>
        </w:rPr>
        <w:t xml:space="preserve">Cross-institutional cultural-heritage aggregators</w:t>
      </w:r>
      <w:r>
        <w:t xml:space="preserve">. Europeana and DPLA are especially useful because they aggregate metadata from many institutions, expose APIs, and use linked-data-oriented models derived from EDM and JSON-LD. Their strength is breadth and interoperability; their weakness is that aggregation often loses local nuance and reflects uneven provider quality.</w:t>
      </w:r>
      <w:r>
        <w:t xml:space="preserve"> </w:t>
      </w:r>
      <w:hyperlink r:id="rId49">
        <w:r>
          <w:rPr>
            <w:rStyle w:val="Hyperlink"/>
          </w:rPr>
          <w:t xml:space="preserve">[27]</w:t>
        </w:r>
      </w:hyperlink>
    </w:p>
    <w:p>
      <w:pPr>
        <w:numPr>
          <w:ilvl w:val="0"/>
          <w:numId w:val="1002"/>
        </w:numPr>
      </w:pPr>
      <w:r>
        <w:rPr>
          <w:b/>
          <w:bCs/>
        </w:rPr>
        <w:t xml:space="preserve">Design-specific archives and collections</w:t>
      </w:r>
      <w:r>
        <w:t xml:space="preserve">. Letterform Archive and Bauhaus-Archiv are strong because they offer design-focused holdings, browsing by design-relevant facets, and substantial contextual value. Their weakness is that digitization is selective and image reuse may require permissions.</w:t>
      </w:r>
      <w:r>
        <w:t xml:space="preserve"> </w:t>
      </w:r>
      <w:hyperlink r:id="rId47">
        <w:r>
          <w:rPr>
            <w:rStyle w:val="Hyperlink"/>
          </w:rPr>
          <w:t xml:space="preserve">[28]</w:t>
        </w:r>
      </w:hyperlink>
    </w:p>
    <w:p>
      <w:pPr>
        <w:numPr>
          <w:ilvl w:val="0"/>
          <w:numId w:val="1002"/>
        </w:numPr>
      </w:pPr>
      <w:r>
        <w:rPr>
          <w:b/>
          <w:bCs/>
        </w:rPr>
        <w:t xml:space="preserve">Community and crowdsourced design archives</w:t>
      </w:r>
      <w:r>
        <w:t xml:space="preserve">. The People’s Graphic Design Archive is especially important for inclusivity, ephemera, and underdocumented histories. Its strengths are community contribution and explicit anti-canonical intent; its limitations are moderation burden, variable metadata consistency, and sustainability through support and partnership rather than the infrastructure of a large museum.</w:t>
      </w:r>
      <w:r>
        <w:t xml:space="preserve"> </w:t>
      </w:r>
      <w:hyperlink r:id="rId50">
        <w:r>
          <w:rPr>
            <w:rStyle w:val="Hyperlink"/>
          </w:rPr>
          <w:t xml:space="preserve">[29]</w:t>
        </w:r>
      </w:hyperlink>
    </w:p>
    <w:p>
      <w:pPr>
        <w:numPr>
          <w:ilvl w:val="0"/>
          <w:numId w:val="1002"/>
        </w:numPr>
      </w:pPr>
      <w:r>
        <w:rPr>
          <w:b/>
          <w:bCs/>
        </w:rPr>
        <w:t xml:space="preserve">Poster and medium-specific archives</w:t>
      </w:r>
      <w:r>
        <w:t xml:space="preserve">. Museum für Gestaltung Zürich’s poster collection and Poster House are valuable because posters are central to modern graphic design history and these collections preserve medium-specific context. Their limitations are rights restrictions and, in some cases, less machine-friendly access.</w:t>
      </w:r>
      <w:r>
        <w:t xml:space="preserve"> </w:t>
      </w:r>
      <w:hyperlink r:id="rId51">
        <w:r>
          <w:rPr>
            <w:rStyle w:val="Hyperlink"/>
          </w:rPr>
          <w:t xml:space="preserve">[30]</w:t>
        </w:r>
      </w:hyperlink>
    </w:p>
    <w:p>
      <w:pPr>
        <w:numPr>
          <w:ilvl w:val="0"/>
          <w:numId w:val="1002"/>
        </w:numPr>
      </w:pPr>
      <w:r>
        <w:rPr>
          <w:b/>
          <w:bCs/>
        </w:rPr>
        <w:t xml:space="preserve">Typography databases and design-use registries</w:t>
      </w:r>
      <w:r>
        <w:t xml:space="preserve">. Fonts In Use is excellent for indexing design by typeface, format, and topic, and for making typographic relationships visible in actual use. Its limits are that image rights are often all-rights-reserved and its records are not a substitute for authority-controlled museum or archival metadata.</w:t>
      </w:r>
      <w:r>
        <w:t xml:space="preserve"> </w:t>
      </w:r>
      <w:hyperlink r:id="rId52">
        <w:r>
          <w:rPr>
            <w:rStyle w:val="Hyperlink"/>
          </w:rPr>
          <w:t xml:space="preserve">[31]</w:t>
        </w:r>
      </w:hyperlink>
    </w:p>
    <w:p>
      <w:pPr>
        <w:numPr>
          <w:ilvl w:val="0"/>
          <w:numId w:val="1002"/>
        </w:numPr>
      </w:pPr>
      <w:r>
        <w:rPr>
          <w:b/>
          <w:bCs/>
        </w:rPr>
        <w:t xml:space="preserve">Independent, editorially curated archives</w:t>
      </w:r>
      <w:r>
        <w:t xml:space="preserve">. Design Reviewed is valuable because it preserves graphic-design artefacts and uses design-relevant descriptive fields. But it is also a personal/project archive with member-only content in some areas, so it is better treated as a cited external source registry than as a core ingest pipeline.</w:t>
      </w:r>
      <w:r>
        <w:t xml:space="preserve"> </w:t>
      </w:r>
      <w:hyperlink r:id="rId53">
        <w:r>
          <w:rPr>
            <w:rStyle w:val="Hyperlink"/>
          </w:rPr>
          <w:t xml:space="preserve">[32]</w:t>
        </w:r>
      </w:hyperlink>
    </w:p>
    <w:p>
      <w:pPr>
        <w:numPr>
          <w:ilvl w:val="0"/>
          <w:numId w:val="1002"/>
        </w:numPr>
      </w:pPr>
      <w:r>
        <w:rPr>
          <w:b/>
          <w:bCs/>
        </w:rPr>
        <w:t xml:space="preserve">Scholarly books, journal articles, exhibition catalogues, and course bibliographies</w:t>
      </w:r>
      <w:r>
        <w:t xml:space="preserve">. These sources provide interpretation, periodization, and bibliography rather than clean object metadata. They are essential for building the spine and for recording discourse about works, but they require manual extraction and should usually be represented as texts, citations, and bibliographic nodes rather than bulk-ingested “records.”</w:t>
      </w:r>
      <w:r>
        <w:t xml:space="preserve"> </w:t>
      </w:r>
      <w:hyperlink r:id="rId39">
        <w:r>
          <w:rPr>
            <w:rStyle w:val="Hyperlink"/>
          </w:rPr>
          <w:t xml:space="preserve">[33]</w:t>
        </w:r>
      </w:hyperlink>
    </w:p>
    <w:bookmarkEnd w:id="54"/>
    <w:bookmarkStart w:id="58" w:name="interface-and-ethics"/>
    <w:p>
      <w:pPr>
        <w:pStyle w:val="Heading2"/>
      </w:pPr>
      <w:r>
        <w:t xml:space="preserve">Interface and ethics</w:t>
      </w:r>
    </w:p>
    <w:p>
      <w:pPr>
        <w:pStyle w:val="FirstParagraph"/>
      </w:pPr>
      <w:r>
        <w:t xml:space="preserve">The interface should be treated as a</w:t>
      </w:r>
      <w:r>
        <w:t xml:space="preserve"> </w:t>
      </w:r>
      <w:r>
        <w:rPr>
          <w:b/>
          <w:bCs/>
        </w:rPr>
        <w:t xml:space="preserve">research instrument</w:t>
      </w:r>
      <w:r>
        <w:t xml:space="preserve">. Drucker’s critique of realist display models, Whitelaw’s generous interfaces, and work on archival liveness all suggest that interface design can shape what kinds of historical questions become thinkable. A good gateway interface will therefore move users between macro-structure and micro-evidence: a user should be able to start from a historical node, see a set of distributed resources, compare related works or designers across institutions, inspect source provenance, and understand where certainty ends.</w:t>
      </w:r>
      <w:r>
        <w:t xml:space="preserve"> </w:t>
      </w:r>
      <w:hyperlink r:id="rId22">
        <w:r>
          <w:rPr>
            <w:rStyle w:val="Hyperlink"/>
          </w:rPr>
          <w:t xml:space="preserve">[34]</w:t>
        </w:r>
      </w:hyperlink>
    </w:p>
    <w:p>
      <w:pPr>
        <w:pStyle w:val="BodyText"/>
      </w:pPr>
      <w:r>
        <w:t xml:space="preserve">For the first prototype, a</w:t>
      </w:r>
      <w:r>
        <w:t xml:space="preserve"> </w:t>
      </w:r>
      <w:r>
        <w:rPr>
          <w:b/>
          <w:bCs/>
        </w:rPr>
        <w:t xml:space="preserve">timeline-first interface</w:t>
      </w:r>
      <w:r>
        <w:t xml:space="preserve"> </w:t>
      </w:r>
      <w:r>
        <w:t xml:space="preserve">is the best choice because your project explicitly uses a historical spine. But that timeline should not be a single strip of dates. It should be a polycentric timeline with filters for region, format, medium/technology, institution, and theme, plus the ability to jump from any event or record to a relationship panel and source registry. Europeana’s long-running interest in curated thematic searches and multiple story-oriented entry points supports this approach, while Digital Benin shows how map, language, provenance, and dispersed holdings can be combined without reducing the user to simple search or browsing alone.</w:t>
      </w:r>
      <w:r>
        <w:t xml:space="preserve"> </w:t>
      </w:r>
      <w:hyperlink r:id="rId55">
        <w:r>
          <w:rPr>
            <w:rStyle w:val="Hyperlink"/>
          </w:rPr>
          <w:t xml:space="preserve">[35]</w:t>
        </w:r>
      </w:hyperlink>
    </w:p>
    <w:p>
      <w:pPr>
        <w:pStyle w:val="BodyText"/>
      </w:pPr>
      <w:r>
        <w:t xml:space="preserve">I would make the object detail page the project’s real scholarly center. Each detail page should include: a concise editorial summary; source record links; a citation panel; rights and reuse status; related entities; a provenance trail showing where information came from; and an uncertainty panel with fields such as</w:t>
      </w:r>
      <w:r>
        <w:t xml:space="preserve"> </w:t>
      </w:r>
      <w:r>
        <w:rPr>
          <w:rStyle w:val="VerbatimChar"/>
        </w:rPr>
        <w:t xml:space="preserve">attributed to</w:t>
      </w:r>
      <w:r>
        <w:t xml:space="preserve">,</w:t>
      </w:r>
      <w:r>
        <w:t xml:space="preserve"> </w:t>
      </w:r>
      <w:r>
        <w:rPr>
          <w:rStyle w:val="VerbatimChar"/>
        </w:rPr>
        <w:t xml:space="preserve">possibly</w:t>
      </w:r>
      <w:r>
        <w:t xml:space="preserve">,</w:t>
      </w:r>
      <w:r>
        <w:t xml:space="preserve"> </w:t>
      </w:r>
      <w:r>
        <w:rPr>
          <w:rStyle w:val="VerbatimChar"/>
        </w:rPr>
        <w:t xml:space="preserve">conflicting dates</w:t>
      </w:r>
      <w:r>
        <w:t xml:space="preserve">,</w:t>
      </w:r>
      <w:r>
        <w:t xml:space="preserve"> </w:t>
      </w:r>
      <w:r>
        <w:rPr>
          <w:rStyle w:val="VerbatimChar"/>
        </w:rPr>
        <w:t xml:space="preserve">digitized only in one source</w:t>
      </w:r>
      <w:r>
        <w:t xml:space="preserve">, or</w:t>
      </w:r>
      <w:r>
        <w:t xml:space="preserve"> </w:t>
      </w:r>
      <w:r>
        <w:rPr>
          <w:rStyle w:val="VerbatimChar"/>
        </w:rPr>
        <w:t xml:space="preserve">community-supplied note</w:t>
      </w:r>
      <w:r>
        <w:t xml:space="preserve">. V&amp;A’s API is a good precedent here because it includes explicit content-warning-related fields for both object records and images; such fields remind us that interface design can surface ethics as part of data structure, not merely by adding a disclaimer at the bottom of the page.</w:t>
      </w:r>
      <w:r>
        <w:t xml:space="preserve"> </w:t>
      </w:r>
      <w:hyperlink r:id="rId56">
        <w:r>
          <w:rPr>
            <w:rStyle w:val="Hyperlink"/>
          </w:rPr>
          <w:t xml:space="preserve">[36]</w:t>
        </w:r>
      </w:hyperlink>
    </w:p>
    <w:p>
      <w:pPr>
        <w:pStyle w:val="BodyText"/>
      </w:pPr>
      <w:r>
        <w:t xml:space="preserve">The project also needs a</w:t>
      </w:r>
      <w:r>
        <w:t xml:space="preserve"> </w:t>
      </w:r>
      <w:r>
        <w:rPr>
          <w:b/>
          <w:bCs/>
        </w:rPr>
        <w:t xml:space="preserve">source registry</w:t>
      </w:r>
      <w:r>
        <w:t xml:space="preserve"> </w:t>
      </w:r>
      <w:r>
        <w:t xml:space="preserve">as a first-class interface component. Researchers should be able to inspect which source collections are included, what each source’s coverage looks like, what rights apply, what metadata standard or style it uses, whether records are manually curated or API-harvested, and when they were last refreshed. This helps prevent a common problem in digital cultural projects: institutional authority becomes invisible even as it structures the user’s knowledge. By making sources visible, you turn the interface into a method of historiographic self-critique.</w:t>
      </w:r>
      <w:r>
        <w:t xml:space="preserve"> </w:t>
      </w:r>
      <w:hyperlink r:id="rId21">
        <w:r>
          <w:rPr>
            <w:rStyle w:val="Hyperlink"/>
          </w:rPr>
          <w:t xml:space="preserve">[37]</w:t>
        </w:r>
      </w:hyperlink>
    </w:p>
    <w:p>
      <w:pPr>
        <w:pStyle w:val="BodyText"/>
      </w:pPr>
      <w:r>
        <w:t xml:space="preserve">The ethical issues are not peripheral; they are foundational.</w:t>
      </w:r>
      <w:r>
        <w:t xml:space="preserve"> </w:t>
      </w:r>
      <w:r>
        <w:rPr>
          <w:b/>
          <w:bCs/>
        </w:rPr>
        <w:t xml:space="preserve">Image rights</w:t>
      </w:r>
      <w:r>
        <w:t xml:space="preserve"> </w:t>
      </w:r>
      <w:r>
        <w:t xml:space="preserve">differ sharply across collections;</w:t>
      </w:r>
      <w:r>
        <w:t xml:space="preserve"> </w:t>
      </w:r>
      <w:r>
        <w:rPr>
          <w:b/>
          <w:bCs/>
        </w:rPr>
        <w:t xml:space="preserve">metadata bias</w:t>
      </w:r>
      <w:r>
        <w:t xml:space="preserve"> </w:t>
      </w:r>
      <w:r>
        <w:t xml:space="preserve">can reproduce racist, sexist, colonial, or otherwise harmful language;</w:t>
      </w:r>
      <w:r>
        <w:t xml:space="preserve"> </w:t>
      </w:r>
      <w:r>
        <w:rPr>
          <w:b/>
          <w:bCs/>
        </w:rPr>
        <w:t xml:space="preserve">institutional digitization bias</w:t>
      </w:r>
      <w:r>
        <w:t xml:space="preserve"> </w:t>
      </w:r>
      <w:r>
        <w:t xml:space="preserve">can make already-canonical histories look even more central simply because they are better digitized; and</w:t>
      </w:r>
      <w:r>
        <w:t xml:space="preserve"> </w:t>
      </w:r>
      <w:r>
        <w:rPr>
          <w:b/>
          <w:bCs/>
        </w:rPr>
        <w:t xml:space="preserve">missing or uncertain authorship</w:t>
      </w:r>
      <w:r>
        <w:t xml:space="preserve"> </w:t>
      </w:r>
      <w:r>
        <w:t xml:space="preserve">is common in commercial, collective, or underdocumented design histories. Archives for Black Lives in Philadelphia has produced anti-racist description resources specifically because older catalogues and finding aids often contain harmful language, while Local Contexts provides labels and notices for Indigenous cultural protocols and data governance. These are not niche add-ons; they are models for how description and display can acknowledge power.</w:t>
      </w:r>
      <w:r>
        <w:t xml:space="preserve"> </w:t>
      </w:r>
      <w:hyperlink r:id="rId57">
        <w:r>
          <w:rPr>
            <w:rStyle w:val="Hyperlink"/>
          </w:rPr>
          <w:t xml:space="preserve">[38]</w:t>
        </w:r>
      </w:hyperlink>
    </w:p>
    <w:p>
      <w:pPr>
        <w:pStyle w:val="BodyText"/>
      </w:pPr>
      <w:r>
        <w:t xml:space="preserve">A practical ethical policy for your gateway should include the following. Distinguish clearly between</w:t>
      </w:r>
      <w:r>
        <w:t xml:space="preserve"> </w:t>
      </w:r>
      <w:r>
        <w:rPr>
          <w:rStyle w:val="VerbatimChar"/>
        </w:rPr>
        <w:t xml:space="preserve">unknown</w:t>
      </w:r>
      <w:r>
        <w:t xml:space="preserve">,</w:t>
      </w:r>
      <w:r>
        <w:t xml:space="preserve"> </w:t>
      </w:r>
      <w:r>
        <w:rPr>
          <w:rStyle w:val="VerbatimChar"/>
        </w:rPr>
        <w:t xml:space="preserve">not recorded</w:t>
      </w:r>
      <w:r>
        <w:t xml:space="preserve">, and</w:t>
      </w:r>
      <w:r>
        <w:t xml:space="preserve"> </w:t>
      </w:r>
      <w:r>
        <w:rPr>
          <w:rStyle w:val="VerbatimChar"/>
        </w:rPr>
        <w:t xml:space="preserve">uncertain</w:t>
      </w:r>
      <w:r>
        <w:t xml:space="preserve">. Preserve harmful historical titles or descriptors only when necessary for scholarly traceability, but pair them with contextual notes and safer display labels. Record when a history is represented chiefly through one institution’s holdings. Avoid automatic ranking that privileges the most digitized or most linked works without editorial checks. For culturally sensitive materials, include protocol notes or restrict local display to metadata and source links only. Digital Benin’s warning that some inherited descriptions are colonial and harmful is a good precedent for this kind of explicit framing, as is Smithsonian guidance on harmful content and on the residual third-party rights issues that can remain even for CC0 material.</w:t>
      </w:r>
      <w:r>
        <w:t xml:space="preserve"> </w:t>
      </w:r>
      <w:hyperlink r:id="rId42">
        <w:r>
          <w:rPr>
            <w:rStyle w:val="Hyperlink"/>
          </w:rPr>
          <w:t xml:space="preserve">[39]</w:t>
        </w:r>
      </w:hyperlink>
    </w:p>
    <w:bookmarkEnd w:id="58"/>
    <w:bookmarkStart w:id="63" w:name="mvp-plan-and-reading-list"/>
    <w:p>
      <w:pPr>
        <w:pStyle w:val="Heading2"/>
      </w:pPr>
      <w:r>
        <w:t xml:space="preserve">MVP plan and reading list</w:t>
      </w:r>
    </w:p>
    <w:p>
      <w:pPr>
        <w:pStyle w:val="FirstParagraph"/>
      </w:pPr>
      <w:r>
        <w:t xml:space="preserve">A realistic MVP should test one primary hypothesis:</w:t>
      </w:r>
      <w:r>
        <w:t xml:space="preserve"> </w:t>
      </w:r>
      <w:r>
        <w:rPr>
          <w:b/>
          <w:bCs/>
        </w:rPr>
        <w:t xml:space="preserve">that a manually curated historical spine can connect distributed archive resources into a usable, citation-rich research environment without pretending to replace the source archives themselves</w:t>
      </w:r>
      <w:r>
        <w:t xml:space="preserve">. To prove that claim, the MVP does not need comprehensive coverage. It needs a clear historical structure, a small but heterogeneous set of sources, enough records to show relational behavior, and an interface that makes provenance and uncertainty legible.</w:t>
      </w:r>
      <w:r>
        <w:t xml:space="preserve"> </w:t>
      </w:r>
      <w:hyperlink r:id="rId23">
        <w:r>
          <w:rPr>
            <w:rStyle w:val="Hyperlink"/>
          </w:rPr>
          <w:t xml:space="preserve">[4]</w:t>
        </w:r>
      </w:hyperlink>
    </w:p>
    <w:p>
      <w:pPr>
        <w:pStyle w:val="BodyText"/>
      </w:pPr>
      <w:r>
        <w:t xml:space="preserve">The most convincing MVP scope is this:</w:t>
      </w:r>
      <w:r>
        <w:t xml:space="preserve"> </w:t>
      </w:r>
      <w:r>
        <w:rPr>
          <w:b/>
          <w:bCs/>
        </w:rPr>
        <w:t xml:space="preserve">seven historical-spine nodes, four or five source collections, roughly 60–90 resource records, 15–20 agent and institution records, a source registry, a unified local schema, rights and citation fields, one polycentric timeline view, one record-detail page, and a related-resources panel</w:t>
      </w:r>
      <w:r>
        <w:t xml:space="preserve">. That scale is small enough for manual curation and data cleaning, but large enough to test whether cross-source discovery actually works.</w:t>
      </w:r>
      <w:r>
        <w:t xml:space="preserve"> </w:t>
      </w:r>
      <w:hyperlink r:id="rId34">
        <w:r>
          <w:rPr>
            <w:rStyle w:val="Hyperlink"/>
          </w:rPr>
          <w:t xml:space="preserve">[40]</w:t>
        </w:r>
      </w:hyperlink>
    </w:p>
    <w:p>
      <w:pPr>
        <w:pStyle w:val="BodyText"/>
      </w:pPr>
      <w:r>
        <w:t xml:space="preserve">For a first prototype, I would use this source mix:</w:t>
      </w:r>
    </w:p>
    <w:p>
      <w:pPr>
        <w:pStyle w:val="Compact"/>
        <w:numPr>
          <w:ilvl w:val="0"/>
          <w:numId w:val="1003"/>
        </w:numPr>
      </w:pPr>
      <w:r>
        <w:rPr>
          <w:b/>
          <w:bCs/>
        </w:rPr>
        <w:t xml:space="preserve">Cooper Hewitt API</w:t>
      </w:r>
      <w:r>
        <w:t xml:space="preserve"> </w:t>
      </w:r>
      <w:r>
        <w:t xml:space="preserve">for design-focused museum records and open-data practice.</w:t>
      </w:r>
      <w:r>
        <w:t xml:space="preserve"> </w:t>
      </w:r>
      <w:hyperlink r:id="rId48">
        <w:r>
          <w:rPr>
            <w:rStyle w:val="Hyperlink"/>
          </w:rPr>
          <w:t xml:space="preserve">[41]</w:t>
        </w:r>
      </w:hyperlink>
    </w:p>
    <w:p>
      <w:pPr>
        <w:pStyle w:val="Compact"/>
        <w:numPr>
          <w:ilvl w:val="0"/>
          <w:numId w:val="1003"/>
        </w:numPr>
      </w:pPr>
      <w:r>
        <w:rPr>
          <w:b/>
          <w:bCs/>
        </w:rPr>
        <w:t xml:space="preserve">V&amp;A Collections API</w:t>
      </w:r>
      <w:r>
        <w:t xml:space="preserve"> </w:t>
      </w:r>
      <w:r>
        <w:t xml:space="preserve">for broad cultural-design coverage, rich relational fields, and explicit API/image-use conditions.</w:t>
      </w:r>
      <w:r>
        <w:t xml:space="preserve"> </w:t>
      </w:r>
      <w:hyperlink r:id="rId59">
        <w:r>
          <w:rPr>
            <w:rStyle w:val="Hyperlink"/>
          </w:rPr>
          <w:t xml:space="preserve">[42]</w:t>
        </w:r>
      </w:hyperlink>
    </w:p>
    <w:p>
      <w:pPr>
        <w:pStyle w:val="Compact"/>
        <w:numPr>
          <w:ilvl w:val="0"/>
          <w:numId w:val="1003"/>
        </w:numPr>
      </w:pPr>
      <w:r>
        <w:rPr>
          <w:b/>
          <w:bCs/>
        </w:rPr>
        <w:t xml:space="preserve">MoMA collection dataset</w:t>
      </w:r>
      <w:r>
        <w:t xml:space="preserve"> </w:t>
      </w:r>
      <w:r>
        <w:t xml:space="preserve">to represent a canonical, highly visible modern-art/design institution with external identifiers and openly downloadable metadata but more restricted image licensing.</w:t>
      </w:r>
      <w:r>
        <w:t xml:space="preserve"> </w:t>
      </w:r>
      <w:hyperlink r:id="rId60">
        <w:r>
          <w:rPr>
            <w:rStyle w:val="Hyperlink"/>
          </w:rPr>
          <w:t xml:space="preserve">[43]</w:t>
        </w:r>
      </w:hyperlink>
    </w:p>
    <w:p>
      <w:pPr>
        <w:pStyle w:val="Compact"/>
        <w:numPr>
          <w:ilvl w:val="0"/>
          <w:numId w:val="1003"/>
        </w:numPr>
      </w:pPr>
      <w:r>
        <w:rPr>
          <w:b/>
          <w:bCs/>
        </w:rPr>
        <w:t xml:space="preserve">People’s Graphic Design Archive</w:t>
      </w:r>
      <w:r>
        <w:t xml:space="preserve"> </w:t>
      </w:r>
      <w:r>
        <w:t xml:space="preserve">to incorporate community-contributed, inclusive, and underdocumented graphic design histories.</w:t>
      </w:r>
      <w:r>
        <w:t xml:space="preserve"> </w:t>
      </w:r>
      <w:hyperlink r:id="rId50">
        <w:r>
          <w:rPr>
            <w:rStyle w:val="Hyperlink"/>
          </w:rPr>
          <w:t xml:space="preserve">[44]</w:t>
        </w:r>
      </w:hyperlink>
    </w:p>
    <w:p>
      <w:pPr>
        <w:pStyle w:val="Compact"/>
        <w:numPr>
          <w:ilvl w:val="0"/>
          <w:numId w:val="1003"/>
        </w:numPr>
      </w:pPr>
      <w:r>
        <w:rPr>
          <w:b/>
          <w:bCs/>
        </w:rPr>
        <w:t xml:space="preserve">Museum für Gestaltung Zürich poster collection</w:t>
      </w:r>
      <w:r>
        <w:t xml:space="preserve"> </w:t>
      </w:r>
      <w:r>
        <w:t xml:space="preserve">or</w:t>
      </w:r>
      <w:r>
        <w:t xml:space="preserve"> </w:t>
      </w:r>
      <w:r>
        <w:rPr>
          <w:b/>
          <w:bCs/>
        </w:rPr>
        <w:t xml:space="preserve">Fonts In Use</w:t>
      </w:r>
      <w:r>
        <w:t xml:space="preserve"> </w:t>
      </w:r>
      <w:r>
        <w:t xml:space="preserve">as the fifth source, depending on which historical node you prioritize first: poster history or typography-in-use. Zurich is stronger for posters and long historical range; Fonts In Use is stronger for typographic comparison and use-contexts.</w:t>
      </w:r>
      <w:r>
        <w:t xml:space="preserve"> </w:t>
      </w:r>
      <w:hyperlink r:id="rId51">
        <w:r>
          <w:rPr>
            <w:rStyle w:val="Hyperlink"/>
          </w:rPr>
          <w:t xml:space="preserve">[45]</w:t>
        </w:r>
      </w:hyperlink>
    </w:p>
    <w:p>
      <w:pPr>
        <w:pStyle w:val="FirstParagraph"/>
      </w:pPr>
      <w:r>
        <w:t xml:space="preserve">For the initial seven spine nodes, I would select examples that force cross-source linking rather than inviting a single-institution narrative:</w:t>
      </w:r>
      <w:r>
        <w:t xml:space="preserve"> </w:t>
      </w:r>
      <w:r>
        <w:rPr>
          <w:b/>
          <w:bCs/>
        </w:rPr>
        <w:t xml:space="preserve">industrial print and lithography; new typography and modernism; public information and propaganda; corporate identity and information systems; protest and counterpublic graphics; desktop publishing and digital type; networked/platform graphics</w:t>
      </w:r>
      <w:r>
        <w:t xml:space="preserve">. Within each node, select 8–12 anchor records and ensure deliberate variation across region, gender, institutional source, and media form. The goal is not balanced representation in the abstract; it is to make historiographic difference visible at record level.</w:t>
      </w:r>
      <w:r>
        <w:t xml:space="preserve"> </w:t>
      </w:r>
      <w:hyperlink r:id="rId61">
        <w:r>
          <w:rPr>
            <w:rStyle w:val="Hyperlink"/>
          </w:rPr>
          <w:t xml:space="preserve">[46]</w:t>
        </w:r>
      </w:hyperlink>
    </w:p>
    <w:p>
      <w:pPr>
        <w:pStyle w:val="BodyText"/>
      </w:pPr>
      <w:r>
        <w:t xml:space="preserve">The most important MVP fields are the ones that support trust and connection:</w:t>
      </w:r>
      <w:r>
        <w:t xml:space="preserve"> </w:t>
      </w:r>
      <w:r>
        <w:rPr>
          <w:rStyle w:val="VerbatimChar"/>
        </w:rPr>
        <w:t xml:space="preserve">local_id</w:t>
      </w:r>
      <w:r>
        <w:t xml:space="preserve">,</w:t>
      </w:r>
      <w:r>
        <w:t xml:space="preserve"> </w:t>
      </w:r>
      <w:r>
        <w:rPr>
          <w:rStyle w:val="VerbatimChar"/>
        </w:rPr>
        <w:t xml:space="preserve">entity_type</w:t>
      </w:r>
      <w:r>
        <w:t xml:space="preserve">,</w:t>
      </w:r>
      <w:r>
        <w:t xml:space="preserve"> </w:t>
      </w:r>
      <w:r>
        <w:rPr>
          <w:rStyle w:val="VerbatimChar"/>
        </w:rPr>
        <w:t xml:space="preserve">title</w:t>
      </w:r>
      <w:r>
        <w:t xml:space="preserve">,</w:t>
      </w:r>
      <w:r>
        <w:t xml:space="preserve"> </w:t>
      </w:r>
      <w:r>
        <w:rPr>
          <w:rStyle w:val="VerbatimChar"/>
        </w:rPr>
        <w:t xml:space="preserve">creator_role</w:t>
      </w:r>
      <w:r>
        <w:t xml:space="preserve">,</w:t>
      </w:r>
      <w:r>
        <w:t xml:space="preserve"> </w:t>
      </w:r>
      <w:r>
        <w:rPr>
          <w:rStyle w:val="VerbatimChar"/>
        </w:rPr>
        <w:t xml:space="preserve">date_start/date_end</w:t>
      </w:r>
      <w:r>
        <w:t xml:space="preserve">,</w:t>
      </w:r>
      <w:r>
        <w:t xml:space="preserve"> </w:t>
      </w:r>
      <w:r>
        <w:rPr>
          <w:rStyle w:val="VerbatimChar"/>
        </w:rPr>
        <w:t xml:space="preserve">place</w:t>
      </w:r>
      <w:r>
        <w:t xml:space="preserve">,</w:t>
      </w:r>
      <w:r>
        <w:t xml:space="preserve"> </w:t>
      </w:r>
      <w:r>
        <w:rPr>
          <w:rStyle w:val="VerbatimChar"/>
        </w:rPr>
        <w:t xml:space="preserve">medium/process</w:t>
      </w:r>
      <w:r>
        <w:t xml:space="preserve">,</w:t>
      </w:r>
      <w:r>
        <w:t xml:space="preserve"> </w:t>
      </w:r>
      <w:r>
        <w:rPr>
          <w:rStyle w:val="VerbatimChar"/>
        </w:rPr>
        <w:t xml:space="preserve">holding_institution</w:t>
      </w:r>
      <w:r>
        <w:t xml:space="preserve">,</w:t>
      </w:r>
      <w:r>
        <w:t xml:space="preserve"> </w:t>
      </w:r>
      <w:r>
        <w:rPr>
          <w:rStyle w:val="VerbatimChar"/>
        </w:rPr>
        <w:t xml:space="preserve">source_record_url</w:t>
      </w:r>
      <w:r>
        <w:t xml:space="preserve">,</w:t>
      </w:r>
      <w:r>
        <w:t xml:space="preserve"> </w:t>
      </w:r>
      <w:r>
        <w:rPr>
          <w:rStyle w:val="VerbatimChar"/>
        </w:rPr>
        <w:t xml:space="preserve">source_name</w:t>
      </w:r>
      <w:r>
        <w:t xml:space="preserve">,</w:t>
      </w:r>
      <w:r>
        <w:t xml:space="preserve"> </w:t>
      </w:r>
      <w:r>
        <w:rPr>
          <w:rStyle w:val="VerbatimChar"/>
        </w:rPr>
        <w:t xml:space="preserve">citation</w:t>
      </w:r>
      <w:r>
        <w:t xml:space="preserve">,</w:t>
      </w:r>
      <w:r>
        <w:t xml:space="preserve"> </w:t>
      </w:r>
      <w:r>
        <w:rPr>
          <w:rStyle w:val="VerbatimChar"/>
        </w:rPr>
        <w:t xml:space="preserve">rights_uri</w:t>
      </w:r>
      <w:r>
        <w:t xml:space="preserve">,</w:t>
      </w:r>
      <w:r>
        <w:t xml:space="preserve"> </w:t>
      </w:r>
      <w:r>
        <w:rPr>
          <w:rStyle w:val="VerbatimChar"/>
        </w:rPr>
        <w:t xml:space="preserve">historical_node</w:t>
      </w:r>
      <w:r>
        <w:t xml:space="preserve">,</w:t>
      </w:r>
      <w:r>
        <w:t xml:space="preserve"> </w:t>
      </w:r>
      <w:r>
        <w:rPr>
          <w:rStyle w:val="VerbatimChar"/>
        </w:rPr>
        <w:t xml:space="preserve">theme</w:t>
      </w:r>
      <w:r>
        <w:t xml:space="preserve">,</w:t>
      </w:r>
      <w:r>
        <w:t xml:space="preserve"> </w:t>
      </w:r>
      <w:r>
        <w:rPr>
          <w:rStyle w:val="VerbatimChar"/>
        </w:rPr>
        <w:t xml:space="preserve">related_entities</w:t>
      </w:r>
      <w:r>
        <w:t xml:space="preserve">,</w:t>
      </w:r>
      <w:r>
        <w:t xml:space="preserve"> </w:t>
      </w:r>
      <w:r>
        <w:rPr>
          <w:rStyle w:val="VerbatimChar"/>
        </w:rPr>
        <w:t xml:space="preserve">authority_ids</w:t>
      </w:r>
      <w:r>
        <w:t xml:space="preserve">,</w:t>
      </w:r>
      <w:r>
        <w:t xml:space="preserve"> </w:t>
      </w:r>
      <w:r>
        <w:rPr>
          <w:rStyle w:val="VerbatimChar"/>
        </w:rPr>
        <w:t xml:space="preserve">uncertainty_note</w:t>
      </w:r>
      <w:r>
        <w:t xml:space="preserve">,</w:t>
      </w:r>
      <w:r>
        <w:t xml:space="preserve"> </w:t>
      </w:r>
      <w:r>
        <w:rPr>
          <w:rStyle w:val="VerbatimChar"/>
        </w:rPr>
        <w:t xml:space="preserve">last_verified</w:t>
      </w:r>
      <w:r>
        <w:t xml:space="preserve">, and</w:t>
      </w:r>
      <w:r>
        <w:t xml:space="preserve"> </w:t>
      </w:r>
      <w:r>
        <w:rPr>
          <w:rStyle w:val="VerbatimChar"/>
        </w:rPr>
        <w:t xml:space="preserve">record_version</w:t>
      </w:r>
      <w:r>
        <w:t xml:space="preserve">. If you must cut features, do not cut rights, citation, or uncertainty. Those are what distinguish a scholarly gateway from a design-history browsing site.</w:t>
      </w:r>
      <w:r>
        <w:t xml:space="preserve"> </w:t>
      </w:r>
      <w:hyperlink r:id="rId28">
        <w:r>
          <w:rPr>
            <w:rStyle w:val="Hyperlink"/>
          </w:rPr>
          <w:t xml:space="preserve">[47]</w:t>
        </w:r>
      </w:hyperlink>
    </w:p>
    <w:p>
      <w:pPr>
        <w:pStyle w:val="BodyText"/>
      </w:pPr>
      <w:r>
        <w:t xml:space="preserve">The principal risks are straightforward. Rights may prevent local image reuse even when metadata is open. External APIs may change or go down. Cross-source reconciliation of names, places, and dates will take more labor than expected. Community-contributed sources will need moderation. Digitization bias may skew the apparent shape of history. And the historical spine itself may reintroduce canon if it is not explicitly designed to show parallel and contested narratives. These are not reasons to avoid the project; they are reasons to design its methods visibly.</w:t>
      </w:r>
      <w:r>
        <w:t xml:space="preserve"> </w:t>
      </w:r>
      <w:hyperlink r:id="rId62">
        <w:r>
          <w:rPr>
            <w:rStyle w:val="Hyperlink"/>
          </w:rPr>
          <w:t xml:space="preserve">[48]</w:t>
        </w:r>
      </w:hyperlink>
    </w:p>
    <w:p>
      <w:pPr>
        <w:pStyle w:val="BodyText"/>
      </w:pPr>
      <w:r>
        <w:t xml:space="preserve">Open questions remain. The research base is strong on cultural-heritage metadata, DH interfaces, and critique of design-historical canons, but there is less openly accessible methodological writing devoted specifically to</w:t>
      </w:r>
      <w:r>
        <w:t xml:space="preserve"> </w:t>
      </w:r>
      <w:r>
        <w:rPr>
          <w:i/>
          <w:iCs/>
        </w:rPr>
        <w:t xml:space="preserve">modern graphic design history gateways</w:t>
      </w:r>
      <w:r>
        <w:t xml:space="preserve"> </w:t>
      </w:r>
      <w:r>
        <w:t xml:space="preserve">as a distinct project type. That means part of your contribution will be methodological invention: translating established archive, metadata, and DH principles into a design-history-specific form. The safest path is to keep the MVP modest and document every editorial decision so the prototype itself becomes part of the research argument.</w:t>
      </w:r>
      <w:r>
        <w:t xml:space="preserve"> </w:t>
      </w:r>
      <w:hyperlink r:id="rId23">
        <w:r>
          <w:rPr>
            <w:rStyle w:val="Hyperlink"/>
          </w:rPr>
          <w:t xml:space="preserve">[49]</w:t>
        </w:r>
      </w:hyperlink>
    </w:p>
    <w:p>
      <w:pPr>
        <w:pStyle w:val="BodyText"/>
      </w:pPr>
      <w:r>
        <w:t xml:space="preserve">A concise reading list and precedent set for the next phase would include: Johanna Drucker on humanistic graphical display and interface theory; Joanna Tucker on digital sustainability; Ciaran Trace on archives as information infrastructure and maintenance work; Tom Schofield, Mitchell Whitelaw, and David Kirk on research through design in DH; Mitchell Whitelaw on generous interfaces; Alice Twemlow on silence in the graphic design archive; Clémence Imbert on MoMA and the canon of graphic design history;</w:t>
      </w:r>
      <w:r>
        <w:t xml:space="preserve"> </w:t>
      </w:r>
      <w:r>
        <w:rPr>
          <w:i/>
          <w:iCs/>
        </w:rPr>
        <w:t xml:space="preserve">Global Design History</w:t>
      </w:r>
      <w:r>
        <w:t xml:space="preserve">; Aggie Toppins’s</w:t>
      </w:r>
      <w:r>
        <w:t xml:space="preserve"> </w:t>
      </w:r>
      <w:r>
        <w:rPr>
          <w:i/>
          <w:iCs/>
        </w:rPr>
        <w:t xml:space="preserve">Thinking Through Graphic Design History</w:t>
      </w:r>
      <w:r>
        <w:t xml:space="preserve">; and Dori Tunstall’s</w:t>
      </w:r>
      <w:r>
        <w:t xml:space="preserve"> </w:t>
      </w:r>
      <w:r>
        <w:rPr>
          <w:i/>
          <w:iCs/>
        </w:rPr>
        <w:t xml:space="preserve">Decolonizing Design</w:t>
      </w:r>
      <w:r>
        <w:t xml:space="preserve">. Comparable projects worth sustained analysis are Europeana, DPLA, Digital Benin, Linked Art, Cooper Hewitt’s collections API and experimental interfaces, Letterform Archive’s Online Archive, PGDA, Bauhaus Collection Online, and the Museum für Gestaltung Zürich poster collections.</w:t>
      </w:r>
      <w:r>
        <w:t xml:space="preserve"> </w:t>
      </w:r>
      <w:hyperlink r:id="rId22">
        <w:r>
          <w:rPr>
            <w:rStyle w:val="Hyperlink"/>
          </w:rPr>
          <w:t xml:space="preserve">[50]</w:t>
        </w:r>
      </w:hyperlink>
    </w:p>
    <w:bookmarkEnd w:id="63"/>
    <w:bookmarkEnd w:id="64"/>
    <w:bookmarkEnd w:id="65"/>
    <w:p>
      <w:r>
        <w:pict>
          <v:rect style="width:0;height:1.5pt" o:hralign="center" o:hrstd="t" o:hr="t"/>
        </w:pict>
      </w:r>
    </w:p>
    <w:bookmarkStart w:id="66"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[37]</w:t>
        </w:r>
      </w:hyperlink>
      <w:r>
        <w:t xml:space="preserve"> </w:t>
      </w:r>
      <w:r>
        <w:t xml:space="preserve">https://dhq-static.digitalhumanities.org/pdf/000603.pdf</w:t>
      </w:r>
    </w:p>
    <w:p>
      <w:pPr>
        <w:pStyle w:val="BodyText"/>
      </w:pPr>
      <w:hyperlink r:id="rId21">
        <w:r>
          <w:rPr>
            <w:rStyle w:val="Hyperlink"/>
          </w:rPr>
          <w:t xml:space="preserve">https://dhq-static.digitalhumanities.org/pdf/000603.pdf</w:t>
        </w:r>
      </w:hyperlink>
    </w:p>
    <w:p>
      <w:pPr>
        <w:pStyle w:val="BodyText"/>
      </w:pPr>
      <w:hyperlink r:id="rId22">
        <w:r>
          <w:rPr>
            <w:rStyle w:val="Hyperlink"/>
          </w:rPr>
          <w:t xml:space="preserve">[3]</w:t>
        </w:r>
      </w:hyperlink>
      <w:r>
        <w:t xml:space="preserve"> </w:t>
      </w:r>
      <w:hyperlink r:id="rId22">
        <w:r>
          <w:rPr>
            <w:rStyle w:val="Hyperlink"/>
          </w:rPr>
          <w:t xml:space="preserve">[34]</w:t>
        </w:r>
      </w:hyperlink>
      <w:r>
        <w:t xml:space="preserve"> </w:t>
      </w:r>
      <w:hyperlink r:id="rId22">
        <w:r>
          <w:rPr>
            <w:rStyle w:val="Hyperlink"/>
          </w:rPr>
          <w:t xml:space="preserve">[50]</w:t>
        </w:r>
      </w:hyperlink>
      <w:r>
        <w:t xml:space="preserve"> </w:t>
      </w:r>
      <w:r>
        <w:t xml:space="preserve">https://dhq-static.digitalhumanities.org/pdf/000091.pdf</w:t>
      </w:r>
    </w:p>
    <w:p>
      <w:pPr>
        <w:pStyle w:val="BodyText"/>
      </w:pPr>
      <w:hyperlink r:id="rId22">
        <w:r>
          <w:rPr>
            <w:rStyle w:val="Hyperlink"/>
          </w:rPr>
          <w:t xml:space="preserve">https://dhq-static.digitalhumanities.org/pdf/000091.pdf</w:t>
        </w:r>
      </w:hyperlink>
    </w:p>
    <w:p>
      <w:pPr>
        <w:pStyle w:val="BodyText"/>
      </w:pPr>
      <w:hyperlink r:id="rId23">
        <w:r>
          <w:rPr>
            <w:rStyle w:val="Hyperlink"/>
          </w:rPr>
          <w:t xml:space="preserve">[4]</w:t>
        </w:r>
      </w:hyperlink>
      <w:r>
        <w:t xml:space="preserve"> </w:t>
      </w:r>
      <w:hyperlink r:id="rId23">
        <w:r>
          <w:rPr>
            <w:rStyle w:val="Hyperlink"/>
          </w:rPr>
          <w:t xml:space="preserve">[49]</w:t>
        </w:r>
      </w:hyperlink>
      <w:r>
        <w:t xml:space="preserve"> </w:t>
      </w:r>
      <w:r>
        <w:t xml:space="preserve">https://academic.oup.com/dsh/article/32/suppl_1/i103/3077163</w:t>
      </w:r>
    </w:p>
    <w:p>
      <w:pPr>
        <w:pStyle w:val="BodyText"/>
      </w:pPr>
      <w:hyperlink r:id="rId23">
        <w:r>
          <w:rPr>
            <w:rStyle w:val="Hyperlink"/>
          </w:rPr>
          <w:t xml:space="preserve">https://academic.oup.com/dsh/article/32/suppl_1/i103/3077163</w:t>
        </w:r>
      </w:hyperlink>
    </w:p>
    <w:p>
      <w:pPr>
        <w:pStyle w:val="BodyText"/>
      </w:pPr>
      <w:hyperlink r:id="rId24">
        <w:r>
          <w:rPr>
            <w:rStyle w:val="Hyperlink"/>
          </w:rPr>
          <w:t xml:space="preserve">[5]</w:t>
        </w:r>
      </w:hyperlink>
      <w:r>
        <w:t xml:space="preserve"> </w:t>
      </w:r>
      <w:r>
        <w:t xml:space="preserve">https://stedelijkstudies.com/journal/good-graphic-design/</w:t>
      </w:r>
    </w:p>
    <w:p>
      <w:pPr>
        <w:pStyle w:val="BodyText"/>
      </w:pPr>
      <w:hyperlink r:id="rId24">
        <w:r>
          <w:rPr>
            <w:rStyle w:val="Hyperlink"/>
          </w:rPr>
          <w:t xml:space="preserve">https://stedelijkstudies.com/journal/good-graphic-design/</w:t>
        </w:r>
      </w:hyperlink>
    </w:p>
    <w:p>
      <w:pPr>
        <w:pStyle w:val="BodyText"/>
      </w:pPr>
      <w:hyperlink r:id="rId26">
        <w:r>
          <w:rPr>
            <w:rStyle w:val="Hyperlink"/>
          </w:rPr>
          <w:t xml:space="preserve">[6]</w:t>
        </w:r>
      </w:hyperlink>
      <w:r>
        <w:t xml:space="preserve"> </w:t>
      </w:r>
      <w:r>
        <w:t xml:space="preserve">https://www.thebritishacademy.ac.uk/documents/4314/JBA-10-p093-Tucker.pdf</w:t>
      </w:r>
    </w:p>
    <w:p>
      <w:pPr>
        <w:pStyle w:val="BodyText"/>
      </w:pPr>
      <w:hyperlink r:id="rId26">
        <w:r>
          <w:rPr>
            <w:rStyle w:val="Hyperlink"/>
          </w:rPr>
          <w:t xml:space="preserve">https://www.thebritishacademy.ac.uk/documents/4314/JBA-10-p093-Tucker.pdf</w:t>
        </w:r>
      </w:hyperlink>
    </w:p>
    <w:p>
      <w:pPr>
        <w:pStyle w:val="BodyText"/>
      </w:pPr>
      <w:hyperlink r:id="rId27">
        <w:r>
          <w:rPr>
            <w:rStyle w:val="Hyperlink"/>
          </w:rPr>
          <w:t xml:space="preserve">[7]</w:t>
        </w:r>
      </w:hyperlink>
      <w:r>
        <w:t xml:space="preserve"> </w:t>
      </w:r>
      <w:r>
        <w:t xml:space="preserve">https://www.w3.org/TR/dwbp/</w:t>
      </w:r>
    </w:p>
    <w:p>
      <w:pPr>
        <w:pStyle w:val="BodyText"/>
      </w:pPr>
      <w:hyperlink r:id="rId27">
        <w:r>
          <w:rPr>
            <w:rStyle w:val="Hyperlink"/>
          </w:rPr>
          <w:t xml:space="preserve">https://www.w3.org/TR/dwbp/</w:t>
        </w:r>
      </w:hyperlink>
    </w:p>
    <w:p>
      <w:pPr>
        <w:pStyle w:val="BodyText"/>
      </w:pPr>
      <w:hyperlink r:id="rId28">
        <w:r>
          <w:rPr>
            <w:rStyle w:val="Hyperlink"/>
          </w:rPr>
          <w:t xml:space="preserve">[8]</w:t>
        </w:r>
      </w:hyperlink>
      <w:r>
        <w:t xml:space="preserve"> </w:t>
      </w:r>
      <w:hyperlink r:id="rId28">
        <w:r>
          <w:rPr>
            <w:rStyle w:val="Hyperlink"/>
          </w:rPr>
          <w:t xml:space="preserve">[47]</w:t>
        </w:r>
      </w:hyperlink>
      <w:r>
        <w:t xml:space="preserve"> </w:t>
      </w:r>
      <w:r>
        <w:t xml:space="preserve">https://force11.org/info/joint-declaration-of-data-citation-principles-final/</w:t>
      </w:r>
    </w:p>
    <w:p>
      <w:pPr>
        <w:pStyle w:val="BodyText"/>
      </w:pPr>
      <w:hyperlink r:id="rId28">
        <w:r>
          <w:rPr>
            <w:rStyle w:val="Hyperlink"/>
          </w:rPr>
          <w:t xml:space="preserve">https://force11.org/info/joint-declaration-of-data-citation-principles-final/</w:t>
        </w:r>
      </w:hyperlink>
    </w:p>
    <w:p>
      <w:pPr>
        <w:pStyle w:val="BodyText"/>
      </w:pPr>
      <w:hyperlink r:id="rId29">
        <w:r>
          <w:rPr>
            <w:rStyle w:val="Hyperlink"/>
          </w:rPr>
          <w:t xml:space="preserve">[9]</w:t>
        </w:r>
      </w:hyperlink>
      <w:r>
        <w:t xml:space="preserve"> </w:t>
      </w:r>
      <w:r>
        <w:t xml:space="preserve">https://www.w3.org/2011/gld/charter</w:t>
      </w:r>
    </w:p>
    <w:p>
      <w:pPr>
        <w:pStyle w:val="BodyText"/>
      </w:pPr>
      <w:hyperlink r:id="rId29">
        <w:r>
          <w:rPr>
            <w:rStyle w:val="Hyperlink"/>
          </w:rPr>
          <w:t xml:space="preserve">https://www.w3.org/2011/gld/charter</w:t>
        </w:r>
      </w:hyperlink>
    </w:p>
    <w:p>
      <w:pPr>
        <w:pStyle w:val="BodyText"/>
      </w:pPr>
      <w:hyperlink r:id="rId30">
        <w:r>
          <w:rPr>
            <w:rStyle w:val="Hyperlink"/>
          </w:rPr>
          <w:t xml:space="preserve">[10]</w:t>
        </w:r>
      </w:hyperlink>
      <w:r>
        <w:t xml:space="preserve"> </w:t>
      </w:r>
      <w:r>
        <w:t xml:space="preserve">https://rightsstatements.org/vocab/1.0/</w:t>
      </w:r>
    </w:p>
    <w:p>
      <w:pPr>
        <w:pStyle w:val="BodyText"/>
      </w:pPr>
      <w:hyperlink r:id="rId30">
        <w:r>
          <w:rPr>
            <w:rStyle w:val="Hyperlink"/>
          </w:rPr>
          <w:t xml:space="preserve">https://rightsstatements.org/vocab/1.0/</w:t>
        </w:r>
      </w:hyperlink>
    </w:p>
    <w:p>
      <w:pPr>
        <w:pStyle w:val="BodyText"/>
      </w:pPr>
      <w:hyperlink r:id="rId31">
        <w:r>
          <w:rPr>
            <w:rStyle w:val="Hyperlink"/>
          </w:rPr>
          <w:t xml:space="preserve">[11]</w:t>
        </w:r>
      </w:hyperlink>
      <w:r>
        <w:t xml:space="preserve"> </w:t>
      </w:r>
      <w:r>
        <w:t xml:space="preserve">https://www.getty.edu/research/tools/vocabularies/guidelines/</w:t>
      </w:r>
    </w:p>
    <w:p>
      <w:pPr>
        <w:pStyle w:val="BodyText"/>
      </w:pPr>
      <w:hyperlink r:id="rId31">
        <w:r>
          <w:rPr>
            <w:rStyle w:val="Hyperlink"/>
          </w:rPr>
          <w:t xml:space="preserve">https://www.getty.edu/research/tools/vocabularies/guidelines/</w:t>
        </w:r>
      </w:hyperlink>
    </w:p>
    <w:p>
      <w:pPr>
        <w:pStyle w:val="BodyText"/>
      </w:pPr>
      <w:hyperlink r:id="rId33">
        <w:r>
          <w:rPr>
            <w:rStyle w:val="Hyperlink"/>
          </w:rPr>
          <w:t xml:space="preserve">[12]</w:t>
        </w:r>
      </w:hyperlink>
      <w:r>
        <w:t xml:space="preserve"> </w:t>
      </w:r>
      <w:r>
        <w:t xml:space="preserve">https://cidoc-crm.org/</w:t>
      </w:r>
    </w:p>
    <w:p>
      <w:pPr>
        <w:pStyle w:val="BodyText"/>
      </w:pPr>
      <w:hyperlink r:id="rId33">
        <w:r>
          <w:rPr>
            <w:rStyle w:val="Hyperlink"/>
          </w:rPr>
          <w:t xml:space="preserve">https://cidoc-crm.org/</w:t>
        </w:r>
      </w:hyperlink>
    </w:p>
    <w:p>
      <w:pPr>
        <w:pStyle w:val="BodyText"/>
      </w:pPr>
      <w:hyperlink r:id="rId34">
        <w:r>
          <w:rPr>
            <w:rStyle w:val="Hyperlink"/>
          </w:rPr>
          <w:t xml:space="preserve">[13]</w:t>
        </w:r>
      </w:hyperlink>
      <w:r>
        <w:t xml:space="preserve"> </w:t>
      </w:r>
      <w:hyperlink r:id="rId34">
        <w:r>
          <w:rPr>
            <w:rStyle w:val="Hyperlink"/>
          </w:rPr>
          <w:t xml:space="preserve">[40]</w:t>
        </w:r>
      </w:hyperlink>
      <w:r>
        <w:t xml:space="preserve"> </w:t>
      </w:r>
      <w:r>
        <w:t xml:space="preserve">https://linked.art/model/profile/</w:t>
      </w:r>
    </w:p>
    <w:p>
      <w:pPr>
        <w:pStyle w:val="BodyText"/>
      </w:pPr>
      <w:hyperlink r:id="rId34">
        <w:r>
          <w:rPr>
            <w:rStyle w:val="Hyperlink"/>
          </w:rPr>
          <w:t xml:space="preserve">https://linked.art/model/profile/</w:t>
        </w:r>
      </w:hyperlink>
    </w:p>
    <w:p>
      <w:pPr>
        <w:pStyle w:val="BodyText"/>
      </w:pPr>
      <w:hyperlink r:id="rId35">
        <w:r>
          <w:rPr>
            <w:rStyle w:val="Hyperlink"/>
          </w:rPr>
          <w:t xml:space="preserve">[14]</w:t>
        </w:r>
      </w:hyperlink>
      <w:r>
        <w:t xml:space="preserve"> </w:t>
      </w:r>
      <w:r>
        <w:t xml:space="preserve">https://pro.europeana.eu/files/Europeana_Professional/Share_your_data/Technical_requirements/EDM_Documentation/EDM_Primer_130714.pdf</w:t>
      </w:r>
    </w:p>
    <w:p>
      <w:pPr>
        <w:pStyle w:val="BodyText"/>
      </w:pPr>
      <w:hyperlink r:id="rId35">
        <w:r>
          <w:rPr>
            <w:rStyle w:val="Hyperlink"/>
          </w:rPr>
          <w:t xml:space="preserve">https://pro.europeana.eu/files/Europeana_Professional/Share_your_data/Technical_requirements/EDM_Documentation/EDM_Primer_130714.pdf</w:t>
        </w:r>
      </w:hyperlink>
    </w:p>
    <w:p>
      <w:pPr>
        <w:pStyle w:val="BodyText"/>
      </w:pPr>
      <w:hyperlink r:id="rId36">
        <w:r>
          <w:rPr>
            <w:rStyle w:val="Hyperlink"/>
          </w:rPr>
          <w:t xml:space="preserve">[15]</w:t>
        </w:r>
      </w:hyperlink>
      <w:r>
        <w:t xml:space="preserve"> </w:t>
      </w:r>
      <w:r>
        <w:t xml:space="preserve">https://www.w3.org/TR/prov-o/</w:t>
      </w:r>
    </w:p>
    <w:p>
      <w:pPr>
        <w:pStyle w:val="BodyText"/>
      </w:pPr>
      <w:hyperlink r:id="rId36">
        <w:r>
          <w:rPr>
            <w:rStyle w:val="Hyperlink"/>
          </w:rPr>
          <w:t xml:space="preserve">https://www.w3.org/TR/prov-o/</w:t>
        </w:r>
      </w:hyperlink>
    </w:p>
    <w:p>
      <w:pPr>
        <w:pStyle w:val="BodyText"/>
      </w:pPr>
      <w:hyperlink r:id="rId37">
        <w:r>
          <w:rPr>
            <w:rStyle w:val="Hyperlink"/>
          </w:rPr>
          <w:t xml:space="preserve">[16]</w:t>
        </w:r>
      </w:hyperlink>
      <w:r>
        <w:t xml:space="preserve"> </w:t>
      </w:r>
      <w:r>
        <w:t xml:space="preserve">https://www.w3.org/TR/ld-bp/</w:t>
      </w:r>
    </w:p>
    <w:p>
      <w:pPr>
        <w:pStyle w:val="BodyText"/>
      </w:pPr>
      <w:hyperlink r:id="rId37">
        <w:r>
          <w:rPr>
            <w:rStyle w:val="Hyperlink"/>
          </w:rPr>
          <w:t xml:space="preserve">https://www.w3.org/TR/ld-bp/</w:t>
        </w:r>
      </w:hyperlink>
    </w:p>
    <w:p>
      <w:pPr>
        <w:pStyle w:val="BodyText"/>
      </w:pPr>
      <w:hyperlink r:id="rId39">
        <w:r>
          <w:rPr>
            <w:rStyle w:val="Hyperlink"/>
          </w:rPr>
          <w:t xml:space="preserve">[17]</w:t>
        </w:r>
      </w:hyperlink>
      <w:r>
        <w:t xml:space="preserve"> </w:t>
      </w:r>
      <w:hyperlink r:id="rId39">
        <w:r>
          <w:rPr>
            <w:rStyle w:val="Hyperlink"/>
          </w:rPr>
          <w:t xml:space="preserve">[21]</w:t>
        </w:r>
      </w:hyperlink>
      <w:r>
        <w:t xml:space="preserve"> </w:t>
      </w:r>
      <w:hyperlink r:id="rId39">
        <w:r>
          <w:rPr>
            <w:rStyle w:val="Hyperlink"/>
          </w:rPr>
          <w:t xml:space="preserve">[33]</w:t>
        </w:r>
      </w:hyperlink>
      <w:r>
        <w:t xml:space="preserve"> </w:t>
      </w:r>
      <w:r>
        <w:t xml:space="preserve">https://www.wiley.com/en-us/Meggs%27%2BHistory%2Bof%2BGraphic%2BDesign%2C%2B6th%2BEdition-p-x000709087</w:t>
      </w:r>
    </w:p>
    <w:p>
      <w:pPr>
        <w:pStyle w:val="BodyText"/>
      </w:pPr>
      <w:hyperlink r:id="rId39">
        <w:r>
          <w:rPr>
            <w:rStyle w:val="Hyperlink"/>
          </w:rPr>
          <w:t xml:space="preserve">https://www.wiley.com/en-us/Meggs%27%2BHistory%2Bof%2BGraphic%2BDesign%2C%2B6th%2BEdition-p-x000709087</w:t>
        </w:r>
      </w:hyperlink>
    </w:p>
    <w:p>
      <w:pPr>
        <w:pStyle w:val="BodyText"/>
      </w:pPr>
      <w:hyperlink r:id="rId40">
        <w:r>
          <w:rPr>
            <w:rStyle w:val="Hyperlink"/>
          </w:rPr>
          <w:t xml:space="preserve">[18]</w:t>
        </w:r>
      </w:hyperlink>
      <w:r>
        <w:t xml:space="preserve"> </w:t>
      </w:r>
      <w:r>
        <w:t xml:space="preserve">https://www.bloomsbury.com/au/thinking-through-graphic-design-history-9781350327221/</w:t>
      </w:r>
    </w:p>
    <w:p>
      <w:pPr>
        <w:pStyle w:val="BodyText"/>
      </w:pPr>
      <w:hyperlink r:id="rId40">
        <w:r>
          <w:rPr>
            <w:rStyle w:val="Hyperlink"/>
          </w:rPr>
          <w:t xml:space="preserve">https://www.bloomsbury.com/au/thinking-through-graphic-design-history-9781350327221/</w:t>
        </w:r>
      </w:hyperlink>
    </w:p>
    <w:p>
      <w:pPr>
        <w:pStyle w:val="BodyText"/>
      </w:pPr>
      <w:hyperlink r:id="rId41">
        <w:r>
          <w:rPr>
            <w:rStyle w:val="Hyperlink"/>
          </w:rPr>
          <w:t xml:space="preserve">[19]</w:t>
        </w:r>
      </w:hyperlink>
      <w:r>
        <w:t xml:space="preserve"> </w:t>
      </w:r>
      <w:r>
        <w:t xml:space="preserve">https://pure.uva.nl/ws/files/126069418/Revised_Twemlow_Inaugurallecturetext_.pdf</w:t>
      </w:r>
    </w:p>
    <w:p>
      <w:pPr>
        <w:pStyle w:val="BodyText"/>
      </w:pPr>
      <w:hyperlink r:id="rId41">
        <w:r>
          <w:rPr>
            <w:rStyle w:val="Hyperlink"/>
          </w:rPr>
          <w:t xml:space="preserve">https://pure.uva.nl/ws/files/126069418/Revised_Twemlow_Inaugurallecturetext_.pdf</w:t>
        </w:r>
      </w:hyperlink>
    </w:p>
    <w:p>
      <w:pPr>
        <w:pStyle w:val="BodyText"/>
      </w:pPr>
      <w:hyperlink r:id="rId42">
        <w:r>
          <w:rPr>
            <w:rStyle w:val="Hyperlink"/>
          </w:rPr>
          <w:t xml:space="preserve">[20]</w:t>
        </w:r>
      </w:hyperlink>
      <w:r>
        <w:t xml:space="preserve"> </w:t>
      </w:r>
      <w:hyperlink r:id="rId42">
        <w:r>
          <w:rPr>
            <w:rStyle w:val="Hyperlink"/>
          </w:rPr>
          <w:t xml:space="preserve">[39]</w:t>
        </w:r>
      </w:hyperlink>
      <w:r>
        <w:t xml:space="preserve"> </w:t>
      </w:r>
      <w:r>
        <w:t xml:space="preserve">https://digitalbenin.org/</w:t>
      </w:r>
    </w:p>
    <w:p>
      <w:pPr>
        <w:pStyle w:val="BodyText"/>
      </w:pPr>
      <w:hyperlink r:id="rId42">
        <w:r>
          <w:rPr>
            <w:rStyle w:val="Hyperlink"/>
          </w:rPr>
          <w:t xml:space="preserve">https://digitalbenin.org/</w:t>
        </w:r>
      </w:hyperlink>
    </w:p>
    <w:p>
      <w:pPr>
        <w:pStyle w:val="BodyText"/>
      </w:pPr>
      <w:hyperlink r:id="rId44">
        <w:r>
          <w:rPr>
            <w:rStyle w:val="Hyperlink"/>
          </w:rPr>
          <w:t xml:space="preserve">[22]</w:t>
        </w:r>
      </w:hyperlink>
      <w:r>
        <w:t xml:space="preserve"> </w:t>
      </w:r>
      <w:r>
        <w:t xml:space="preserve">Facing the challenge of digital sustainability as humanities ...</w:t>
      </w:r>
    </w:p>
    <w:p>
      <w:pPr>
        <w:pStyle w:val="BodyText"/>
      </w:pPr>
      <w:hyperlink r:id="rId44">
        <w:r>
          <w:rPr>
            <w:rStyle w:val="Hyperlink"/>
          </w:rPr>
          <w:t xml:space="preserve">https://www.thebritishacademy.ac.uk/documents/4314/JBA-10-p093-Tucker.pdf?utm_source=chatgpt.com</w:t>
        </w:r>
      </w:hyperlink>
    </w:p>
    <w:p>
      <w:pPr>
        <w:pStyle w:val="BodyText"/>
      </w:pPr>
      <w:hyperlink r:id="rId45">
        <w:r>
          <w:rPr>
            <w:rStyle w:val="Hyperlink"/>
          </w:rPr>
          <w:t xml:space="preserve">[23]</w:t>
        </w:r>
      </w:hyperlink>
      <w:r>
        <w:t xml:space="preserve"> </w:t>
      </w:r>
      <w:r>
        <w:t xml:space="preserve">https://pro.dp.la/developers/field-reference</w:t>
      </w:r>
    </w:p>
    <w:p>
      <w:pPr>
        <w:pStyle w:val="BodyText"/>
      </w:pPr>
      <w:hyperlink r:id="rId45">
        <w:r>
          <w:rPr>
            <w:rStyle w:val="Hyperlink"/>
          </w:rPr>
          <w:t xml:space="preserve">https://pro.dp.la/developers/field-reference</w:t>
        </w:r>
      </w:hyperlink>
    </w:p>
    <w:p>
      <w:pPr>
        <w:pStyle w:val="BodyText"/>
      </w:pPr>
      <w:hyperlink r:id="rId46">
        <w:r>
          <w:rPr>
            <w:rStyle w:val="Hyperlink"/>
          </w:rPr>
          <w:t xml:space="preserve">[24]</w:t>
        </w:r>
      </w:hyperlink>
      <w:r>
        <w:t xml:space="preserve"> </w:t>
      </w:r>
      <w:r>
        <w:t xml:space="preserve">https://www.getty.edu/research/tools/vocabularies/</w:t>
      </w:r>
    </w:p>
    <w:p>
      <w:pPr>
        <w:pStyle w:val="BodyText"/>
      </w:pPr>
      <w:hyperlink r:id="rId46">
        <w:r>
          <w:rPr>
            <w:rStyle w:val="Hyperlink"/>
          </w:rPr>
          <w:t xml:space="preserve">https://www.getty.edu/research/tools/vocabularies/</w:t>
        </w:r>
      </w:hyperlink>
    </w:p>
    <w:p>
      <w:pPr>
        <w:pStyle w:val="BodyText"/>
      </w:pPr>
      <w:hyperlink r:id="rId47">
        <w:r>
          <w:rPr>
            <w:rStyle w:val="Hyperlink"/>
          </w:rPr>
          <w:t xml:space="preserve">[25]</w:t>
        </w:r>
      </w:hyperlink>
      <w:r>
        <w:t xml:space="preserve"> </w:t>
      </w:r>
      <w:hyperlink r:id="rId47">
        <w:r>
          <w:rPr>
            <w:rStyle w:val="Hyperlink"/>
          </w:rPr>
          <w:t xml:space="preserve">[28]</w:t>
        </w:r>
      </w:hyperlink>
      <w:r>
        <w:t xml:space="preserve"> </w:t>
      </w:r>
      <w:r>
        <w:t xml:space="preserve">https://letterformarchive.org/online-archive/?srsltid=AfmBOorFE-wHqnbg-E5mGeothCBrm6Dgj1X9vLlAr06iMjgXCi6qS78B</w:t>
      </w:r>
    </w:p>
    <w:p>
      <w:pPr>
        <w:pStyle w:val="BodyText"/>
      </w:pPr>
      <w:hyperlink r:id="rId47">
        <w:r>
          <w:rPr>
            <w:rStyle w:val="Hyperlink"/>
          </w:rPr>
          <w:t xml:space="preserve">https://letterformarchive.org/online-archive/?srsltid=AfmBOorFE-wHqnbg-E5mGeothCBrm6Dgj1X9vLlAr06iMjgXCi6qS78B</w:t>
        </w:r>
      </w:hyperlink>
    </w:p>
    <w:p>
      <w:pPr>
        <w:pStyle w:val="BodyText"/>
      </w:pPr>
      <w:hyperlink r:id="rId48">
        <w:r>
          <w:rPr>
            <w:rStyle w:val="Hyperlink"/>
          </w:rPr>
          <w:t xml:space="preserve">[26]</w:t>
        </w:r>
      </w:hyperlink>
      <w:r>
        <w:t xml:space="preserve"> </w:t>
      </w:r>
      <w:hyperlink r:id="rId48">
        <w:r>
          <w:rPr>
            <w:rStyle w:val="Hyperlink"/>
          </w:rPr>
          <w:t xml:space="preserve">[41]</w:t>
        </w:r>
      </w:hyperlink>
      <w:r>
        <w:t xml:space="preserve"> </w:t>
      </w:r>
      <w:r>
        <w:t xml:space="preserve">https://www.cooperhewitt.org/open-source-at-cooper-hewitt/</w:t>
      </w:r>
    </w:p>
    <w:p>
      <w:pPr>
        <w:pStyle w:val="BodyText"/>
      </w:pPr>
      <w:hyperlink r:id="rId48">
        <w:r>
          <w:rPr>
            <w:rStyle w:val="Hyperlink"/>
          </w:rPr>
          <w:t xml:space="preserve">https://www.cooperhewitt.org/open-source-at-cooper-hewitt/</w:t>
        </w:r>
      </w:hyperlink>
    </w:p>
    <w:p>
      <w:pPr>
        <w:pStyle w:val="BodyText"/>
      </w:pPr>
      <w:hyperlink r:id="rId49">
        <w:r>
          <w:rPr>
            <w:rStyle w:val="Hyperlink"/>
          </w:rPr>
          <w:t xml:space="preserve">[27]</w:t>
        </w:r>
      </w:hyperlink>
      <w:r>
        <w:t xml:space="preserve"> </w:t>
      </w:r>
      <w:r>
        <w:t xml:space="preserve">https://api.europeana.eu/</w:t>
      </w:r>
    </w:p>
    <w:p>
      <w:pPr>
        <w:pStyle w:val="BodyText"/>
      </w:pPr>
      <w:hyperlink r:id="rId49">
        <w:r>
          <w:rPr>
            <w:rStyle w:val="Hyperlink"/>
          </w:rPr>
          <w:t xml:space="preserve">https://api.europeana.eu/</w:t>
        </w:r>
      </w:hyperlink>
    </w:p>
    <w:p>
      <w:pPr>
        <w:pStyle w:val="BodyText"/>
      </w:pPr>
      <w:hyperlink r:id="rId50">
        <w:r>
          <w:rPr>
            <w:rStyle w:val="Hyperlink"/>
          </w:rPr>
          <w:t xml:space="preserve">[29]</w:t>
        </w:r>
      </w:hyperlink>
      <w:r>
        <w:t xml:space="preserve"> </w:t>
      </w:r>
      <w:hyperlink r:id="rId50">
        <w:r>
          <w:rPr>
            <w:rStyle w:val="Hyperlink"/>
          </w:rPr>
          <w:t xml:space="preserve">[44]</w:t>
        </w:r>
      </w:hyperlink>
      <w:r>
        <w:t xml:space="preserve"> </w:t>
      </w:r>
      <w:r>
        <w:t xml:space="preserve">https://peoplesgdarchive.org/</w:t>
      </w:r>
    </w:p>
    <w:p>
      <w:pPr>
        <w:pStyle w:val="BodyText"/>
      </w:pPr>
      <w:hyperlink r:id="rId50">
        <w:r>
          <w:rPr>
            <w:rStyle w:val="Hyperlink"/>
          </w:rPr>
          <w:t xml:space="preserve">https://peoplesgdarchive.org/</w:t>
        </w:r>
      </w:hyperlink>
    </w:p>
    <w:p>
      <w:pPr>
        <w:pStyle w:val="BodyText"/>
      </w:pPr>
      <w:hyperlink r:id="rId51">
        <w:r>
          <w:rPr>
            <w:rStyle w:val="Hyperlink"/>
          </w:rPr>
          <w:t xml:space="preserve">[30]</w:t>
        </w:r>
      </w:hyperlink>
      <w:r>
        <w:t xml:space="preserve"> </w:t>
      </w:r>
      <w:hyperlink r:id="rId51">
        <w:r>
          <w:rPr>
            <w:rStyle w:val="Hyperlink"/>
          </w:rPr>
          <w:t xml:space="preserve">[45]</w:t>
        </w:r>
      </w:hyperlink>
      <w:r>
        <w:t xml:space="preserve"> </w:t>
      </w:r>
      <w:r>
        <w:t xml:space="preserve">https://museum-gestaltung.ch/en/poster</w:t>
      </w:r>
    </w:p>
    <w:p>
      <w:pPr>
        <w:pStyle w:val="BodyText"/>
      </w:pPr>
      <w:hyperlink r:id="rId51">
        <w:r>
          <w:rPr>
            <w:rStyle w:val="Hyperlink"/>
          </w:rPr>
          <w:t xml:space="preserve">https://museum-gestaltung.ch/en/poster</w:t>
        </w:r>
      </w:hyperlink>
    </w:p>
    <w:p>
      <w:pPr>
        <w:pStyle w:val="BodyText"/>
      </w:pPr>
      <w:hyperlink r:id="rId52">
        <w:r>
          <w:rPr>
            <w:rStyle w:val="Hyperlink"/>
          </w:rPr>
          <w:t xml:space="preserve">[31]</w:t>
        </w:r>
      </w:hyperlink>
      <w:r>
        <w:t xml:space="preserve"> </w:t>
      </w:r>
      <w:r>
        <w:t xml:space="preserve">https://fontsinuse.com/</w:t>
      </w:r>
    </w:p>
    <w:p>
      <w:pPr>
        <w:pStyle w:val="BodyText"/>
      </w:pPr>
      <w:hyperlink r:id="rId52">
        <w:r>
          <w:rPr>
            <w:rStyle w:val="Hyperlink"/>
          </w:rPr>
          <w:t xml:space="preserve">https://fontsinuse.com/</w:t>
        </w:r>
      </w:hyperlink>
    </w:p>
    <w:p>
      <w:pPr>
        <w:pStyle w:val="BodyText"/>
      </w:pPr>
      <w:hyperlink r:id="rId53">
        <w:r>
          <w:rPr>
            <w:rStyle w:val="Hyperlink"/>
          </w:rPr>
          <w:t xml:space="preserve">[32]</w:t>
        </w:r>
      </w:hyperlink>
      <w:r>
        <w:t xml:space="preserve"> </w:t>
      </w:r>
      <w:r>
        <w:t xml:space="preserve">https://designreviewed.com/</w:t>
      </w:r>
    </w:p>
    <w:p>
      <w:pPr>
        <w:pStyle w:val="BodyText"/>
      </w:pPr>
      <w:hyperlink r:id="rId53">
        <w:r>
          <w:rPr>
            <w:rStyle w:val="Hyperlink"/>
          </w:rPr>
          <w:t xml:space="preserve">https://designreviewed.com/</w:t>
        </w:r>
      </w:hyperlink>
    </w:p>
    <w:p>
      <w:pPr>
        <w:pStyle w:val="BodyText"/>
      </w:pPr>
      <w:hyperlink r:id="rId55">
        <w:r>
          <w:rPr>
            <w:rStyle w:val="Hyperlink"/>
          </w:rPr>
          <w:t xml:space="preserve">[35]</w:t>
        </w:r>
      </w:hyperlink>
      <w:r>
        <w:t xml:space="preserve"> </w:t>
      </w:r>
      <w:r>
        <w:t xml:space="preserve">https://pro.europeana.eu/files/Europeana_Professional/Projects/Project_list/Europeana_DSI-2/Deliverables/d2.1-europeana-collections-plan.pdf</w:t>
      </w:r>
    </w:p>
    <w:p>
      <w:pPr>
        <w:pStyle w:val="BodyText"/>
      </w:pPr>
      <w:hyperlink r:id="rId55">
        <w:r>
          <w:rPr>
            <w:rStyle w:val="Hyperlink"/>
          </w:rPr>
          <w:t xml:space="preserve">https://pro.europeana.eu/files/Europeana_Professional/Projects/Project_list/Europeana_DSI-2/Deliverables/d2.1-europeana-collections-plan.pdf</w:t>
        </w:r>
      </w:hyperlink>
    </w:p>
    <w:p>
      <w:pPr>
        <w:pStyle w:val="BodyText"/>
      </w:pPr>
      <w:hyperlink r:id="rId56">
        <w:r>
          <w:rPr>
            <w:rStyle w:val="Hyperlink"/>
          </w:rPr>
          <w:t xml:space="preserve">[36]</w:t>
        </w:r>
      </w:hyperlink>
      <w:r>
        <w:t xml:space="preserve"> </w:t>
      </w:r>
      <w:r>
        <w:t xml:space="preserve">https://developers.vam.ac.uk/guide/v2/results/introduction.html</w:t>
      </w:r>
    </w:p>
    <w:p>
      <w:pPr>
        <w:pStyle w:val="BodyText"/>
      </w:pPr>
      <w:hyperlink r:id="rId56">
        <w:r>
          <w:rPr>
            <w:rStyle w:val="Hyperlink"/>
          </w:rPr>
          <w:t xml:space="preserve">https://developers.vam.ac.uk/guide/v2/results/introduction.html</w:t>
        </w:r>
      </w:hyperlink>
    </w:p>
    <w:p>
      <w:pPr>
        <w:pStyle w:val="BodyText"/>
      </w:pPr>
      <w:hyperlink r:id="rId57">
        <w:r>
          <w:rPr>
            <w:rStyle w:val="Hyperlink"/>
          </w:rPr>
          <w:t xml:space="preserve">[38]</w:t>
        </w:r>
      </w:hyperlink>
      <w:r>
        <w:t xml:space="preserve"> </w:t>
      </w:r>
      <w:r>
        <w:t xml:space="preserve">https://archivesforblacklives.wordpress.com/2018/11/28/anti-racist-archival-description-guidelines/</w:t>
      </w:r>
    </w:p>
    <w:p>
      <w:pPr>
        <w:pStyle w:val="BodyText"/>
      </w:pPr>
      <w:hyperlink r:id="rId57">
        <w:r>
          <w:rPr>
            <w:rStyle w:val="Hyperlink"/>
          </w:rPr>
          <w:t xml:space="preserve">https://archivesforblacklives.wordpress.com/2018/11/28/anti-racist-archival-description-guidelines/</w:t>
        </w:r>
      </w:hyperlink>
    </w:p>
    <w:p>
      <w:pPr>
        <w:pStyle w:val="BodyText"/>
      </w:pPr>
      <w:hyperlink r:id="rId59">
        <w:r>
          <w:rPr>
            <w:rStyle w:val="Hyperlink"/>
          </w:rPr>
          <w:t xml:space="preserve">[42]</w:t>
        </w:r>
      </w:hyperlink>
      <w:r>
        <w:t xml:space="preserve"> </w:t>
      </w:r>
      <w:r>
        <w:t xml:space="preserve">https://developers.vam.ac.uk/guide/v2/</w:t>
      </w:r>
    </w:p>
    <w:p>
      <w:pPr>
        <w:pStyle w:val="BodyText"/>
      </w:pPr>
      <w:hyperlink r:id="rId59">
        <w:r>
          <w:rPr>
            <w:rStyle w:val="Hyperlink"/>
          </w:rPr>
          <w:t xml:space="preserve">https://developers.vam.ac.uk/guide/v2/</w:t>
        </w:r>
      </w:hyperlink>
    </w:p>
    <w:p>
      <w:pPr>
        <w:pStyle w:val="BodyText"/>
      </w:pPr>
      <w:hyperlink r:id="rId60">
        <w:r>
          <w:rPr>
            <w:rStyle w:val="Hyperlink"/>
          </w:rPr>
          <w:t xml:space="preserve">[43]</w:t>
        </w:r>
      </w:hyperlink>
      <w:r>
        <w:t xml:space="preserve"> </w:t>
      </w:r>
      <w:r>
        <w:t xml:space="preserve">https://www.moma.org/collection/about/</w:t>
      </w:r>
    </w:p>
    <w:p>
      <w:pPr>
        <w:pStyle w:val="BodyText"/>
      </w:pPr>
      <w:hyperlink r:id="rId60">
        <w:r>
          <w:rPr>
            <w:rStyle w:val="Hyperlink"/>
          </w:rPr>
          <w:t xml:space="preserve">https://www.moma.org/collection/about/</w:t>
        </w:r>
      </w:hyperlink>
    </w:p>
    <w:p>
      <w:pPr>
        <w:pStyle w:val="BodyText"/>
      </w:pPr>
      <w:hyperlink r:id="rId61">
        <w:r>
          <w:rPr>
            <w:rStyle w:val="Hyperlink"/>
          </w:rPr>
          <w:t xml:space="preserve">[46]</w:t>
        </w:r>
      </w:hyperlink>
      <w:r>
        <w:t xml:space="preserve"> </w:t>
      </w:r>
      <w:r>
        <w:t xml:space="preserve">https://www.tandfonline.com/doi/full/10.1080/14606925.2022.2125731</w:t>
      </w:r>
    </w:p>
    <w:p>
      <w:pPr>
        <w:pStyle w:val="BodyText"/>
      </w:pPr>
      <w:hyperlink r:id="rId61">
        <w:r>
          <w:rPr>
            <w:rStyle w:val="Hyperlink"/>
          </w:rPr>
          <w:t xml:space="preserve">https://www.tandfonline.com/doi/full/10.1080/14606925.2022.2125731</w:t>
        </w:r>
      </w:hyperlink>
    </w:p>
    <w:p>
      <w:pPr>
        <w:pStyle w:val="BodyText"/>
      </w:pPr>
      <w:hyperlink r:id="rId62">
        <w:r>
          <w:rPr>
            <w:rStyle w:val="Hyperlink"/>
          </w:rPr>
          <w:t xml:space="preserve">[48]</w:t>
        </w:r>
      </w:hyperlink>
      <w:r>
        <w:t xml:space="preserve"> </w:t>
      </w:r>
      <w:r>
        <w:t xml:space="preserve">https://www.vam.ac.uk/info/va-websites-terms-conditions?srsltid=AfmBOory-YIcuput3d_bbGqJ0dfRV0ob4SNChlPa7XM9kVOh3WEl2Dk6</w:t>
      </w:r>
    </w:p>
    <w:p>
      <w:pPr>
        <w:pStyle w:val="BodyText"/>
      </w:pPr>
      <w:hyperlink r:id="rId62">
        <w:r>
          <w:rPr>
            <w:rStyle w:val="Hyperlink"/>
          </w:rPr>
          <w:t xml:space="preserve">https://www.vam.ac.uk/info/va-websites-terms-conditions?srsltid=AfmBOory-YIcuput3d_bbGqJ0dfRV0ob4SNChlPa7XM9kVOh3WEl2Dk6</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academic.oup.com/dsh/article/32/suppl_1/i103/3077163" TargetMode="External" /><Relationship Type="http://schemas.openxmlformats.org/officeDocument/2006/relationships/hyperlink" Id="rId49" Target="https://api.europeana.eu/" TargetMode="External" /><Relationship Type="http://schemas.openxmlformats.org/officeDocument/2006/relationships/hyperlink" Id="rId57" Target="https://archivesforblacklives.wordpress.com/2018/11/28/anti-racist-archival-description-guidelines/" TargetMode="External" /><Relationship Type="http://schemas.openxmlformats.org/officeDocument/2006/relationships/hyperlink" Id="rId33" Target="https://cidoc-crm.org/" TargetMode="External" /><Relationship Type="http://schemas.openxmlformats.org/officeDocument/2006/relationships/hyperlink" Id="rId53" Target="https://designreviewed.com/" TargetMode="External" /><Relationship Type="http://schemas.openxmlformats.org/officeDocument/2006/relationships/hyperlink" Id="rId59" Target="https://developers.vam.ac.uk/guide/v2/" TargetMode="External" /><Relationship Type="http://schemas.openxmlformats.org/officeDocument/2006/relationships/hyperlink" Id="rId56" Target="https://developers.vam.ac.uk/guide/v2/results/introduction.html" TargetMode="External" /><Relationship Type="http://schemas.openxmlformats.org/officeDocument/2006/relationships/hyperlink" Id="rId22" Target="https://dhq-static.digitalhumanities.org/pdf/000091.pdf" TargetMode="External" /><Relationship Type="http://schemas.openxmlformats.org/officeDocument/2006/relationships/hyperlink" Id="rId21" Target="https://dhq-static.digitalhumanities.org/pdf/000603.pdf" TargetMode="External" /><Relationship Type="http://schemas.openxmlformats.org/officeDocument/2006/relationships/hyperlink" Id="rId42" Target="https://digitalbenin.org/" TargetMode="External" /><Relationship Type="http://schemas.openxmlformats.org/officeDocument/2006/relationships/hyperlink" Id="rId52" Target="https://fontsinuse.com/" TargetMode="External" /><Relationship Type="http://schemas.openxmlformats.org/officeDocument/2006/relationships/hyperlink" Id="rId28" Target="https://force11.org/info/joint-declaration-of-data-citation-principles-final/" TargetMode="External" /><Relationship Type="http://schemas.openxmlformats.org/officeDocument/2006/relationships/hyperlink" Id="rId47" Target="https://letterformarchive.org/online-archive/?srsltid=AfmBOorFE-wHqnbg-E5mGeothCBrm6Dgj1X9vLlAr06iMjgXCi6qS78B" TargetMode="External" /><Relationship Type="http://schemas.openxmlformats.org/officeDocument/2006/relationships/hyperlink" Id="rId34" Target="https://linked.art/model/profile/" TargetMode="External" /><Relationship Type="http://schemas.openxmlformats.org/officeDocument/2006/relationships/hyperlink" Id="rId51" Target="https://museum-gestaltung.ch/en/poster" TargetMode="External" /><Relationship Type="http://schemas.openxmlformats.org/officeDocument/2006/relationships/hyperlink" Id="rId50" Target="https://peoplesgdarchive.org/" TargetMode="External" /><Relationship Type="http://schemas.openxmlformats.org/officeDocument/2006/relationships/hyperlink" Id="rId45" Target="https://pro.dp.la/developers/field-reference" TargetMode="External" /><Relationship Type="http://schemas.openxmlformats.org/officeDocument/2006/relationships/hyperlink" Id="rId55" Target="https://pro.europeana.eu/files/Europeana_Professional/Projects/Project_list/Europeana_DSI-2/Deliverables/d2.1-europeana-collections-plan.pdf" TargetMode="External" /><Relationship Type="http://schemas.openxmlformats.org/officeDocument/2006/relationships/hyperlink" Id="rId35" Target="https://pro.europeana.eu/files/Europeana_Professional/Share_your_data/Technical_requirements/EDM_Documentation/EDM_Primer_130714.pdf" TargetMode="External" /><Relationship Type="http://schemas.openxmlformats.org/officeDocument/2006/relationships/hyperlink" Id="rId41" Target="https://pure.uva.nl/ws/files/126069418/Revised_Twemlow_Inaugurallecturetext_.pdf" TargetMode="External" /><Relationship Type="http://schemas.openxmlformats.org/officeDocument/2006/relationships/hyperlink" Id="rId30" Target="https://rightsstatements.org/vocab/1.0/" TargetMode="External" /><Relationship Type="http://schemas.openxmlformats.org/officeDocument/2006/relationships/hyperlink" Id="rId24" Target="https://stedelijkstudies.com/journal/good-graphic-design/" TargetMode="External" /><Relationship Type="http://schemas.openxmlformats.org/officeDocument/2006/relationships/hyperlink" Id="rId40" Target="https://www.bloomsbury.com/au/thinking-through-graphic-design-history-9781350327221/" TargetMode="External" /><Relationship Type="http://schemas.openxmlformats.org/officeDocument/2006/relationships/hyperlink" Id="rId48" Target="https://www.cooperhewitt.org/open-source-at-cooper-hewitt/" TargetMode="External" /><Relationship Type="http://schemas.openxmlformats.org/officeDocument/2006/relationships/hyperlink" Id="rId46" Target="https://www.getty.edu/research/tools/vocabularies/" TargetMode="External" /><Relationship Type="http://schemas.openxmlformats.org/officeDocument/2006/relationships/hyperlink" Id="rId31" Target="https://www.getty.edu/research/tools/vocabularies/guidelines/" TargetMode="External" /><Relationship Type="http://schemas.openxmlformats.org/officeDocument/2006/relationships/hyperlink" Id="rId60" Target="https://www.moma.org/collection/about/" TargetMode="External" /><Relationship Type="http://schemas.openxmlformats.org/officeDocument/2006/relationships/hyperlink" Id="rId61" Target="https://www.tandfonline.com/doi/full/10.1080/14606925.2022.2125731" TargetMode="External" /><Relationship Type="http://schemas.openxmlformats.org/officeDocument/2006/relationships/hyperlink" Id="rId26" Target="https://www.thebritishacademy.ac.uk/documents/4314/JBA-10-p093-Tucker.pdf" TargetMode="External" /><Relationship Type="http://schemas.openxmlformats.org/officeDocument/2006/relationships/hyperlink" Id="rId44" Target="https://www.thebritishacademy.ac.uk/documents/4314/JBA-10-p093-Tucker.pdf?utm_source=chatgpt.com" TargetMode="External" /><Relationship Type="http://schemas.openxmlformats.org/officeDocument/2006/relationships/hyperlink" Id="rId62" Target="https://www.vam.ac.uk/info/va-websites-terms-conditions?srsltid=AfmBOory-YIcuput3d_bbGqJ0dfRV0ob4SNChlPa7XM9kVOh3WEl2Dk6" TargetMode="External" /><Relationship Type="http://schemas.openxmlformats.org/officeDocument/2006/relationships/hyperlink" Id="rId29" Target="https://www.w3.org/2011/gld/charter" TargetMode="External" /><Relationship Type="http://schemas.openxmlformats.org/officeDocument/2006/relationships/hyperlink" Id="rId27" Target="https://www.w3.org/TR/dwbp/" TargetMode="External" /><Relationship Type="http://schemas.openxmlformats.org/officeDocument/2006/relationships/hyperlink" Id="rId37" Target="https://www.w3.org/TR/ld-bp/" TargetMode="External" /><Relationship Type="http://schemas.openxmlformats.org/officeDocument/2006/relationships/hyperlink" Id="rId36" Target="https://www.w3.org/TR/prov-o/" TargetMode="External" /><Relationship Type="http://schemas.openxmlformats.org/officeDocument/2006/relationships/hyperlink" Id="rId39" Target="https://www.wiley.com/en-us/Meggs%27%2BHistory%2Bof%2BGraphic%2BDesign%2C%2B6th%2BEdition-p-x000709087" TargetMode="External" /></Relationships>
</file>

<file path=word/_rels/footnotes.xml.rels><?xml version="1.0" encoding="UTF-8"?><Relationships xmlns="http://schemas.openxmlformats.org/package/2006/relationships"><Relationship Type="http://schemas.openxmlformats.org/officeDocument/2006/relationships/hyperlink" Id="rId23" Target="https://academic.oup.com/dsh/article/32/suppl_1/i103/3077163" TargetMode="External" /><Relationship Type="http://schemas.openxmlformats.org/officeDocument/2006/relationships/hyperlink" Id="rId49" Target="https://api.europeana.eu/" TargetMode="External" /><Relationship Type="http://schemas.openxmlformats.org/officeDocument/2006/relationships/hyperlink" Id="rId57" Target="https://archivesforblacklives.wordpress.com/2018/11/28/anti-racist-archival-description-guidelines/" TargetMode="External" /><Relationship Type="http://schemas.openxmlformats.org/officeDocument/2006/relationships/hyperlink" Id="rId33" Target="https://cidoc-crm.org/" TargetMode="External" /><Relationship Type="http://schemas.openxmlformats.org/officeDocument/2006/relationships/hyperlink" Id="rId53" Target="https://designreviewed.com/" TargetMode="External" /><Relationship Type="http://schemas.openxmlformats.org/officeDocument/2006/relationships/hyperlink" Id="rId59" Target="https://developers.vam.ac.uk/guide/v2/" TargetMode="External" /><Relationship Type="http://schemas.openxmlformats.org/officeDocument/2006/relationships/hyperlink" Id="rId56" Target="https://developers.vam.ac.uk/guide/v2/results/introduction.html" TargetMode="External" /><Relationship Type="http://schemas.openxmlformats.org/officeDocument/2006/relationships/hyperlink" Id="rId22" Target="https://dhq-static.digitalhumanities.org/pdf/000091.pdf" TargetMode="External" /><Relationship Type="http://schemas.openxmlformats.org/officeDocument/2006/relationships/hyperlink" Id="rId21" Target="https://dhq-static.digitalhumanities.org/pdf/000603.pdf" TargetMode="External" /><Relationship Type="http://schemas.openxmlformats.org/officeDocument/2006/relationships/hyperlink" Id="rId42" Target="https://digitalbenin.org/" TargetMode="External" /><Relationship Type="http://schemas.openxmlformats.org/officeDocument/2006/relationships/hyperlink" Id="rId52" Target="https://fontsinuse.com/" TargetMode="External" /><Relationship Type="http://schemas.openxmlformats.org/officeDocument/2006/relationships/hyperlink" Id="rId28" Target="https://force11.org/info/joint-declaration-of-data-citation-principles-final/" TargetMode="External" /><Relationship Type="http://schemas.openxmlformats.org/officeDocument/2006/relationships/hyperlink" Id="rId47" Target="https://letterformarchive.org/online-archive/?srsltid=AfmBOorFE-wHqnbg-E5mGeothCBrm6Dgj1X9vLlAr06iMjgXCi6qS78B" TargetMode="External" /><Relationship Type="http://schemas.openxmlformats.org/officeDocument/2006/relationships/hyperlink" Id="rId34" Target="https://linked.art/model/profile/" TargetMode="External" /><Relationship Type="http://schemas.openxmlformats.org/officeDocument/2006/relationships/hyperlink" Id="rId51" Target="https://museum-gestaltung.ch/en/poster" TargetMode="External" /><Relationship Type="http://schemas.openxmlformats.org/officeDocument/2006/relationships/hyperlink" Id="rId50" Target="https://peoplesgdarchive.org/" TargetMode="External" /><Relationship Type="http://schemas.openxmlformats.org/officeDocument/2006/relationships/hyperlink" Id="rId45" Target="https://pro.dp.la/developers/field-reference" TargetMode="External" /><Relationship Type="http://schemas.openxmlformats.org/officeDocument/2006/relationships/hyperlink" Id="rId55" Target="https://pro.europeana.eu/files/Europeana_Professional/Projects/Project_list/Europeana_DSI-2/Deliverables/d2.1-europeana-collections-plan.pdf" TargetMode="External" /><Relationship Type="http://schemas.openxmlformats.org/officeDocument/2006/relationships/hyperlink" Id="rId35" Target="https://pro.europeana.eu/files/Europeana_Professional/Share_your_data/Technical_requirements/EDM_Documentation/EDM_Primer_130714.pdf" TargetMode="External" /><Relationship Type="http://schemas.openxmlformats.org/officeDocument/2006/relationships/hyperlink" Id="rId41" Target="https://pure.uva.nl/ws/files/126069418/Revised_Twemlow_Inaugurallecturetext_.pdf" TargetMode="External" /><Relationship Type="http://schemas.openxmlformats.org/officeDocument/2006/relationships/hyperlink" Id="rId30" Target="https://rightsstatements.org/vocab/1.0/" TargetMode="External" /><Relationship Type="http://schemas.openxmlformats.org/officeDocument/2006/relationships/hyperlink" Id="rId24" Target="https://stedelijkstudies.com/journal/good-graphic-design/" TargetMode="External" /><Relationship Type="http://schemas.openxmlformats.org/officeDocument/2006/relationships/hyperlink" Id="rId40" Target="https://www.bloomsbury.com/au/thinking-through-graphic-design-history-9781350327221/" TargetMode="External" /><Relationship Type="http://schemas.openxmlformats.org/officeDocument/2006/relationships/hyperlink" Id="rId48" Target="https://www.cooperhewitt.org/open-source-at-cooper-hewitt/" TargetMode="External" /><Relationship Type="http://schemas.openxmlformats.org/officeDocument/2006/relationships/hyperlink" Id="rId46" Target="https://www.getty.edu/research/tools/vocabularies/" TargetMode="External" /><Relationship Type="http://schemas.openxmlformats.org/officeDocument/2006/relationships/hyperlink" Id="rId31" Target="https://www.getty.edu/research/tools/vocabularies/guidelines/" TargetMode="External" /><Relationship Type="http://schemas.openxmlformats.org/officeDocument/2006/relationships/hyperlink" Id="rId60" Target="https://www.moma.org/collection/about/" TargetMode="External" /><Relationship Type="http://schemas.openxmlformats.org/officeDocument/2006/relationships/hyperlink" Id="rId61" Target="https://www.tandfonline.com/doi/full/10.1080/14606925.2022.2125731" TargetMode="External" /><Relationship Type="http://schemas.openxmlformats.org/officeDocument/2006/relationships/hyperlink" Id="rId26" Target="https://www.thebritishacademy.ac.uk/documents/4314/JBA-10-p093-Tucker.pdf" TargetMode="External" /><Relationship Type="http://schemas.openxmlformats.org/officeDocument/2006/relationships/hyperlink" Id="rId44" Target="https://www.thebritishacademy.ac.uk/documents/4314/JBA-10-p093-Tucker.pdf?utm_source=chatgpt.com" TargetMode="External" /><Relationship Type="http://schemas.openxmlformats.org/officeDocument/2006/relationships/hyperlink" Id="rId62" Target="https://www.vam.ac.uk/info/va-websites-terms-conditions?srsltid=AfmBOory-YIcuput3d_bbGqJ0dfRV0ob4SNChlPa7XM9kVOh3WEl2Dk6" TargetMode="External" /><Relationship Type="http://schemas.openxmlformats.org/officeDocument/2006/relationships/hyperlink" Id="rId29" Target="https://www.w3.org/2011/gld/charter" TargetMode="External" /><Relationship Type="http://schemas.openxmlformats.org/officeDocument/2006/relationships/hyperlink" Id="rId27" Target="https://www.w3.org/TR/dwbp/" TargetMode="External" /><Relationship Type="http://schemas.openxmlformats.org/officeDocument/2006/relationships/hyperlink" Id="rId37" Target="https://www.w3.org/TR/ld-bp/" TargetMode="External" /><Relationship Type="http://schemas.openxmlformats.org/officeDocument/2006/relationships/hyperlink" Id="rId36" Target="https://www.w3.org/TR/prov-o/" TargetMode="External" /><Relationship Type="http://schemas.openxmlformats.org/officeDocument/2006/relationships/hyperlink" Id="rId39" Target="https://www.wiley.com/en-us/Meggs%27%2BHistory%2Bof%2BGraphic%2BDesign%2C%2B6th%2BEdition-p-x00070908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2026-05-29T04:46:37Z</dcterms:created>
  <dcterms:modified xsi:type="dcterms:W3CDTF">2026-05-29T04:46:37Z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