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6841cfa6ca227fd30f3d849ca8b8714ea272f58"/>
    <w:p>
      <w:pPr>
        <w:pStyle w:val="Heading1"/>
      </w:pPr>
      <w:r>
        <w:t xml:space="preserve">Grounding a Dynamic Archive-Based Research Gateway for Modern Graphic Design History</w:t>
      </w:r>
    </w:p>
    <w:bookmarkStart w:id="25" w:name="Xcb3db4c7ce54d8dad46b0240490a656b6743dab"/>
    <w:p>
      <w:pPr>
        <w:pStyle w:val="Heading2"/>
      </w:pPr>
      <w:r>
        <w:t xml:space="preserve">Why this project needs a nonlinear theory of history</w:t>
      </w:r>
    </w:p>
    <w:p>
      <w:pPr>
        <w:pStyle w:val="FirstParagraph"/>
      </w:pPr>
      <w:r>
        <w:t xml:space="preserve">The central problem your project addresses is not simply a lack of digitized material. It is a historiographic problem. Graphic design history is still too often taught, published, and searched as a sequence of styles, movements, and exemplary figures, even though major strands of design-historical scholarship have spent decades arguing that design must also be understood through social relations, institutions, technologies, audiences, politics, and global unevenness. As Aggie Toppins notes, textbook and classroom histories often explain the field through “pivotal figures, canonical works, and dominant styles,” while newer work in design history explicitly argues for historically aware and critically engaged practice rather than passive canon consumption.</w:t>
      </w:r>
      <w:r>
        <w:t xml:space="preserve"> </w:t>
      </w:r>
      <w:hyperlink r:id="rId21">
        <w:r>
          <w:rPr>
            <w:rStyle w:val="Hyperlink"/>
          </w:rPr>
          <w:t xml:space="preserve">[1]</w:t>
        </w:r>
      </w:hyperlink>
    </w:p>
    <w:p>
      <w:pPr>
        <w:pStyle w:val="BodyText"/>
      </w:pPr>
      <w:r>
        <w:t xml:space="preserve">That problem becomes acute in contemporary design culture because the past is frequently encountered as a stream of decontextualized images. Toppins argues that design students often meet history as brief visual impressions that seduce them into imitating form without understanding historical context, while Michele Galluzzo shows that many logo and identity histories isolate artifacts from use, audience, politics, and economic function, producing what he calls an “out of context” visual narrative. In that environment, recurrence is easily misrecognized as invention.</w:t>
      </w:r>
      <w:r>
        <w:t xml:space="preserve"> </w:t>
      </w:r>
      <w:hyperlink r:id="rId22">
        <w:r>
          <w:rPr>
            <w:rStyle w:val="Hyperlink"/>
          </w:rPr>
          <w:t xml:space="preserve">[2]</w:t>
        </w:r>
      </w:hyperlink>
    </w:p>
    <w:p>
      <w:pPr>
        <w:pStyle w:val="BodyText"/>
      </w:pPr>
      <w:r>
        <w:t xml:space="preserve">Your project is therefore best positioned not as a digital archive in the narrow sense, but as a</w:t>
      </w:r>
      <w:r>
        <w:t xml:space="preserve"> </w:t>
      </w:r>
      <w:r>
        <w:rPr>
          <w:b/>
          <w:bCs/>
        </w:rPr>
        <w:t xml:space="preserve">historiographic instrument</w:t>
      </w:r>
      <w:r>
        <w:t xml:space="preserve">: a research gateway that makes relations across time visible, distinguishes between resemblance and transmission, and reconnects form to conditions of production, circulation, reception, and reuse. This requires a theory of history in which chronology matters but does not rule; the archive is active rather than neutral; interfaces are interpretive rather than transparent; and media technologies are treated as historical agents rather than mere delivery channels. That is exactly where Benjamin, Warburg, media archaeology, expanded design history, and critical archive/interface theory converge.</w:t>
      </w:r>
      <w:r>
        <w:t xml:space="preserve"> </w:t>
      </w:r>
      <w:hyperlink r:id="rId23">
        <w:r>
          <w:rPr>
            <w:rStyle w:val="Hyperlink"/>
          </w:rPr>
          <w:t xml:space="preserve">[3]</w:t>
        </w:r>
      </w:hyperlink>
    </w:p>
    <w:p>
      <w:pPr>
        <w:pStyle w:val="BodyText"/>
      </w:pPr>
      <w:r>
        <w:rPr>
          <w:b/>
          <w:bCs/>
        </w:rPr>
        <w:t xml:space="preserve">Theoretical positioning statement.</w:t>
      </w:r>
      <w:r>
        <w:br/>
      </w:r>
      <w:r>
        <w:t xml:space="preserve">This project can be positioned as a</w:t>
      </w:r>
      <w:r>
        <w:t xml:space="preserve"> </w:t>
      </w:r>
      <w:r>
        <w:rPr>
          <w:b/>
          <w:bCs/>
        </w:rPr>
        <w:t xml:space="preserve">nonlinear, provenance-rich, graph-based historiography of modern graphic design</w:t>
      </w:r>
      <w:r>
        <w:t xml:space="preserve">, in which a chronological backbone remains available for orientation, but historical meaning is produced through constellations linking works, actors, institutions, media technologies, places, texts, themes, and later receptions. In this framework, the archive graph does not merely store design history; it stages the moment in which earlier forms, methods, and ideological programs become legible again in the present. That claim is an inference from Benjamin’s constellation and now-time, Warburg’s atlas of afterlives, media archaeology’s recursive temporality, and interface theory’s insistence that visualization and interaction always structure interpretation.</w:t>
      </w:r>
      <w:r>
        <w:t xml:space="preserve"> </w:t>
      </w:r>
      <w:hyperlink r:id="rId24">
        <w:r>
          <w:rPr>
            <w:rStyle w:val="Hyperlink"/>
          </w:rPr>
          <w:t xml:space="preserve">[4]</w:t>
        </w:r>
      </w:hyperlink>
    </w:p>
    <w:bookmarkEnd w:id="25"/>
    <w:bookmarkStart w:id="29" w:name="Xb3f65ca50ebf5d5e742504ff96bd27008055210"/>
    <w:p>
      <w:pPr>
        <w:pStyle w:val="Heading2"/>
      </w:pPr>
      <w:r>
        <w:t xml:space="preserve">Benjamin and Warburg as historiographic anchors</w:t>
      </w:r>
    </w:p>
    <w:p>
      <w:pPr>
        <w:pStyle w:val="FirstParagraph"/>
      </w:pPr>
      <w:r>
        <w:t xml:space="preserve">Walter Benjamin is crucial because he offers a theory of history that directly opposes the smooth progressive timeline. In</w:t>
      </w:r>
      <w:r>
        <w:t xml:space="preserve"> </w:t>
      </w:r>
      <w:r>
        <w:rPr>
          <w:i/>
          <w:iCs/>
        </w:rPr>
        <w:t xml:space="preserve">On the Concept of History</w:t>
      </w:r>
      <w:r>
        <w:t xml:space="preserve">, he argues against the idea that history unfolds through “homogenous, empty time” and instead describes a present saturated with</w:t>
      </w:r>
      <w:r>
        <w:t xml:space="preserve"> </w:t>
      </w:r>
      <w:r>
        <w:rPr>
          <w:b/>
          <w:bCs/>
        </w:rPr>
        <w:t xml:space="preserve">Jetztzeit</w:t>
      </w:r>
      <w:r>
        <w:t xml:space="preserve">, or now-time, in which the continuum of history can be interrupted. The Stanford Encyclopedia summarizes his mature historical method as a critique of historicism and Social Democratic progress narratives, arguing that historical intelligibility arises through construction, montage, and the dialectical image rather than additive chronology.</w:t>
      </w:r>
      <w:r>
        <w:t xml:space="preserve"> </w:t>
      </w:r>
      <w:hyperlink r:id="rId23">
        <w:r>
          <w:rPr>
            <w:rStyle w:val="Hyperlink"/>
          </w:rPr>
          <w:t xml:space="preserve">[5]</w:t>
        </w:r>
      </w:hyperlink>
    </w:p>
    <w:p>
      <w:pPr>
        <w:pStyle w:val="BodyText"/>
      </w:pPr>
      <w:r>
        <w:t xml:space="preserve">Benjamin’s concept of the</w:t>
      </w:r>
      <w:r>
        <w:t xml:space="preserve"> </w:t>
      </w:r>
      <w:r>
        <w:rPr>
          <w:b/>
          <w:bCs/>
        </w:rPr>
        <w:t xml:space="preserve">constellation</w:t>
      </w:r>
      <w:r>
        <w:t xml:space="preserve"> </w:t>
      </w:r>
      <w:r>
        <w:t xml:space="preserve">is especially productive for your project. The SEP account explains that Benjamin treats constellations as arrangements in which phenomena are reassembled so that an idea becomes legible; criticism reconstructs the fore- and after-history of phenomena into a historical constellation. In his later work, this becomes the method of the</w:t>
      </w:r>
      <w:r>
        <w:t xml:space="preserve"> </w:t>
      </w:r>
      <w:r>
        <w:rPr>
          <w:b/>
          <w:bCs/>
        </w:rPr>
        <w:t xml:space="preserve">dialectical image</w:t>
      </w:r>
      <w:r>
        <w:t xml:space="preserve">, a sudden image in which past and present enter a charged relation. The dialectical image is not a decorative comparison between two periods. It is the moment when the present is thrown into crisis by a past that becomes newly readable.</w:t>
      </w:r>
      <w:r>
        <w:t xml:space="preserve"> </w:t>
      </w:r>
      <w:hyperlink r:id="rId24">
        <w:r>
          <w:rPr>
            <w:rStyle w:val="Hyperlink"/>
          </w:rPr>
          <w:t xml:space="preserve">[6]</w:t>
        </w:r>
      </w:hyperlink>
    </w:p>
    <w:p>
      <w:pPr>
        <w:pStyle w:val="BodyText"/>
      </w:pPr>
      <w:r>
        <w:t xml:space="preserve">For graphic design history, this matters because Benjamin gives you a way to explain how the past becomes legible</w:t>
      </w:r>
      <w:r>
        <w:t xml:space="preserve"> </w:t>
      </w:r>
      <w:r>
        <w:rPr>
          <w:b/>
          <w:bCs/>
        </w:rPr>
        <w:t xml:space="preserve">from the present</w:t>
      </w:r>
      <w:r>
        <w:t xml:space="preserve"> </w:t>
      </w:r>
      <w:r>
        <w:t xml:space="preserve">without collapsing history into presentism. His model does not ask the historian merely to line objects up in order; it asks the historian to construct a relation in which something long sedimented becomes visible as unfinished, recurring, or newly urgent. That is a much stronger justification for an archive graph than the language of “discovery” alone. A graph can stage Benjaminian legibility by allowing a contemporary query to trigger historical clusters around prior media conditions, receptions, or ideological uses. That is an inference, but it is strongly supported by Benjamin’s emphasis on constellation, construction, afterlife, and the interruptive flash of the dialectical image.</w:t>
      </w:r>
      <w:r>
        <w:t xml:space="preserve"> </w:t>
      </w:r>
      <w:hyperlink r:id="rId24">
        <w:r>
          <w:rPr>
            <w:rStyle w:val="Hyperlink"/>
          </w:rPr>
          <w:t xml:space="preserve">[7]</w:t>
        </w:r>
      </w:hyperlink>
    </w:p>
    <w:p>
      <w:pPr>
        <w:pStyle w:val="BodyText"/>
      </w:pPr>
      <w:r>
        <w:t xml:space="preserve">Aby Warburg complements Benjamin by providing a theory of image history built on recurrence, migration, and transformation. Cornell’s account of the</w:t>
      </w:r>
      <w:r>
        <w:t xml:space="preserve"> </w:t>
      </w:r>
      <w:r>
        <w:rPr>
          <w:i/>
          <w:iCs/>
        </w:rPr>
        <w:t xml:space="preserve">Mnemosyne Atlas</w:t>
      </w:r>
      <w:r>
        <w:t xml:space="preserve"> </w:t>
      </w:r>
      <w:r>
        <w:t xml:space="preserve">describes it as Warburg’s attempt to map the “afterlife of antiquity,” tracing how images of symbolic and emotional power emerge, reappear, and are reanimated in later times and places. The same source stresses that Warburg sought synoptic insight through juxtaposition and sequence, charting both recurrence and transformation.</w:t>
      </w:r>
      <w:r>
        <w:t xml:space="preserve"> </w:t>
      </w:r>
      <w:hyperlink r:id="rId26">
        <w:r>
          <w:rPr>
            <w:rStyle w:val="Hyperlink"/>
          </w:rPr>
          <w:t xml:space="preserve">[8]</w:t>
        </w:r>
      </w:hyperlink>
    </w:p>
    <w:p>
      <w:pPr>
        <w:pStyle w:val="BodyText"/>
      </w:pPr>
      <w:r>
        <w:t xml:space="preserve">Warburg’s method is directly relevant to graphic design history because the</w:t>
      </w:r>
      <w:r>
        <w:t xml:space="preserve"> </w:t>
      </w:r>
      <w:r>
        <w:rPr>
          <w:i/>
          <w:iCs/>
        </w:rPr>
        <w:t xml:space="preserve">Mnemosyne Atlas</w:t>
      </w:r>
      <w:r>
        <w:t xml:space="preserve"> </w:t>
      </w:r>
      <w:r>
        <w:t xml:space="preserve">was never limited to elite art objects. The Warburg Institute notes that the panels included photographic reproductions, diagrams, postcards, advertisements, and newspaper clippings. That makes Warburg unusually useful for visual communication history, where posters, manuals, magazines, trademarks, interfaces, packaging, and screenshots often matter as much as singular masterpieces. In other words, Warburg already offers a model of image history that can move across fine art, print culture, ephemera, and popular media.</w:t>
      </w:r>
      <w:r>
        <w:t xml:space="preserve"> </w:t>
      </w:r>
      <w:hyperlink r:id="rId27">
        <w:r>
          <w:rPr>
            <w:rStyle w:val="Hyperlink"/>
          </w:rPr>
          <w:t xml:space="preserve">[9]</w:t>
        </w:r>
      </w:hyperlink>
    </w:p>
    <w:p>
      <w:pPr>
        <w:pStyle w:val="BodyText"/>
      </w:pPr>
      <w:r>
        <w:t xml:space="preserve">Colleen Becker’s analysis of Warburg’s</w:t>
      </w:r>
      <w:r>
        <w:t xml:space="preserve"> </w:t>
      </w:r>
      <w:r>
        <w:rPr>
          <w:b/>
          <w:bCs/>
        </w:rPr>
        <w:t xml:space="preserve">Pathosformel</w:t>
      </w:r>
      <w:r>
        <w:t xml:space="preserve"> </w:t>
      </w:r>
      <w:r>
        <w:t xml:space="preserve">is valuable here because it clarifies the methodological stakes. Becker defines Warburg’s key concepts as the afterlife of antiquity, the emotionally charged visual trope, and the space for contemplation; she also describes the</w:t>
      </w:r>
      <w:r>
        <w:t xml:space="preserve"> </w:t>
      </w:r>
      <w:r>
        <w:rPr>
          <w:i/>
          <w:iCs/>
        </w:rPr>
        <w:t xml:space="preserve">Bilderatlas</w:t>
      </w:r>
      <w:r>
        <w:t xml:space="preserve"> </w:t>
      </w:r>
      <w:r>
        <w:t xml:space="preserve">as a “map of worlds within worlds,” dependent on both cultural memory and the interpreter’s perspective. That formulation is almost a program statement for a graph-based research interface: not a single line, but nested worlds of recurrence, subject to interpretation and reconfiguration.</w:t>
      </w:r>
      <w:r>
        <w:t xml:space="preserve"> </w:t>
      </w:r>
      <w:hyperlink r:id="rId28">
        <w:r>
          <w:rPr>
            <w:rStyle w:val="Hyperlink"/>
          </w:rPr>
          <w:t xml:space="preserve">[10]</w:t>
        </w:r>
      </w:hyperlink>
    </w:p>
    <w:p>
      <w:pPr>
        <w:pStyle w:val="BodyText"/>
      </w:pPr>
      <w:r>
        <w:t xml:space="preserve">Together, Benjamin and Warburg give your project two strong propositions. First, history is not linear continuity but a field of charged reappearances, interruptions, and rearrangements. Second, visual history is not exhausted by author-centered narrative; it is often carried by migration, survival, reuse, citation, commercial circulation, and altered reception. That pair of propositions is exceptionally well suited to modern graphic design, where forms travel quickly across media systems, markets, institutions, and publics.</w:t>
      </w:r>
      <w:r>
        <w:t xml:space="preserve"> </w:t>
      </w:r>
      <w:hyperlink r:id="rId24">
        <w:r>
          <w:rPr>
            <w:rStyle w:val="Hyperlink"/>
          </w:rPr>
          <w:t xml:space="preserve">[11]</w:t>
        </w:r>
      </w:hyperlink>
    </w:p>
    <w:bookmarkEnd w:id="29"/>
    <w:bookmarkStart w:id="39" w:name="X9f8b12e50db3825801e7f9c9d9176fcf74510e5"/>
    <w:p>
      <w:pPr>
        <w:pStyle w:val="Heading2"/>
      </w:pPr>
      <w:r>
        <w:t xml:space="preserve">Media archaeology and expanded design history</w:t>
      </w:r>
    </w:p>
    <w:p>
      <w:pPr>
        <w:pStyle w:val="FirstParagraph"/>
      </w:pPr>
      <w:r>
        <w:t xml:space="preserve">Media archaeology strengthens the argument by showing that visual forms do not recur in spite of technology but through it. Jussi Parikka defines media archaeology as a heterogeneous set of theories and methods that investigates media history through alternative roots, forgotten paths, neglected ideas, and machines; he explicitly says that it challenges the supposed newness of digital culture and reads old and new media in parallel rather than as a simple linear succession. Erkki Huhtamo’s version of media archaeology adds the concept of</w:t>
      </w:r>
      <w:r>
        <w:t xml:space="preserve"> </w:t>
      </w:r>
      <w:r>
        <w:rPr>
          <w:b/>
          <w:bCs/>
        </w:rPr>
        <w:t xml:space="preserve">topoi</w:t>
      </w:r>
      <w:r>
        <w:t xml:space="preserve">: recurring discursive, visual, or audio motifs that reappear across time and across media.</w:t>
      </w:r>
      <w:r>
        <w:t xml:space="preserve"> </w:t>
      </w:r>
      <w:hyperlink r:id="rId30">
        <w:r>
          <w:rPr>
            <w:rStyle w:val="Hyperlink"/>
          </w:rPr>
          <w:t xml:space="preserve">[12]</w:t>
        </w:r>
      </w:hyperlink>
    </w:p>
    <w:p>
      <w:pPr>
        <w:pStyle w:val="BodyText"/>
      </w:pPr>
      <w:r>
        <w:t xml:space="preserve">Siegfried Zielinski’s “deep time” formulation pushes the point further. MIT Press summarizes his argument as a rejection of predictable development from primitive tools to complex machinery; media history, in this view, is fractured, accidental, and non-teleological, allowing us to “see the new in the old.” Wolfgang Ernst, meanwhile, insists that technical and digital media do not simply exist in time but produce temporalities of their own. This matters for graphic design because styles are never just stylistic: they are bound to grids of reproduction, storage, calculation, and display.</w:t>
      </w:r>
      <w:r>
        <w:t xml:space="preserve"> </w:t>
      </w:r>
      <w:hyperlink r:id="rId31">
        <w:r>
          <w:rPr>
            <w:rStyle w:val="Hyperlink"/>
          </w:rPr>
          <w:t xml:space="preserve">[13]</w:t>
        </w:r>
      </w:hyperlink>
    </w:p>
    <w:p>
      <w:pPr>
        <w:pStyle w:val="BodyText"/>
      </w:pPr>
      <w:r>
        <w:t xml:space="preserve">Friedrich Kittler provides the strongest account of how media technologies shape discourse. Stanford University Press summarizes</w:t>
      </w:r>
      <w:r>
        <w:t xml:space="preserve"> </w:t>
      </w:r>
      <w:r>
        <w:rPr>
          <w:i/>
          <w:iCs/>
        </w:rPr>
        <w:t xml:space="preserve">Gramophone, Film, Typewriter</w:t>
      </w:r>
      <w:r>
        <w:t xml:space="preserve"> </w:t>
      </w:r>
      <w:r>
        <w:t xml:space="preserve">by saying that it ties new discursive practices to the introduction of new media technologies and shows how those technologies determine what can be thought and represented. In a design historical frame, that means visual strategies should be read not only as aesthetic choices but as effects of printing systems, photographic processes, compositor technologies, layout software, browsers, and platform interfaces.</w:t>
      </w:r>
      <w:r>
        <w:t xml:space="preserve"> </w:t>
      </w:r>
      <w:hyperlink r:id="rId32">
        <w:r>
          <w:rPr>
            <w:rStyle w:val="Hyperlink"/>
          </w:rPr>
          <w:t xml:space="preserve">[14]</w:t>
        </w:r>
      </w:hyperlink>
    </w:p>
    <w:p>
      <w:pPr>
        <w:pStyle w:val="BodyText"/>
      </w:pPr>
      <w:r>
        <w:t xml:space="preserve">This is easy to see in a concise technological sequence. Britannica describes offset printing as an indirect, planographic technique based on lithography, discovered in practical form in 1904, and links twentieth-century printing to mass production, speed, and economy. The Museum of Printing describes phototypesetting as a fifty-year regime that radically changed printing before disappearing, while Museum Victoria explains that by 1986 the combination of laser printing, PostScript, and Aldus PageMaker made desktop publishing and WYSIWYG production broadly available, with effects that continued into blogs, homepages, and podcasts. CERN’s history of the web adds that the Web was conceived as a system of hypertext documents viewed by browsers, and that the first browser also allowed direct editing of pages inside the browsing environment.</w:t>
      </w:r>
      <w:r>
        <w:t xml:space="preserve"> </w:t>
      </w:r>
      <w:hyperlink r:id="rId33">
        <w:r>
          <w:rPr>
            <w:rStyle w:val="Hyperlink"/>
          </w:rPr>
          <w:t xml:space="preserve">[15]</w:t>
        </w:r>
      </w:hyperlink>
    </w:p>
    <w:p>
      <w:pPr>
        <w:pStyle w:val="BodyText"/>
      </w:pPr>
      <w:r>
        <w:t xml:space="preserve">The methodological consequence is important: graphic design history should not be organized only by stylistic movements such as Art Nouveau, Swiss Style, or Postmodernism. It can also be organized through</w:t>
      </w:r>
      <w:r>
        <w:t xml:space="preserve"> </w:t>
      </w:r>
      <w:r>
        <w:rPr>
          <w:b/>
          <w:bCs/>
        </w:rPr>
        <w:t xml:space="preserve">media regimes</w:t>
      </w:r>
      <w:r>
        <w:t xml:space="preserve"> </w:t>
      </w:r>
      <w:r>
        <w:t xml:space="preserve">and transitions among them: lithographic poster culture, halftone reproduction, offset package economies, phototypeset corporate modernism, desktop-publishing page assembly, browser-based hypertext, and later web-and-platform ecologies. Recent design research on AI in graphic design similarly notes that electronic publishing, multimedia, the web, and social media have already reshaped the discipline’s conditions of practice.</w:t>
      </w:r>
      <w:r>
        <w:t xml:space="preserve"> </w:t>
      </w:r>
      <w:hyperlink r:id="rId34">
        <w:r>
          <w:rPr>
            <w:rStyle w:val="Hyperlink"/>
          </w:rPr>
          <w:t xml:space="preserve">[16]</w:t>
        </w:r>
      </w:hyperlink>
    </w:p>
    <w:p>
      <w:pPr>
        <w:pStyle w:val="BodyText"/>
      </w:pPr>
      <w:r>
        <w:t xml:space="preserve">This media-archaeological view supports a broader critique already underway in design history. Huppatz and Lees-Maffei argue that design history matters not only as disciplinary background but as a field connected to sociology, cultural studies, the history of technology, anthropology, and area studies. The Design History Society describes the</w:t>
      </w:r>
      <w:r>
        <w:t xml:space="preserve"> </w:t>
      </w:r>
      <w:r>
        <w:rPr>
          <w:i/>
          <w:iCs/>
        </w:rPr>
        <w:t xml:space="preserve">Journal of Design History</w:t>
      </w:r>
      <w:r>
        <w:t xml:space="preserve"> </w:t>
      </w:r>
      <w:r>
        <w:t xml:space="preserve">as global in orientation and methodologically open to social sciences, material culture studies, and cultural studies. A recent</w:t>
      </w:r>
      <w:r>
        <w:t xml:space="preserve"> </w:t>
      </w:r>
      <w:r>
        <w:rPr>
          <w:i/>
          <w:iCs/>
        </w:rPr>
        <w:t xml:space="preserve">Journal of Design History</w:t>
      </w:r>
      <w:r>
        <w:t xml:space="preserve"> </w:t>
      </w:r>
      <w:r>
        <w:t xml:space="preserve">special issue call, framed explicitly in relation to the “postcolonial turn,” foregrounds unequal power relations, administrative infrastructures, and hidden labor rather than merely celebrated creators and objects.</w:t>
      </w:r>
      <w:r>
        <w:t xml:space="preserve"> </w:t>
      </w:r>
      <w:hyperlink r:id="rId35">
        <w:r>
          <w:rPr>
            <w:rStyle w:val="Hyperlink"/>
          </w:rPr>
          <w:t xml:space="preserve">[17]</w:t>
        </w:r>
      </w:hyperlink>
    </w:p>
    <w:p>
      <w:pPr>
        <w:pStyle w:val="BodyText"/>
      </w:pPr>
      <w:r>
        <w:t xml:space="preserve">Feminist and social-historical interventions are central here. Martha Scotford’s classic distinction between</w:t>
      </w:r>
      <w:r>
        <w:t xml:space="preserve"> </w:t>
      </w:r>
      <w:r>
        <w:rPr>
          <w:b/>
          <w:bCs/>
        </w:rPr>
        <w:t xml:space="preserve">neat history</w:t>
      </w:r>
      <w:r>
        <w:t xml:space="preserve"> </w:t>
      </w:r>
      <w:r>
        <w:t xml:space="preserve">and</w:t>
      </w:r>
      <w:r>
        <w:t xml:space="preserve"> </w:t>
      </w:r>
      <w:r>
        <w:rPr>
          <w:b/>
          <w:bCs/>
        </w:rPr>
        <w:t xml:space="preserve">messy history</w:t>
      </w:r>
      <w:r>
        <w:t xml:space="preserve"> </w:t>
      </w:r>
      <w:r>
        <w:t xml:space="preserve">argues that conventional design history privileges mainstream work by individual, usually male designers, whereas messy history seeks the alternative approaches, activities, and roles often omitted from canonical accounts. Jane Connory’s review of</w:t>
      </w:r>
      <w:r>
        <w:t xml:space="preserve"> </w:t>
      </w:r>
      <w:r>
        <w:rPr>
          <w:i/>
          <w:iCs/>
        </w:rPr>
        <w:t xml:space="preserve">Design History Beyond the Canon</w:t>
      </w:r>
      <w:r>
        <w:t xml:space="preserve"> </w:t>
      </w:r>
      <w:r>
        <w:t xml:space="preserve">similarly emphasizes inclusive narratives that decenter sole geniuses.</w:t>
      </w:r>
      <w:r>
        <w:t xml:space="preserve"> </w:t>
      </w:r>
      <w:hyperlink r:id="rId36">
        <w:r>
          <w:rPr>
            <w:rStyle w:val="Hyperlink"/>
          </w:rPr>
          <w:t xml:space="preserve">[18]</w:t>
        </w:r>
      </w:hyperlink>
    </w:p>
    <w:p>
      <w:pPr>
        <w:pStyle w:val="BodyText"/>
      </w:pPr>
      <w:r>
        <w:t xml:space="preserve">Institutional critique matters just as much. Stedelijk Studies argues that museum curators and exhibitions helped set the criteria of “good graphic design,” thereby writing canonical narratives before historians formalized them. Galluzzo shows how graphic design histories can privilege the “formal lens,” heroic authorship, and decontextualized objects, while also pointing toward social history, end users, and public reception as correctives. Brian Donnelly’s work on Canada adds another lesson especially relevant to your project: in the absence of strong collecting institutions and written sources, design history leans on memory and oral transmission, making the distinction between memory and history itself methodologically important.</w:t>
      </w:r>
      <w:r>
        <w:t xml:space="preserve"> </w:t>
      </w:r>
      <w:hyperlink r:id="rId37">
        <w:r>
          <w:rPr>
            <w:rStyle w:val="Hyperlink"/>
          </w:rPr>
          <w:t xml:space="preserve">[19]</w:t>
        </w:r>
      </w:hyperlink>
    </w:p>
    <w:p>
      <w:pPr>
        <w:pStyle w:val="BodyText"/>
      </w:pPr>
      <w:r>
        <w:t xml:space="preserve">Postcolonial and global approaches widen the frame further. The South African case study by Deidre Pretorius shows that graphic design history in that context was deeply implicated in settler colonialism, even while graphic design also served anti-colonial resistance; Pretorius also argues that after apartheid, award culture still reproduced colonial and imperial narratives rather than fully engaging transformation. The point is not that every context repeats South Africa, but that graphic design histories must be read through empire, governance, institutions, and language politics, not only through formal evolution.</w:t>
      </w:r>
      <w:r>
        <w:t xml:space="preserve"> </w:t>
      </w:r>
      <w:hyperlink r:id="rId38">
        <w:r>
          <w:rPr>
            <w:rStyle w:val="Hyperlink"/>
          </w:rPr>
          <w:t xml:space="preserve">[20]</w:t>
        </w:r>
      </w:hyperlink>
    </w:p>
    <w:bookmarkEnd w:id="39"/>
    <w:bookmarkStart w:id="42" w:name="X9ffecaf0b7a213c176e6595ed739c1c7382cad9"/>
    <w:p>
      <w:pPr>
        <w:pStyle w:val="Heading2"/>
      </w:pPr>
      <w:r>
        <w:t xml:space="preserve">Originality, repetition, and historical amnesia</w:t>
      </w:r>
    </w:p>
    <w:p>
      <w:pPr>
        <w:pStyle w:val="FirstParagraph"/>
      </w:pPr>
      <w:r>
        <w:t xml:space="preserve">The literature does not support a naive opposition between originality and repetition. Instead, it suggests that design culture often</w:t>
      </w:r>
      <w:r>
        <w:t xml:space="preserve"> </w:t>
      </w:r>
      <w:r>
        <w:rPr>
          <w:b/>
          <w:bCs/>
        </w:rPr>
        <w:t xml:space="preserve">produces</w:t>
      </w:r>
      <w:r>
        <w:t xml:space="preserve"> </w:t>
      </w:r>
      <w:r>
        <w:t xml:space="preserve">feelings of originality by weakening historical memory. Toppins’s recent description of graphic design’s “paradoxical relationship to history” is especially important: the field celebrates originality and innovation, yet practice is deeply embedded in previous ideals, and students often encounter the past through thin visual impressions rather than contextual understanding. AIGA’s discussion of the “cult of hero worship” makes a parallel point: heroic pedagogy turns history into a pantheon rather than a field of conditions, conflicts, and recurrences.</w:t>
      </w:r>
      <w:r>
        <w:t xml:space="preserve"> </w:t>
      </w:r>
      <w:hyperlink r:id="rId22">
        <w:r>
          <w:rPr>
            <w:rStyle w:val="Hyperlink"/>
          </w:rPr>
          <w:t xml:space="preserve">[21]</w:t>
        </w:r>
      </w:hyperlink>
    </w:p>
    <w:p>
      <w:pPr>
        <w:pStyle w:val="BodyText"/>
      </w:pPr>
      <w:r>
        <w:t xml:space="preserve">Benjamin helps explain why this misrecognition is structurally persistent. In</w:t>
      </w:r>
      <w:r>
        <w:t xml:space="preserve"> </w:t>
      </w:r>
      <w:r>
        <w:rPr>
          <w:i/>
          <w:iCs/>
        </w:rPr>
        <w:t xml:space="preserve">On the Concept of History</w:t>
      </w:r>
      <w:r>
        <w:t xml:space="preserve">, he writes that fashion “evokes costumes of the past,” treating the present as a tiger’s leap into earlier time rather than a purely new beginning. Media archaeology makes the same point in technological terms: Parikka says the field challenges the supposed newness of digital culture, while Huhtamo treats recurrence itself as a primary object of study. What appears new may be a recombination, migration, platform adaptation, or new technical realization of an older topos.</w:t>
      </w:r>
      <w:r>
        <w:t xml:space="preserve"> </w:t>
      </w:r>
      <w:hyperlink r:id="rId23">
        <w:r>
          <w:rPr>
            <w:rStyle w:val="Hyperlink"/>
          </w:rPr>
          <w:t xml:space="preserve">[22]</w:t>
        </w:r>
      </w:hyperlink>
    </w:p>
    <w:p>
      <w:pPr>
        <w:pStyle w:val="BodyText"/>
      </w:pPr>
      <w:r>
        <w:t xml:space="preserve">For your project, it is useful to separate four different kinds of recurrence that are often confused in design discourse:</w:t>
      </w:r>
    </w:p>
    <w:p>
      <w:pPr>
        <w:pStyle w:val="Compact"/>
        <w:numPr>
          <w:ilvl w:val="0"/>
          <w:numId w:val="1001"/>
        </w:numPr>
      </w:pPr>
      <w:r>
        <w:rPr>
          <w:b/>
          <w:bCs/>
        </w:rPr>
        <w:t xml:space="preserve">Visual resemblance</w:t>
      </w:r>
      <w:r>
        <w:t xml:space="preserve"> </w:t>
      </w:r>
      <w:r>
        <w:t xml:space="preserve">means that two artifacts look similar, but no evidence yet shows transmission, shared context, or common cause. It is the weakest relation and should not be mistaken for influence. Warburg’s image comparisons and Huhtamo’s recurring topoi justify the importance of noticing resemblance, but neither treats resemblance alone as a complete historical explanation.</w:t>
      </w:r>
      <w:r>
        <w:t xml:space="preserve"> </w:t>
      </w:r>
      <w:hyperlink r:id="rId26">
        <w:r>
          <w:rPr>
            <w:rStyle w:val="Hyperlink"/>
          </w:rPr>
          <w:t xml:space="preserve">[23]</w:t>
        </w:r>
      </w:hyperlink>
    </w:p>
    <w:p>
      <w:pPr>
        <w:pStyle w:val="Compact"/>
        <w:numPr>
          <w:ilvl w:val="0"/>
          <w:numId w:val="1001"/>
        </w:numPr>
      </w:pPr>
      <w:r>
        <w:rPr>
          <w:b/>
          <w:bCs/>
        </w:rPr>
        <w:t xml:space="preserve">Historical relation</w:t>
      </w:r>
      <w:r>
        <w:t xml:space="preserve"> </w:t>
      </w:r>
      <w:r>
        <w:t xml:space="preserve">means that there is evidence of connection: citation, reproduction, teaching, collecting, archival contact, institutional membership, shared publication venue, or explicitly documented influence. Benjamin’s constellation and the linked-data models used in cultural heritage are useful precisely because they model such relations rather than merely visual similarity.</w:t>
      </w:r>
      <w:r>
        <w:t xml:space="preserve"> </w:t>
      </w:r>
      <w:hyperlink r:id="rId24">
        <w:r>
          <w:rPr>
            <w:rStyle w:val="Hyperlink"/>
          </w:rPr>
          <w:t xml:space="preserve">[24]</w:t>
        </w:r>
      </w:hyperlink>
    </w:p>
    <w:p>
      <w:pPr>
        <w:pStyle w:val="Compact"/>
        <w:numPr>
          <w:ilvl w:val="0"/>
          <w:numId w:val="1001"/>
        </w:numPr>
      </w:pPr>
      <w:r>
        <w:rPr>
          <w:b/>
          <w:bCs/>
        </w:rPr>
        <w:t xml:space="preserve">Methodological inheritance</w:t>
      </w:r>
      <w:r>
        <w:t xml:space="preserve"> </w:t>
      </w:r>
      <w:r>
        <w:t xml:space="preserve">means that later work shares procedures or media logics with earlier work even when surface form differs: montage, modular grids, branding systems, database organization, WYSIWYG assembly, or browser-native editing. Kittler and media archaeology are especially important here because they link practices to technical regimes.</w:t>
      </w:r>
      <w:r>
        <w:t xml:space="preserve"> </w:t>
      </w:r>
      <w:hyperlink r:id="rId32">
        <w:r>
          <w:rPr>
            <w:rStyle w:val="Hyperlink"/>
          </w:rPr>
          <w:t xml:space="preserve">[25]</w:t>
        </w:r>
      </w:hyperlink>
    </w:p>
    <w:p>
      <w:pPr>
        <w:pStyle w:val="Compact"/>
        <w:numPr>
          <w:ilvl w:val="0"/>
          <w:numId w:val="1001"/>
        </w:numPr>
      </w:pPr>
      <w:r>
        <w:rPr>
          <w:b/>
          <w:bCs/>
        </w:rPr>
        <w:t xml:space="preserve">Ideological repetition</w:t>
      </w:r>
      <w:r>
        <w:t xml:space="preserve"> </w:t>
      </w:r>
      <w:r>
        <w:t xml:space="preserve">means that supposedly fresh visual strategies reproduce older social functions: neutrality serving corporate authority, identity systems smoothing over political or economic contradiction, or platform aesthetics presenting power as frictionless usability. Galluzzo’s account of logo-modernist narratives, and his use of Drucker and McVarish’s analysis, is powerful evidence that repetition can occur at the level of social mediation and power, not just form.</w:t>
      </w:r>
      <w:r>
        <w:t xml:space="preserve"> </w:t>
      </w:r>
      <w:hyperlink r:id="rId40">
        <w:r>
          <w:rPr>
            <w:rStyle w:val="Hyperlink"/>
          </w:rPr>
          <w:t xml:space="preserve">[26]</w:t>
        </w:r>
      </w:hyperlink>
    </w:p>
    <w:p>
      <w:pPr>
        <w:pStyle w:val="FirstParagraph"/>
      </w:pPr>
      <w:r>
        <w:t xml:space="preserve">Seen this way, the value of archive-based research is not merely that it finds precedents. It makes recurrence</w:t>
      </w:r>
      <w:r>
        <w:t xml:space="preserve"> </w:t>
      </w:r>
      <w:r>
        <w:rPr>
          <w:b/>
          <w:bCs/>
        </w:rPr>
        <w:t xml:space="preserve">historical</w:t>
      </w:r>
      <w:r>
        <w:t xml:space="preserve">. Chen, Dörk, and Dade-Robertson argue that archival interfaces should support interpretive engagement and be sensitive to the politics of collections, because digital ordering structures open some pathways and close others. Jimerson and the Society of American Archivists likewise insist that archives are sites of power, selection, mediation, and silence, not neutral mirrors of the past. A serious archive gateway can therefore challenge shallow inspiration culture only if it reattaches images to provenance, institutions, labor, circulation, reception, and omission.</w:t>
      </w:r>
      <w:r>
        <w:t xml:space="preserve"> </w:t>
      </w:r>
      <w:hyperlink r:id="rId41">
        <w:r>
          <w:rPr>
            <w:rStyle w:val="Hyperlink"/>
          </w:rPr>
          <w:t xml:space="preserve">[27]</w:t>
        </w:r>
      </w:hyperlink>
    </w:p>
    <w:bookmarkEnd w:id="42"/>
    <w:bookmarkStart w:id="51" w:name="archive-graph-data-model-and-interface"/>
    <w:p>
      <w:pPr>
        <w:pStyle w:val="Heading2"/>
      </w:pPr>
      <w:r>
        <w:t xml:space="preserve">Archive graph, data model, and interface</w:t>
      </w:r>
    </w:p>
    <w:p>
      <w:pPr>
        <w:pStyle w:val="FirstParagraph"/>
      </w:pPr>
      <w:r>
        <w:t xml:space="preserve">An</w:t>
      </w:r>
      <w:r>
        <w:t xml:space="preserve"> </w:t>
      </w:r>
      <w:r>
        <w:rPr>
          <w:b/>
          <w:bCs/>
        </w:rPr>
        <w:t xml:space="preserve">archive graph</w:t>
      </w:r>
      <w:r>
        <w:t xml:space="preserve"> </w:t>
      </w:r>
      <w:r>
        <w:t xml:space="preserve">is particularly strong for this problem because it can model relations across time without abolishing chronology. The right model is not “graph instead of time,” but</w:t>
      </w:r>
      <w:r>
        <w:t xml:space="preserve"> </w:t>
      </w:r>
      <w:r>
        <w:rPr>
          <w:b/>
          <w:bCs/>
        </w:rPr>
        <w:t xml:space="preserve">graph plus a historical spine</w:t>
      </w:r>
      <w:r>
        <w:t xml:space="preserve">. Benjamin’s critique of “homogenous, empty time” does not mean dates are irrelevant; it means chronological sequence should not be mistaken for historical meaning. In your project, the historical spine should be a curated chronological layer of dated productions, publications, exhibitions, institutional foundings, technical changes, editions, reprints, restorations, and later receptions. Around that spine, graph relations can create constellations that show influence, recurrence, parallel emergence, appropriation, rediscovery, or later critique.</w:t>
      </w:r>
      <w:r>
        <w:t xml:space="preserve"> </w:t>
      </w:r>
      <w:hyperlink r:id="rId23">
        <w:r>
          <w:rPr>
            <w:rStyle w:val="Hyperlink"/>
          </w:rPr>
          <w:t xml:space="preserve">[28]</w:t>
        </w:r>
      </w:hyperlink>
    </w:p>
    <w:p>
      <w:pPr>
        <w:pStyle w:val="BodyText"/>
      </w:pPr>
      <w:r>
        <w:t xml:space="preserve">The data model should therefore treat graphic design history as a network of heterogeneous entities rather than a flat catalog. Linked Art is useful here because it already models objects, digital content, collections, provenance, exhibitions, conservation, people, organizations, places, concepts, events, rights, and relationships as structured entities, with explicit provenance activities and shared patterns. Linked Open Data is equally important because it represents knowledge in graph form and is designed to connect heterogeneous distributed data sources across galleries, libraries, archives, and museums.</w:t>
      </w:r>
      <w:r>
        <w:t xml:space="preserve"> </w:t>
      </w:r>
      <w:hyperlink r:id="rId43">
        <w:r>
          <w:rPr>
            <w:rStyle w:val="Hyperlink"/>
          </w:rPr>
          <w:t xml:space="preserve">[29]</w:t>
        </w:r>
      </w:hyperlink>
    </w:p>
    <w:p>
      <w:pPr>
        <w:pStyle w:val="BodyText"/>
      </w:pPr>
      <w:r>
        <w:rPr>
          <w:b/>
          <w:bCs/>
        </w:rPr>
        <w:t xml:space="preserve">Implications for the archive graph data model.</w:t>
      </w:r>
    </w:p>
    <w:p>
      <w:pPr>
        <w:pStyle w:val="Compact"/>
        <w:numPr>
          <w:ilvl w:val="0"/>
          <w:numId w:val="1002"/>
        </w:numPr>
      </w:pPr>
      <w:r>
        <w:t xml:space="preserve">Model at least these entity types as first-class nodes:</w:t>
      </w:r>
      <w:r>
        <w:t xml:space="preserve"> </w:t>
      </w:r>
      <w:r>
        <w:rPr>
          <w:b/>
          <w:bCs/>
        </w:rPr>
        <w:t xml:space="preserve">work/artifact</w:t>
      </w:r>
      <w:r>
        <w:t xml:space="preserve">,</w:t>
      </w:r>
      <w:r>
        <w:t xml:space="preserve"> </w:t>
      </w:r>
      <w:r>
        <w:rPr>
          <w:b/>
          <w:bCs/>
        </w:rPr>
        <w:t xml:space="preserve">designer/person</w:t>
      </w:r>
      <w:r>
        <w:t xml:space="preserve">,</w:t>
      </w:r>
      <w:r>
        <w:t xml:space="preserve"> </w:t>
      </w:r>
      <w:r>
        <w:rPr>
          <w:b/>
          <w:bCs/>
        </w:rPr>
        <w:t xml:space="preserve">organization/institution</w:t>
      </w:r>
      <w:r>
        <w:t xml:space="preserve">,</w:t>
      </w:r>
      <w:r>
        <w:t xml:space="preserve"> </w:t>
      </w:r>
      <w:r>
        <w:rPr>
          <w:b/>
          <w:bCs/>
        </w:rPr>
        <w:t xml:space="preserve">technology/process</w:t>
      </w:r>
      <w:r>
        <w:t xml:space="preserve">,</w:t>
      </w:r>
      <w:r>
        <w:t xml:space="preserve"> </w:t>
      </w:r>
      <w:r>
        <w:rPr>
          <w:b/>
          <w:bCs/>
        </w:rPr>
        <w:t xml:space="preserve">publication/text</w:t>
      </w:r>
      <w:r>
        <w:t xml:space="preserve">,</w:t>
      </w:r>
      <w:r>
        <w:t xml:space="preserve"> </w:t>
      </w:r>
      <w:r>
        <w:rPr>
          <w:b/>
          <w:bCs/>
        </w:rPr>
        <w:t xml:space="preserve">event</w:t>
      </w:r>
      <w:r>
        <w:t xml:space="preserve">,</w:t>
      </w:r>
      <w:r>
        <w:t xml:space="preserve"> </w:t>
      </w:r>
      <w:r>
        <w:rPr>
          <w:b/>
          <w:bCs/>
        </w:rPr>
        <w:t xml:space="preserve">place</w:t>
      </w:r>
      <w:r>
        <w:t xml:space="preserve">,</w:t>
      </w:r>
      <w:r>
        <w:t xml:space="preserve"> </w:t>
      </w:r>
      <w:r>
        <w:rPr>
          <w:b/>
          <w:bCs/>
        </w:rPr>
        <w:t xml:space="preserve">theme/concept</w:t>
      </w:r>
      <w:r>
        <w:t xml:space="preserve">,</w:t>
      </w:r>
      <w:r>
        <w:t xml:space="preserve"> </w:t>
      </w:r>
      <w:r>
        <w:rPr>
          <w:b/>
          <w:bCs/>
        </w:rPr>
        <w:t xml:space="preserve">movement/formation</w:t>
      </w:r>
      <w:r>
        <w:t xml:space="preserve">,</w:t>
      </w:r>
      <w:r>
        <w:t xml:space="preserve"> </w:t>
      </w:r>
      <w:r>
        <w:rPr>
          <w:b/>
          <w:bCs/>
        </w:rPr>
        <w:t xml:space="preserve">collection/archive</w:t>
      </w:r>
      <w:r>
        <w:t xml:space="preserve">, and</w:t>
      </w:r>
      <w:r>
        <w:t xml:space="preserve"> </w:t>
      </w:r>
      <w:r>
        <w:rPr>
          <w:b/>
          <w:bCs/>
        </w:rPr>
        <w:t xml:space="preserve">digital surrogate</w:t>
      </w:r>
      <w:r>
        <w:t xml:space="preserve">. Linked Art’s entity model and LOD’s graph structure support exactly this move away from flat records.</w:t>
      </w:r>
      <w:r>
        <w:t xml:space="preserve"> </w:t>
      </w:r>
      <w:hyperlink r:id="rId43">
        <w:r>
          <w:rPr>
            <w:rStyle w:val="Hyperlink"/>
          </w:rPr>
          <w:t xml:space="preserve">[29]</w:t>
        </w:r>
      </w:hyperlink>
    </w:p>
    <w:p>
      <w:pPr>
        <w:pStyle w:val="Compact"/>
        <w:numPr>
          <w:ilvl w:val="0"/>
          <w:numId w:val="1002"/>
        </w:numPr>
      </w:pPr>
      <w:r>
        <w:t xml:space="preserve">Represent relations as typed edges rather than generic “related to” links:</w:t>
      </w:r>
      <w:r>
        <w:t xml:space="preserve"> </w:t>
      </w:r>
      <w:r>
        <w:rPr>
          <w:b/>
          <w:bCs/>
        </w:rPr>
        <w:t xml:space="preserve">created by</w:t>
      </w:r>
      <w:r>
        <w:t xml:space="preserve">,</w:t>
      </w:r>
      <w:r>
        <w:t xml:space="preserve"> </w:t>
      </w:r>
      <w:r>
        <w:rPr>
          <w:b/>
          <w:bCs/>
        </w:rPr>
        <w:t xml:space="preserve">commissioned by</w:t>
      </w:r>
      <w:r>
        <w:t xml:space="preserve">,</w:t>
      </w:r>
      <w:r>
        <w:t xml:space="preserve"> </w:t>
      </w:r>
      <w:r>
        <w:rPr>
          <w:b/>
          <w:bCs/>
        </w:rPr>
        <w:t xml:space="preserve">published in</w:t>
      </w:r>
      <w:r>
        <w:t xml:space="preserve">,</w:t>
      </w:r>
      <w:r>
        <w:t xml:space="preserve"> </w:t>
      </w:r>
      <w:r>
        <w:rPr>
          <w:b/>
          <w:bCs/>
        </w:rPr>
        <w:t xml:space="preserve">printed by</w:t>
      </w:r>
      <w:r>
        <w:t xml:space="preserve">,</w:t>
      </w:r>
      <w:r>
        <w:t xml:space="preserve"> </w:t>
      </w:r>
      <w:r>
        <w:rPr>
          <w:b/>
          <w:bCs/>
        </w:rPr>
        <w:t xml:space="preserve">uses technology</w:t>
      </w:r>
      <w:r>
        <w:t xml:space="preserve">,</w:t>
      </w:r>
      <w:r>
        <w:t xml:space="preserve"> </w:t>
      </w:r>
      <w:r>
        <w:rPr>
          <w:b/>
          <w:bCs/>
        </w:rPr>
        <w:t xml:space="preserve">circulated through</w:t>
      </w:r>
      <w:r>
        <w:t xml:space="preserve">,</w:t>
      </w:r>
      <w:r>
        <w:t xml:space="preserve"> </w:t>
      </w:r>
      <w:r>
        <w:rPr>
          <w:b/>
          <w:bCs/>
        </w:rPr>
        <w:t xml:space="preserve">shown at</w:t>
      </w:r>
      <w:r>
        <w:t xml:space="preserve">,</w:t>
      </w:r>
      <w:r>
        <w:t xml:space="preserve"> </w:t>
      </w:r>
      <w:r>
        <w:rPr>
          <w:b/>
          <w:bCs/>
        </w:rPr>
        <w:t xml:space="preserve">taught in</w:t>
      </w:r>
      <w:r>
        <w:t xml:space="preserve">,</w:t>
      </w:r>
      <w:r>
        <w:t xml:space="preserve"> </w:t>
      </w:r>
      <w:r>
        <w:rPr>
          <w:b/>
          <w:bCs/>
        </w:rPr>
        <w:t xml:space="preserve">influenced by</w:t>
      </w:r>
      <w:r>
        <w:t xml:space="preserve">,</w:t>
      </w:r>
      <w:r>
        <w:t xml:space="preserve"> </w:t>
      </w:r>
      <w:r>
        <w:rPr>
          <w:b/>
          <w:bCs/>
        </w:rPr>
        <w:t xml:space="preserve">responds to</w:t>
      </w:r>
      <w:r>
        <w:t xml:space="preserve">,</w:t>
      </w:r>
      <w:r>
        <w:t xml:space="preserve"> </w:t>
      </w:r>
      <w:r>
        <w:rPr>
          <w:b/>
          <w:bCs/>
        </w:rPr>
        <w:t xml:space="preserve">criticizes</w:t>
      </w:r>
      <w:r>
        <w:t xml:space="preserve">,</w:t>
      </w:r>
      <w:r>
        <w:t xml:space="preserve"> </w:t>
      </w:r>
      <w:r>
        <w:rPr>
          <w:b/>
          <w:bCs/>
        </w:rPr>
        <w:t xml:space="preserve">appropriates</w:t>
      </w:r>
      <w:r>
        <w:t xml:space="preserve">,</w:t>
      </w:r>
      <w:r>
        <w:t xml:space="preserve"> </w:t>
      </w:r>
      <w:r>
        <w:rPr>
          <w:b/>
          <w:bCs/>
        </w:rPr>
        <w:t xml:space="preserve">rediscovered in</w:t>
      </w:r>
      <w:r>
        <w:t xml:space="preserve">,</w:t>
      </w:r>
      <w:r>
        <w:t xml:space="preserve"> </w:t>
      </w:r>
      <w:r>
        <w:rPr>
          <w:b/>
          <w:bCs/>
        </w:rPr>
        <w:t xml:space="preserve">shares topos with</w:t>
      </w:r>
      <w:r>
        <w:t xml:space="preserve">,</w:t>
      </w:r>
      <w:r>
        <w:t xml:space="preserve"> </w:t>
      </w:r>
      <w:r>
        <w:rPr>
          <w:b/>
          <w:bCs/>
        </w:rPr>
        <w:t xml:space="preserve">resembles</w:t>
      </w:r>
      <w:r>
        <w:t xml:space="preserve">,</w:t>
      </w:r>
      <w:r>
        <w:t xml:space="preserve"> </w:t>
      </w:r>
      <w:r>
        <w:rPr>
          <w:b/>
          <w:bCs/>
        </w:rPr>
        <w:t xml:space="preserve">cites</w:t>
      </w:r>
      <w:r>
        <w:t xml:space="preserve">,</w:t>
      </w:r>
      <w:r>
        <w:t xml:space="preserve"> </w:t>
      </w:r>
      <w:r>
        <w:rPr>
          <w:b/>
          <w:bCs/>
        </w:rPr>
        <w:t xml:space="preserve">owned by</w:t>
      </w:r>
      <w:r>
        <w:t xml:space="preserve">,</w:t>
      </w:r>
      <w:r>
        <w:t xml:space="preserve"> </w:t>
      </w:r>
      <w:r>
        <w:rPr>
          <w:b/>
          <w:bCs/>
        </w:rPr>
        <w:t xml:space="preserve">digitized from</w:t>
      </w:r>
      <w:r>
        <w:t xml:space="preserve">, and</w:t>
      </w:r>
      <w:r>
        <w:t xml:space="preserve"> </w:t>
      </w:r>
      <w:r>
        <w:rPr>
          <w:b/>
          <w:bCs/>
        </w:rPr>
        <w:t xml:space="preserve">rights held by</w:t>
      </w:r>
      <w:r>
        <w:t xml:space="preserve">. This is an interpretive recommendation, but it follows directly from the cultural-heritage graph and provenance models already in use.</w:t>
      </w:r>
      <w:r>
        <w:t xml:space="preserve"> </w:t>
      </w:r>
      <w:hyperlink r:id="rId43">
        <w:r>
          <w:rPr>
            <w:rStyle w:val="Hyperlink"/>
          </w:rPr>
          <w:t xml:space="preserve">[30]</w:t>
        </w:r>
      </w:hyperlink>
    </w:p>
    <w:p>
      <w:pPr>
        <w:pStyle w:val="Compact"/>
        <w:numPr>
          <w:ilvl w:val="0"/>
          <w:numId w:val="1002"/>
        </w:numPr>
      </w:pPr>
      <w:r>
        <w:t xml:space="preserve">Treat every assertion as</w:t>
      </w:r>
      <w:r>
        <w:t xml:space="preserve"> </w:t>
      </w:r>
      <w:r>
        <w:rPr>
          <w:b/>
          <w:bCs/>
        </w:rPr>
        <w:t xml:space="preserve">capta</w:t>
      </w:r>
      <w:r>
        <w:t xml:space="preserve">, not neutral data. Drucker argues that humanities knowledge is constructed, observer-dependent, and interpretive; a research gateway should therefore store source references, note authorship of interpretation, and distinguish verified archival fact from curatorial or research inference.</w:t>
      </w:r>
      <w:r>
        <w:t xml:space="preserve"> </w:t>
      </w:r>
      <w:hyperlink r:id="rId44">
        <w:r>
          <w:rPr>
            <w:rStyle w:val="Hyperlink"/>
          </w:rPr>
          <w:t xml:space="preserve">[31]</w:t>
        </w:r>
      </w:hyperlink>
    </w:p>
    <w:p>
      <w:pPr>
        <w:pStyle w:val="Compact"/>
        <w:numPr>
          <w:ilvl w:val="0"/>
          <w:numId w:val="1002"/>
        </w:numPr>
      </w:pPr>
      <w:r>
        <w:t xml:space="preserve">Record</w:t>
      </w:r>
      <w:r>
        <w:t xml:space="preserve"> </w:t>
      </w:r>
      <w:r>
        <w:rPr>
          <w:b/>
          <w:bCs/>
        </w:rPr>
        <w:t xml:space="preserve">assertion provenance</w:t>
      </w:r>
      <w:r>
        <w:t xml:space="preserve"> </w:t>
      </w:r>
      <w:r>
        <w:t xml:space="preserve">and</w:t>
      </w:r>
      <w:r>
        <w:t xml:space="preserve"> </w:t>
      </w:r>
      <w:r>
        <w:rPr>
          <w:b/>
          <w:bCs/>
        </w:rPr>
        <w:t xml:space="preserve">multiple provenance</w:t>
      </w:r>
      <w:r>
        <w:t xml:space="preserve">. The records continuum model describes provenance as broader than simple origin and emphasizes multiple, simultaneous, and parallel provenance. For design history, that is essential because many artifacts have layered authorship, production, custody, reuse, and contestation histories.</w:t>
      </w:r>
      <w:r>
        <w:t xml:space="preserve"> </w:t>
      </w:r>
      <w:hyperlink r:id="rId45">
        <w:r>
          <w:rPr>
            <w:rStyle w:val="Hyperlink"/>
          </w:rPr>
          <w:t xml:space="preserve">[32]</w:t>
        </w:r>
      </w:hyperlink>
    </w:p>
    <w:p>
      <w:pPr>
        <w:pStyle w:val="Compact"/>
        <w:numPr>
          <w:ilvl w:val="0"/>
          <w:numId w:val="1002"/>
        </w:numPr>
      </w:pPr>
      <w:r>
        <w:t xml:space="preserve">Encode</w:t>
      </w:r>
      <w:r>
        <w:t xml:space="preserve"> </w:t>
      </w:r>
      <w:r>
        <w:rPr>
          <w:b/>
          <w:bCs/>
        </w:rPr>
        <w:t xml:space="preserve">rights metadata</w:t>
      </w:r>
      <w:r>
        <w:t xml:space="preserve"> </w:t>
      </w:r>
      <w:r>
        <w:t xml:space="preserve">as machine-readable values, not only as prose notes. RightsStatements.org explicitly recommends storing the URI of a standardized rights statement in metadata so that reuse status is understandable to both humans and machines.</w:t>
      </w:r>
      <w:r>
        <w:t xml:space="preserve"> </w:t>
      </w:r>
      <w:hyperlink r:id="rId46">
        <w:r>
          <w:rPr>
            <w:rStyle w:val="Hyperlink"/>
          </w:rPr>
          <w:t xml:space="preserve">[33]</w:t>
        </w:r>
      </w:hyperlink>
    </w:p>
    <w:p>
      <w:pPr>
        <w:pStyle w:val="Compact"/>
        <w:numPr>
          <w:ilvl w:val="0"/>
          <w:numId w:val="1002"/>
        </w:numPr>
      </w:pPr>
      <w:r>
        <w:t xml:space="preserve">Keep transformation workflows documented. The Digital Hermeneutics model for archival finding aids argues that documenting each transformation step from native system to LOD strengthens trust in the resulting dataset. In your project, that means preserving source registry, ingest history, editorial interventions, and confidence levels.</w:t>
      </w:r>
      <w:r>
        <w:t xml:space="preserve"> </w:t>
      </w:r>
      <w:hyperlink r:id="rId47">
        <w:r>
          <w:rPr>
            <w:rStyle w:val="Hyperlink"/>
          </w:rPr>
          <w:t xml:space="preserve">[34]</w:t>
        </w:r>
      </w:hyperlink>
    </w:p>
    <w:p>
      <w:pPr>
        <w:pStyle w:val="Compact"/>
        <w:numPr>
          <w:ilvl w:val="0"/>
          <w:numId w:val="1002"/>
        </w:numPr>
      </w:pPr>
      <w:r>
        <w:t xml:space="preserve">Build on open, scalable, community-governed components. The Congruence Engine Data Register shows that minimal metadata, interoperability, version history, strong documentation, and open tooling can support resilient, community-led heritage infrastructure without vendor lock-in.</w:t>
      </w:r>
      <w:r>
        <w:t xml:space="preserve"> </w:t>
      </w:r>
      <w:hyperlink r:id="rId48">
        <w:r>
          <w:rPr>
            <w:rStyle w:val="Hyperlink"/>
          </w:rPr>
          <w:t xml:space="preserve">[35]</w:t>
        </w:r>
      </w:hyperlink>
    </w:p>
    <w:p>
      <w:pPr>
        <w:pStyle w:val="FirstParagraph"/>
      </w:pPr>
      <w:r>
        <w:t xml:space="preserve">The interface should be treated as method, not decoration. Drucker argues that conventional visualization tools import realist assumptions hostile to humanistic interpretation, while her interface theory insists that digital systems should be understood by what they do as much as by what they are. Elish and colleagues make a parallel point when they argue that interface design is constitutive in digital humanities and that it opens some interpretive possibilities while foreclosing others. Whitelaw’s “generous interfaces” provide the practical complement: search alone is “ungenerous” because it withholds abundance and demands a query, whereas rich browsable interfaces can reveal scale and complexity.</w:t>
      </w:r>
      <w:r>
        <w:t xml:space="preserve"> </w:t>
      </w:r>
      <w:hyperlink r:id="rId44">
        <w:r>
          <w:rPr>
            <w:rStyle w:val="Hyperlink"/>
          </w:rPr>
          <w:t xml:space="preserve">[36]</w:t>
        </w:r>
      </w:hyperlink>
    </w:p>
    <w:p>
      <w:pPr>
        <w:pStyle w:val="BodyText"/>
      </w:pPr>
      <w:r>
        <w:rPr>
          <w:b/>
          <w:bCs/>
        </w:rPr>
        <w:t xml:space="preserve">Implications for interface design.</w:t>
      </w:r>
    </w:p>
    <w:p>
      <w:pPr>
        <w:pStyle w:val="Compact"/>
        <w:numPr>
          <w:ilvl w:val="0"/>
          <w:numId w:val="1003"/>
        </w:numPr>
      </w:pPr>
      <w:r>
        <w:t xml:space="preserve">Provide a</w:t>
      </w:r>
      <w:r>
        <w:t xml:space="preserve"> </w:t>
      </w:r>
      <w:r>
        <w:rPr>
          <w:b/>
          <w:bCs/>
        </w:rPr>
        <w:t xml:space="preserve">historical spine view</w:t>
      </w:r>
      <w:r>
        <w:t xml:space="preserve"> </w:t>
      </w:r>
      <w:r>
        <w:t xml:space="preserve">that orients users chronologically without implying that chronology is the whole explanation. This should support zooming from decades to specific events and allow users to pivot outward from dates into relations. Benjamin’s anti-historicism argues against chronology as master narrative, not against chronology as orientation.</w:t>
      </w:r>
      <w:r>
        <w:t xml:space="preserve"> </w:t>
      </w:r>
      <w:hyperlink r:id="rId23">
        <w:r>
          <w:rPr>
            <w:rStyle w:val="Hyperlink"/>
          </w:rPr>
          <w:t xml:space="preserve">[37]</w:t>
        </w:r>
      </w:hyperlink>
    </w:p>
    <w:p>
      <w:pPr>
        <w:pStyle w:val="Compact"/>
        <w:numPr>
          <w:ilvl w:val="0"/>
          <w:numId w:val="1003"/>
        </w:numPr>
      </w:pPr>
      <w:r>
        <w:t xml:space="preserve">Provide a</w:t>
      </w:r>
      <w:r>
        <w:t xml:space="preserve"> </w:t>
      </w:r>
      <w:r>
        <w:rPr>
          <w:b/>
          <w:bCs/>
        </w:rPr>
        <w:t xml:space="preserve">constellation view</w:t>
      </w:r>
      <w:r>
        <w:t xml:space="preserve"> </w:t>
      </w:r>
      <w:r>
        <w:t xml:space="preserve">that clusters artifacts, texts, institutions, media, and themes around a present query or selected object. This is the interface equivalent of Benjaminian construction and Warburgian juxtaposition.</w:t>
      </w:r>
      <w:r>
        <w:t xml:space="preserve"> </w:t>
      </w:r>
      <w:hyperlink r:id="rId24">
        <w:r>
          <w:rPr>
            <w:rStyle w:val="Hyperlink"/>
          </w:rPr>
          <w:t xml:space="preserve">[38]</w:t>
        </w:r>
      </w:hyperlink>
    </w:p>
    <w:p>
      <w:pPr>
        <w:pStyle w:val="Compact"/>
        <w:numPr>
          <w:ilvl w:val="0"/>
          <w:numId w:val="1003"/>
        </w:numPr>
      </w:pPr>
      <w:r>
        <w:t xml:space="preserve">Provide a</w:t>
      </w:r>
      <w:r>
        <w:t xml:space="preserve"> </w:t>
      </w:r>
      <w:r>
        <w:rPr>
          <w:b/>
          <w:bCs/>
        </w:rPr>
        <w:t xml:space="preserve">provenance trail</w:t>
      </w:r>
      <w:r>
        <w:t xml:space="preserve"> </w:t>
      </w:r>
      <w:r>
        <w:t xml:space="preserve">that visualizes custody, reuse, digitization, restoration, republication, and rights. This operationalizes records-continuum provenance and prevents the historical object from appearing as origin without history.</w:t>
      </w:r>
      <w:r>
        <w:t xml:space="preserve"> </w:t>
      </w:r>
      <w:hyperlink r:id="rId45">
        <w:r>
          <w:rPr>
            <w:rStyle w:val="Hyperlink"/>
          </w:rPr>
          <w:t xml:space="preserve">[39]</w:t>
        </w:r>
      </w:hyperlink>
    </w:p>
    <w:p>
      <w:pPr>
        <w:pStyle w:val="Compact"/>
        <w:numPr>
          <w:ilvl w:val="0"/>
          <w:numId w:val="1003"/>
        </w:numPr>
      </w:pPr>
      <w:r>
        <w:t xml:space="preserve">Provide a</w:t>
      </w:r>
      <w:r>
        <w:t xml:space="preserve"> </w:t>
      </w:r>
      <w:r>
        <w:rPr>
          <w:b/>
          <w:bCs/>
        </w:rPr>
        <w:t xml:space="preserve">media archaeology lens</w:t>
      </w:r>
      <w:r>
        <w:t xml:space="preserve"> </w:t>
      </w:r>
      <w:r>
        <w:t xml:space="preserve">that lets users move by process and infrastructure: lithography, offset, phototypesetting, desktop publishing, web, social media, interface systems. This turns technical conditions into searchable history rather than background context.</w:t>
      </w:r>
      <w:r>
        <w:t xml:space="preserve"> </w:t>
      </w:r>
      <w:hyperlink r:id="rId34">
        <w:r>
          <w:rPr>
            <w:rStyle w:val="Hyperlink"/>
          </w:rPr>
          <w:t xml:space="preserve">[16]</w:t>
        </w:r>
      </w:hyperlink>
    </w:p>
    <w:p>
      <w:pPr>
        <w:pStyle w:val="Compact"/>
        <w:numPr>
          <w:ilvl w:val="0"/>
          <w:numId w:val="1003"/>
        </w:numPr>
      </w:pPr>
      <w:r>
        <w:t xml:space="preserve">Make</w:t>
      </w:r>
      <w:r>
        <w:t xml:space="preserve"> </w:t>
      </w:r>
      <w:r>
        <w:rPr>
          <w:b/>
          <w:bCs/>
        </w:rPr>
        <w:t xml:space="preserve">relation types visible</w:t>
      </w:r>
      <w:r>
        <w:t xml:space="preserve">. Users should be able to tell immediately whether the system is showing resemblance, documented influence, shared institution, shared technology, later appropriation, or editorial hypothesis. Drucker’s critique of objectivist display makes this especially important.</w:t>
      </w:r>
      <w:r>
        <w:t xml:space="preserve"> </w:t>
      </w:r>
      <w:hyperlink r:id="rId44">
        <w:r>
          <w:rPr>
            <w:rStyle w:val="Hyperlink"/>
          </w:rPr>
          <w:t xml:space="preserve">[31]</w:t>
        </w:r>
      </w:hyperlink>
    </w:p>
    <w:p>
      <w:pPr>
        <w:pStyle w:val="Compact"/>
        <w:numPr>
          <w:ilvl w:val="0"/>
          <w:numId w:val="1003"/>
        </w:numPr>
      </w:pPr>
      <w:r>
        <w:t xml:space="preserve">Favor</w:t>
      </w:r>
      <w:r>
        <w:t xml:space="preserve"> </w:t>
      </w:r>
      <w:r>
        <w:rPr>
          <w:b/>
          <w:bCs/>
        </w:rPr>
        <w:t xml:space="preserve">generous browsing plus targeted search</w:t>
      </w:r>
      <w:r>
        <w:t xml:space="preserve">. Chen and Whitelaw both argue that conventional search can hide archival richness. A graph gateway should allow overview, browsing, sampling, comparison, and annotation before and alongside keyword search.</w:t>
      </w:r>
      <w:r>
        <w:t xml:space="preserve"> </w:t>
      </w:r>
      <w:hyperlink r:id="rId41">
        <w:r>
          <w:rPr>
            <w:rStyle w:val="Hyperlink"/>
          </w:rPr>
          <w:t xml:space="preserve">[40]</w:t>
        </w:r>
      </w:hyperlink>
    </w:p>
    <w:p>
      <w:pPr>
        <w:pStyle w:val="Compact"/>
        <w:numPr>
          <w:ilvl w:val="0"/>
          <w:numId w:val="1003"/>
        </w:numPr>
      </w:pPr>
      <w:r>
        <w:t xml:space="preserve">Use open image and metadata standards so that the interface is sustainable and interoperable. IIIF exists precisely to deliver high-quality, attributed digital objects online at scale, to break down institutional silos, and to enable reuse without vendor lock-in.</w:t>
      </w:r>
      <w:r>
        <w:t xml:space="preserve"> </w:t>
      </w:r>
      <w:hyperlink r:id="rId49">
        <w:r>
          <w:rPr>
            <w:rStyle w:val="Hyperlink"/>
          </w:rPr>
          <w:t xml:space="preserve">[41]</w:t>
        </w:r>
      </w:hyperlink>
    </w:p>
    <w:p>
      <w:pPr>
        <w:pStyle w:val="FirstParagraph"/>
      </w:pPr>
      <w:r>
        <w:t xml:space="preserve">Finally, because your project is infrastructure as well as argument, sustainability must be designed into both model and interface. David Waters defines digital infrastructure as the combination of standards, software, digital content, and expertise that supports end-to-end humanities workflows. Joanna Tucker argues that digital sustainability is not only technological but also financial, environmental, and human, and that interface, data model, storage, and long-term access all belong to the problem. That means the project’s theory and its operational form should stay aligned: open standards, visible provenance, documented transformations, rights clarity, community governance, and maintenance planning are not back-office details but part of the humanities argument.</w:t>
      </w:r>
      <w:r>
        <w:t xml:space="preserve"> </w:t>
      </w:r>
      <w:hyperlink r:id="rId50">
        <w:r>
          <w:rPr>
            <w:rStyle w:val="Hyperlink"/>
          </w:rPr>
          <w:t xml:space="preserve">[42]</w:t>
        </w:r>
      </w:hyperlink>
    </w:p>
    <w:bookmarkEnd w:id="51"/>
    <w:bookmarkStart w:id="56" w:name="X499714c8f27193503ca753b6f4b7588ebf98dcc"/>
    <w:p>
      <w:pPr>
        <w:pStyle w:val="Heading2"/>
      </w:pPr>
      <w:r>
        <w:t xml:space="preserve">Integrated framework, research agenda, and bibliography</w:t>
      </w:r>
    </w:p>
    <w:p>
      <w:pPr>
        <w:pStyle w:val="FirstParagraph"/>
      </w:pPr>
      <w:r>
        <w:rPr>
          <w:b/>
          <w:bCs/>
        </w:rPr>
        <w:t xml:space="preserve">Methodological outcome.</w:t>
      </w:r>
      <w:r>
        <w:br/>
      </w:r>
      <w:r>
        <w:t xml:space="preserve">The most coherent framework for the project is a</w:t>
      </w:r>
      <w:r>
        <w:t xml:space="preserve"> </w:t>
      </w:r>
      <w:r>
        <w:rPr>
          <w:b/>
          <w:bCs/>
        </w:rPr>
        <w:t xml:space="preserve">spine-and-constellation model</w:t>
      </w:r>
      <w:r>
        <w:t xml:space="preserve">. The</w:t>
      </w:r>
      <w:r>
        <w:t xml:space="preserve"> </w:t>
      </w:r>
      <w:r>
        <w:rPr>
          <w:b/>
          <w:bCs/>
        </w:rPr>
        <w:t xml:space="preserve">historical spine</w:t>
      </w:r>
      <w:r>
        <w:t xml:space="preserve"> </w:t>
      </w:r>
      <w:r>
        <w:t xml:space="preserve">provides temporal orientation and prevents the archive from dissolving into ahistorical visual association. The</w:t>
      </w:r>
      <w:r>
        <w:t xml:space="preserve"> </w:t>
      </w:r>
      <w:r>
        <w:rPr>
          <w:b/>
          <w:bCs/>
        </w:rPr>
        <w:t xml:space="preserve">constellation layer</w:t>
      </w:r>
      <w:r>
        <w:t xml:space="preserve"> </w:t>
      </w:r>
      <w:r>
        <w:t xml:space="preserve">allows Benjaminian and Warburgian leaps across time so that present concerns can reactivate earlier artifacts, discourses, and media conditions.</w:t>
      </w:r>
      <w:r>
        <w:t xml:space="preserve"> </w:t>
      </w:r>
      <w:r>
        <w:rPr>
          <w:b/>
          <w:bCs/>
        </w:rPr>
        <w:t xml:space="preserve">Media archaeology</w:t>
      </w:r>
      <w:r>
        <w:t xml:space="preserve"> </w:t>
      </w:r>
      <w:r>
        <w:t xml:space="preserve">explains why recurrence often follows changes in technical substrate rather than simple lineage.</w:t>
      </w:r>
      <w:r>
        <w:t xml:space="preserve"> </w:t>
      </w:r>
      <w:r>
        <w:rPr>
          <w:b/>
          <w:bCs/>
        </w:rPr>
        <w:t xml:space="preserve">Provenance</w:t>
      </w:r>
      <w:r>
        <w:t xml:space="preserve"> </w:t>
      </w:r>
      <w:r>
        <w:t xml:space="preserve">preserves the histories of custody, authorship, mediation, and transformation that keep the graph from flattening historical difference.</w:t>
      </w:r>
      <w:r>
        <w:t xml:space="preserve"> </w:t>
      </w:r>
      <w:r>
        <w:rPr>
          <w:b/>
          <w:bCs/>
        </w:rPr>
        <w:t xml:space="preserve">Design research</w:t>
      </w:r>
      <w:r>
        <w:t xml:space="preserve"> </w:t>
      </w:r>
      <w:r>
        <w:t xml:space="preserve">enters through interface prototyping and interpretive visualization, treating the interface as a research instrument that exposes rather than hides its arguments.</w:t>
      </w:r>
      <w:r>
        <w:t xml:space="preserve"> </w:t>
      </w:r>
      <w:r>
        <w:rPr>
          <w:b/>
          <w:bCs/>
        </w:rPr>
        <w:t xml:space="preserve">Sustainable humanities infrastructure</w:t>
      </w:r>
      <w:r>
        <w:t xml:space="preserve"> </w:t>
      </w:r>
      <w:r>
        <w:t xml:space="preserve">ensures that these historiographic claims endure as maintainable, interoperable, reusable scholarly systems. This synthesis is partly a project-specific inference, but it is strongly grounded in the sources above.</w:t>
      </w:r>
      <w:r>
        <w:t xml:space="preserve"> </w:t>
      </w:r>
      <w:hyperlink r:id="rId24">
        <w:r>
          <w:rPr>
            <w:rStyle w:val="Hyperlink"/>
          </w:rPr>
          <w:t xml:space="preserve">[43]</w:t>
        </w:r>
      </w:hyperlink>
    </w:p>
    <w:p>
      <w:pPr>
        <w:pStyle w:val="BodyText"/>
      </w:pPr>
      <w:r>
        <w:rPr>
          <w:b/>
          <w:bCs/>
        </w:rPr>
        <w:t xml:space="preserve">Key concepts and definitions.</w:t>
      </w:r>
    </w:p>
    <w:p>
      <w:pPr>
        <w:pStyle w:val="Compact"/>
        <w:numPr>
          <w:ilvl w:val="0"/>
          <w:numId w:val="1004"/>
        </w:numPr>
      </w:pPr>
      <w:r>
        <w:rPr>
          <w:b/>
          <w:bCs/>
        </w:rPr>
        <w:t xml:space="preserve">Historical spine</w:t>
      </w:r>
      <w:r>
        <w:t xml:space="preserve">: a project term for the curated chronological scaffold of dated events, artifacts, publications, institutions, and technical changes that gives orientation without imposing a single teleology. It is compatible with Benjamin precisely because it refuses to equate time order with historical meaning.</w:t>
      </w:r>
      <w:r>
        <w:t xml:space="preserve"> </w:t>
      </w:r>
      <w:hyperlink r:id="rId23">
        <w:r>
          <w:rPr>
            <w:rStyle w:val="Hyperlink"/>
          </w:rPr>
          <w:t xml:space="preserve">[37]</w:t>
        </w:r>
      </w:hyperlink>
    </w:p>
    <w:p>
      <w:pPr>
        <w:pStyle w:val="Compact"/>
        <w:numPr>
          <w:ilvl w:val="0"/>
          <w:numId w:val="1004"/>
        </w:numPr>
      </w:pPr>
      <w:r>
        <w:rPr>
          <w:b/>
          <w:bCs/>
        </w:rPr>
        <w:t xml:space="preserve">Constellation</w:t>
      </w:r>
      <w:r>
        <w:t xml:space="preserve">: an interpretive arrangement of heterogeneous elements whose relation makes something newly legible in the present. In Benjamin, it is a method of construction; in Warburg, an atlas logic of juxtaposition and synoptic comparison.</w:t>
      </w:r>
      <w:r>
        <w:t xml:space="preserve"> </w:t>
      </w:r>
      <w:hyperlink r:id="rId24">
        <w:r>
          <w:rPr>
            <w:rStyle w:val="Hyperlink"/>
          </w:rPr>
          <w:t xml:space="preserve">[38]</w:t>
        </w:r>
      </w:hyperlink>
    </w:p>
    <w:p>
      <w:pPr>
        <w:pStyle w:val="Compact"/>
        <w:numPr>
          <w:ilvl w:val="0"/>
          <w:numId w:val="1004"/>
        </w:numPr>
      </w:pPr>
      <w:r>
        <w:rPr>
          <w:b/>
          <w:bCs/>
        </w:rPr>
        <w:t xml:space="preserve">Dialectical image</w:t>
      </w:r>
      <w:r>
        <w:t xml:space="preserve">: the charged image in which past and present meet in a critical moment, interrupting the continuum of history and producing legibility.</w:t>
      </w:r>
      <w:r>
        <w:t xml:space="preserve"> </w:t>
      </w:r>
      <w:hyperlink r:id="rId24">
        <w:r>
          <w:rPr>
            <w:rStyle w:val="Hyperlink"/>
          </w:rPr>
          <w:t xml:space="preserve">[44]</w:t>
        </w:r>
      </w:hyperlink>
    </w:p>
    <w:p>
      <w:pPr>
        <w:pStyle w:val="Compact"/>
        <w:numPr>
          <w:ilvl w:val="0"/>
          <w:numId w:val="1004"/>
        </w:numPr>
      </w:pPr>
      <w:r>
        <w:rPr>
          <w:b/>
          <w:bCs/>
        </w:rPr>
        <w:t xml:space="preserve">Now-time</w:t>
      </w:r>
      <w:r>
        <w:t xml:space="preserve">: Benjamin’s term for a present saturated with historical charge rather than empty transition. It is the condition under which older forms become politically or critically readable again.</w:t>
      </w:r>
      <w:r>
        <w:t xml:space="preserve"> </w:t>
      </w:r>
      <w:hyperlink r:id="rId23">
        <w:r>
          <w:rPr>
            <w:rStyle w:val="Hyperlink"/>
          </w:rPr>
          <w:t xml:space="preserve">[45]</w:t>
        </w:r>
      </w:hyperlink>
    </w:p>
    <w:p>
      <w:pPr>
        <w:pStyle w:val="Compact"/>
        <w:numPr>
          <w:ilvl w:val="0"/>
          <w:numId w:val="1004"/>
        </w:numPr>
      </w:pPr>
      <w:r>
        <w:rPr>
          <w:b/>
          <w:bCs/>
        </w:rPr>
        <w:t xml:space="preserve">Afterlife of forms</w:t>
      </w:r>
      <w:r>
        <w:t xml:space="preserve">: Warburg’s account of the recurrence, survival, and transformation of images across contexts, periods, and media.</w:t>
      </w:r>
      <w:r>
        <w:t xml:space="preserve"> </w:t>
      </w:r>
      <w:hyperlink r:id="rId26">
        <w:r>
          <w:rPr>
            <w:rStyle w:val="Hyperlink"/>
          </w:rPr>
          <w:t xml:space="preserve">[46]</w:t>
        </w:r>
      </w:hyperlink>
    </w:p>
    <w:p>
      <w:pPr>
        <w:pStyle w:val="Compact"/>
        <w:numPr>
          <w:ilvl w:val="0"/>
          <w:numId w:val="1004"/>
        </w:numPr>
      </w:pPr>
      <w:r>
        <w:rPr>
          <w:b/>
          <w:bCs/>
        </w:rPr>
        <w:t xml:space="preserve">Media archaeology</w:t>
      </w:r>
      <w:r>
        <w:t xml:space="preserve">: a nonlinear approach to media history that studies forgotten paths, recurring topoi, and the parallel lives of old and new media in order to challenge narratives of pure novelty.</w:t>
      </w:r>
      <w:r>
        <w:t xml:space="preserve"> </w:t>
      </w:r>
      <w:hyperlink r:id="rId30">
        <w:r>
          <w:rPr>
            <w:rStyle w:val="Hyperlink"/>
          </w:rPr>
          <w:t xml:space="preserve">[47]</w:t>
        </w:r>
      </w:hyperlink>
    </w:p>
    <w:p>
      <w:pPr>
        <w:pStyle w:val="Compact"/>
        <w:numPr>
          <w:ilvl w:val="0"/>
          <w:numId w:val="1004"/>
        </w:numPr>
      </w:pPr>
      <w:r>
        <w:rPr>
          <w:b/>
          <w:bCs/>
        </w:rPr>
        <w:t xml:space="preserve">Capta</w:t>
      </w:r>
      <w:r>
        <w:t xml:space="preserve">: Drucker’s term for the fact that humanities data are taken, constructed, and interpreted rather than simply given.</w:t>
      </w:r>
      <w:r>
        <w:t xml:space="preserve"> </w:t>
      </w:r>
      <w:hyperlink r:id="rId44">
        <w:r>
          <w:rPr>
            <w:rStyle w:val="Hyperlink"/>
          </w:rPr>
          <w:t xml:space="preserve">[31]</w:t>
        </w:r>
      </w:hyperlink>
    </w:p>
    <w:p>
      <w:pPr>
        <w:pStyle w:val="Compact"/>
        <w:numPr>
          <w:ilvl w:val="0"/>
          <w:numId w:val="1004"/>
        </w:numPr>
      </w:pPr>
      <w:r>
        <w:rPr>
          <w:b/>
          <w:bCs/>
        </w:rPr>
        <w:t xml:space="preserve">Provenance</w:t>
      </w:r>
      <w:r>
        <w:t xml:space="preserve">: not only origin, but the broader contextual and relational history of creation, capture, organization, pluralization, custody, and participation, including multiple and simultaneous provenance.</w:t>
      </w:r>
      <w:r>
        <w:t xml:space="preserve"> </w:t>
      </w:r>
      <w:hyperlink r:id="rId45">
        <w:r>
          <w:rPr>
            <w:rStyle w:val="Hyperlink"/>
          </w:rPr>
          <w:t xml:space="preserve">[32]</w:t>
        </w:r>
      </w:hyperlink>
    </w:p>
    <w:p>
      <w:pPr>
        <w:pStyle w:val="Compact"/>
        <w:numPr>
          <w:ilvl w:val="0"/>
          <w:numId w:val="1004"/>
        </w:numPr>
      </w:pPr>
      <w:r>
        <w:rPr>
          <w:b/>
          <w:bCs/>
        </w:rPr>
        <w:t xml:space="preserve">Generous interface</w:t>
      </w:r>
      <w:r>
        <w:t xml:space="preserve">: an interface that reveals the richness, scale, and context of a collection through browsable and relational views rather than relying only on a search box.</w:t>
      </w:r>
      <w:r>
        <w:t xml:space="preserve"> </w:t>
      </w:r>
      <w:hyperlink r:id="rId52">
        <w:r>
          <w:rPr>
            <w:rStyle w:val="Hyperlink"/>
          </w:rPr>
          <w:t xml:space="preserve">[48]</w:t>
        </w:r>
      </w:hyperlink>
    </w:p>
    <w:p>
      <w:pPr>
        <w:pStyle w:val="Compact"/>
        <w:numPr>
          <w:ilvl w:val="0"/>
          <w:numId w:val="1004"/>
        </w:numPr>
      </w:pPr>
      <w:r>
        <w:rPr>
          <w:b/>
          <w:bCs/>
        </w:rPr>
        <w:t xml:space="preserve">Misrecognition</w:t>
      </w:r>
      <w:r>
        <w:t xml:space="preserve">: a useful project term for cases in which recurrence is incorrectly perceived as novelty because historical sources, production conditions, or prior transmissions are hidden or forgotten. The need for such a category is supported by design pedagogy’s emphasis on decontextualized historical images and media archaeology’s critique of supposed newness.</w:t>
      </w:r>
      <w:r>
        <w:t xml:space="preserve"> </w:t>
      </w:r>
      <w:hyperlink r:id="rId22">
        <w:r>
          <w:rPr>
            <w:rStyle w:val="Hyperlink"/>
          </w:rPr>
          <w:t xml:space="preserve">[49]</w:t>
        </w:r>
      </w:hyperlink>
    </w:p>
    <w:p>
      <w:pPr>
        <w:pStyle w:val="FirstParagraph"/>
      </w:pPr>
      <w:r>
        <w:rPr>
          <w:b/>
          <w:bCs/>
        </w:rPr>
        <w:t xml:space="preserve">Relevant theorists and anchor texts.</w:t>
      </w:r>
      <w:r>
        <w:br/>
      </w:r>
      <w:r>
        <w:t xml:space="preserve">The core theoretical nodes for this project are Walter Benjamin (</w:t>
      </w:r>
      <w:r>
        <w:rPr>
          <w:i/>
          <w:iCs/>
        </w:rPr>
        <w:t xml:space="preserve">On the Concept of History</w:t>
      </w:r>
      <w:r>
        <w:t xml:space="preserve">;</w:t>
      </w:r>
      <w:r>
        <w:t xml:space="preserve"> </w:t>
      </w:r>
      <w:r>
        <w:rPr>
          <w:i/>
          <w:iCs/>
        </w:rPr>
        <w:t xml:space="preserve">The Arcades Project</w:t>
      </w:r>
      <w:r>
        <w:t xml:space="preserve">), Aby Warburg (</w:t>
      </w:r>
      <w:r>
        <w:rPr>
          <w:i/>
          <w:iCs/>
        </w:rPr>
        <w:t xml:space="preserve">Bilderatlas Mnemosyne</w:t>
      </w:r>
      <w:r>
        <w:t xml:space="preserve">), Jussi Parikka (</w:t>
      </w:r>
      <w:r>
        <w:rPr>
          <w:i/>
          <w:iCs/>
        </w:rPr>
        <w:t xml:space="preserve">What is Media Archaeology?</w:t>
      </w:r>
      <w:r>
        <w:t xml:space="preserve">), Erkki Huhtamo (topos study), Siegfried Zielinski (</w:t>
      </w:r>
      <w:r>
        <w:rPr>
          <w:i/>
          <w:iCs/>
        </w:rPr>
        <w:t xml:space="preserve">Deep Time of the Media</w:t>
      </w:r>
      <w:r>
        <w:t xml:space="preserve">), Wolfgang Ernst (operative/technical media archaeology), Friedrich Kittler (</w:t>
      </w:r>
      <w:r>
        <w:rPr>
          <w:i/>
          <w:iCs/>
        </w:rPr>
        <w:t xml:space="preserve">Gramophone, Film, Typewriter</w:t>
      </w:r>
      <w:r>
        <w:t xml:space="preserve">), Johanna Drucker (</w:t>
      </w:r>
      <w:r>
        <w:rPr>
          <w:i/>
          <w:iCs/>
        </w:rPr>
        <w:t xml:space="preserve">Humanities Approaches to Graphical Display</w:t>
      </w:r>
      <w:r>
        <w:t xml:space="preserve">;</w:t>
      </w:r>
      <w:r>
        <w:t xml:space="preserve"> </w:t>
      </w:r>
      <w:r>
        <w:rPr>
          <w:i/>
          <w:iCs/>
        </w:rPr>
        <w:t xml:space="preserve">Performative Materiality and Theoretical Approaches to Interface</w:t>
      </w:r>
      <w:r>
        <w:t xml:space="preserve">), Martha Scotford (“Messy History vs. Neat History”), Huppatz and Lees-Maffei on the purpose of design history, and recent critics of canonical visual narratives such as Galluzzo, Pretorius, Toppins, and Whitelaw.</w:t>
      </w:r>
      <w:r>
        <w:t xml:space="preserve"> </w:t>
      </w:r>
      <w:hyperlink r:id="rId23">
        <w:r>
          <w:rPr>
            <w:rStyle w:val="Hyperlink"/>
          </w:rPr>
          <w:t xml:space="preserve">[50]</w:t>
        </w:r>
      </w:hyperlink>
    </w:p>
    <w:p>
      <w:pPr>
        <w:pStyle w:val="BodyText"/>
      </w:pPr>
      <w:r>
        <w:rPr>
          <w:b/>
          <w:bCs/>
        </w:rPr>
        <w:t xml:space="preserve">Possible project research questions.</w:t>
      </w:r>
    </w:p>
    <w:p>
      <w:pPr>
        <w:pStyle w:val="Compact"/>
        <w:numPr>
          <w:ilvl w:val="0"/>
          <w:numId w:val="1005"/>
        </w:numPr>
      </w:pPr>
      <w:r>
        <w:t xml:space="preserve">How can a graph-based archive make earlier visual strategies legible in the present without collapsing historical difference into superficial resemblance?</w:t>
      </w:r>
      <w:r>
        <w:t xml:space="preserve"> </w:t>
      </w:r>
      <w:hyperlink r:id="rId24">
        <w:r>
          <w:rPr>
            <w:rStyle w:val="Hyperlink"/>
          </w:rPr>
          <w:t xml:space="preserve">[51]</w:t>
        </w:r>
      </w:hyperlink>
    </w:p>
    <w:p>
      <w:pPr>
        <w:pStyle w:val="Compact"/>
        <w:numPr>
          <w:ilvl w:val="0"/>
          <w:numId w:val="1005"/>
        </w:numPr>
      </w:pPr>
      <w:r>
        <w:t xml:space="preserve">What kinds of recurrence in graphic design are best explained by direct influence, and which are better explained by shared media conditions, institutional structures, or recurring topoi?</w:t>
      </w:r>
      <w:r>
        <w:t xml:space="preserve"> </w:t>
      </w:r>
      <w:hyperlink r:id="rId30">
        <w:r>
          <w:rPr>
            <w:rStyle w:val="Hyperlink"/>
          </w:rPr>
          <w:t xml:space="preserve">[52]</w:t>
        </w:r>
      </w:hyperlink>
    </w:p>
    <w:p>
      <w:pPr>
        <w:pStyle w:val="Compact"/>
        <w:numPr>
          <w:ilvl w:val="0"/>
          <w:numId w:val="1005"/>
        </w:numPr>
      </w:pPr>
      <w:r>
        <w:t xml:space="preserve">How do printing, typesetting, desktop-publishing, browser, and platform transitions reshape the formal possibilities that later become canonized as “styles”?</w:t>
      </w:r>
      <w:r>
        <w:t xml:space="preserve"> </w:t>
      </w:r>
      <w:hyperlink r:id="rId34">
        <w:r>
          <w:rPr>
            <w:rStyle w:val="Hyperlink"/>
          </w:rPr>
          <w:t xml:space="preserve">[16]</w:t>
        </w:r>
      </w:hyperlink>
    </w:p>
    <w:p>
      <w:pPr>
        <w:pStyle w:val="Compact"/>
        <w:numPr>
          <w:ilvl w:val="0"/>
          <w:numId w:val="1005"/>
        </w:numPr>
      </w:pPr>
      <w:r>
        <w:t xml:space="preserve">How have museums, awards, textbooks, archives, and professional organizations produced canonical narratives of graphic design, and how can an archive gateway reframe them?</w:t>
      </w:r>
      <w:r>
        <w:t xml:space="preserve"> </w:t>
      </w:r>
      <w:hyperlink r:id="rId37">
        <w:r>
          <w:rPr>
            <w:rStyle w:val="Hyperlink"/>
          </w:rPr>
          <w:t xml:space="preserve">[53]</w:t>
        </w:r>
      </w:hyperlink>
    </w:p>
    <w:p>
      <w:pPr>
        <w:pStyle w:val="Compact"/>
        <w:numPr>
          <w:ilvl w:val="0"/>
          <w:numId w:val="1005"/>
        </w:numPr>
      </w:pPr>
      <w:r>
        <w:t xml:space="preserve">How can provenance-rich metadata distinguish visual resemblance, historical relation, methodological inheritance, and ideological repetition?</w:t>
      </w:r>
      <w:r>
        <w:t xml:space="preserve"> </w:t>
      </w:r>
      <w:hyperlink r:id="rId45">
        <w:r>
          <w:rPr>
            <w:rStyle w:val="Hyperlink"/>
          </w:rPr>
          <w:t xml:space="preserve">[54]</w:t>
        </w:r>
      </w:hyperlink>
    </w:p>
    <w:p>
      <w:pPr>
        <w:pStyle w:val="Compact"/>
        <w:numPr>
          <w:ilvl w:val="0"/>
          <w:numId w:val="1005"/>
        </w:numPr>
      </w:pPr>
      <w:r>
        <w:t xml:space="preserve">How can interface design move users between object and context, past and present, without pretending that visualization is neutral?</w:t>
      </w:r>
      <w:r>
        <w:t xml:space="preserve"> </w:t>
      </w:r>
      <w:hyperlink r:id="rId44">
        <w:r>
          <w:rPr>
            <w:rStyle w:val="Hyperlink"/>
          </w:rPr>
          <w:t xml:space="preserve">[36]</w:t>
        </w:r>
      </w:hyperlink>
    </w:p>
    <w:p>
      <w:pPr>
        <w:pStyle w:val="Compact"/>
        <w:numPr>
          <w:ilvl w:val="0"/>
          <w:numId w:val="1005"/>
        </w:numPr>
      </w:pPr>
      <w:r>
        <w:t xml:space="preserve">What kinds of hidden labor, colonial infrastructure, audience reception, or institutional mediation become visible when graphic design history is organized as a graph rather than as a textbook chronology?</w:t>
      </w:r>
      <w:r>
        <w:t xml:space="preserve"> </w:t>
      </w:r>
      <w:hyperlink r:id="rId53">
        <w:r>
          <w:rPr>
            <w:rStyle w:val="Hyperlink"/>
          </w:rPr>
          <w:t xml:space="preserve">[55]</w:t>
        </w:r>
      </w:hyperlink>
    </w:p>
    <w:p>
      <w:pPr>
        <w:pStyle w:val="FirstParagraph"/>
      </w:pPr>
      <w:r>
        <w:rPr>
          <w:b/>
          <w:bCs/>
        </w:rPr>
        <w:t xml:space="preserve">Possible thesis statements.</w:t>
      </w:r>
    </w:p>
    <w:p>
      <w:pPr>
        <w:pStyle w:val="Compact"/>
        <w:numPr>
          <w:ilvl w:val="0"/>
          <w:numId w:val="1006"/>
        </w:numPr>
      </w:pPr>
      <w:r>
        <w:t xml:space="preserve">Modern graphic design history is more accurately understood as a field of recurring constellations shaped by media technologies, institutions, and social uses than as a linear sequence of styles and heroic designers.</w:t>
      </w:r>
      <w:r>
        <w:t xml:space="preserve"> </w:t>
      </w:r>
      <w:hyperlink r:id="rId24">
        <w:r>
          <w:rPr>
            <w:rStyle w:val="Hyperlink"/>
          </w:rPr>
          <w:t xml:space="preserve">[56]</w:t>
        </w:r>
      </w:hyperlink>
    </w:p>
    <w:p>
      <w:pPr>
        <w:pStyle w:val="Compact"/>
        <w:numPr>
          <w:ilvl w:val="0"/>
          <w:numId w:val="1006"/>
        </w:numPr>
      </w:pPr>
      <w:r>
        <w:t xml:space="preserve">A provenance-rich archive graph operationalizes Benjamin’s and Warburg’s nonlinear historiography by allowing past forms to become legible in present queries through constellations rather than additive chronology.</w:t>
      </w:r>
      <w:r>
        <w:t xml:space="preserve"> </w:t>
      </w:r>
      <w:hyperlink r:id="rId24">
        <w:r>
          <w:rPr>
            <w:rStyle w:val="Hyperlink"/>
          </w:rPr>
          <w:t xml:space="preserve">[57]</w:t>
        </w:r>
      </w:hyperlink>
    </w:p>
    <w:p>
      <w:pPr>
        <w:pStyle w:val="Compact"/>
        <w:numPr>
          <w:ilvl w:val="0"/>
          <w:numId w:val="1006"/>
        </w:numPr>
      </w:pPr>
      <w:r>
        <w:t xml:space="preserve">Media archaeology shows that much graphic design “innovation” is better described as the reactivation or technical reformatting of older topoi under new media conditions.</w:t>
      </w:r>
      <w:r>
        <w:t xml:space="preserve"> </w:t>
      </w:r>
      <w:hyperlink r:id="rId30">
        <w:r>
          <w:rPr>
            <w:rStyle w:val="Hyperlink"/>
          </w:rPr>
          <w:t xml:space="preserve">[58]</w:t>
        </w:r>
      </w:hyperlink>
    </w:p>
    <w:p>
      <w:pPr>
        <w:pStyle w:val="Compact"/>
        <w:numPr>
          <w:ilvl w:val="0"/>
          <w:numId w:val="1006"/>
        </w:numPr>
      </w:pPr>
      <w:r>
        <w:t xml:space="preserve">Canonical graphic design histories have often privileged formal coherence, heroic authorship, and institutional legitimacy at the expense of users, labor, coloniality, and public reception; an archive gateway can correct this by modeling relations beyond style.</w:t>
      </w:r>
      <w:r>
        <w:t xml:space="preserve"> </w:t>
      </w:r>
      <w:hyperlink r:id="rId37">
        <w:r>
          <w:rPr>
            <w:rStyle w:val="Hyperlink"/>
          </w:rPr>
          <w:t xml:space="preserve">[59]</w:t>
        </w:r>
      </w:hyperlink>
    </w:p>
    <w:p>
      <w:pPr>
        <w:pStyle w:val="Compact"/>
        <w:numPr>
          <w:ilvl w:val="0"/>
          <w:numId w:val="1006"/>
        </w:numPr>
      </w:pPr>
      <w:r>
        <w:t xml:space="preserve">Interface design is not a delivery layer for design history but a historiographic method that actively structures what relations become imaginable, navigable, and debatable.</w:t>
      </w:r>
      <w:r>
        <w:t xml:space="preserve"> </w:t>
      </w:r>
      <w:hyperlink r:id="rId54">
        <w:r>
          <w:rPr>
            <w:rStyle w:val="Hyperlink"/>
          </w:rPr>
          <w:t xml:space="preserve">[60]</w:t>
        </w:r>
      </w:hyperlink>
    </w:p>
    <w:p>
      <w:pPr>
        <w:pStyle w:val="FirstParagraph"/>
      </w:pPr>
      <w:r>
        <w:rPr>
          <w:b/>
          <w:bCs/>
        </w:rPr>
        <w:t xml:space="preserve">Risks and limitations.</w:t>
      </w:r>
    </w:p>
    <w:p>
      <w:pPr>
        <w:pStyle w:val="Compact"/>
        <w:numPr>
          <w:ilvl w:val="0"/>
          <w:numId w:val="1007"/>
        </w:numPr>
      </w:pPr>
      <w:r>
        <w:t xml:space="preserve">A constellation-based system can over-connect artifacts and imply genealogies that evidence does not support. This is why relation types, confidence levels, and source trails must remain visible.</w:t>
      </w:r>
      <w:r>
        <w:t xml:space="preserve"> </w:t>
      </w:r>
      <w:hyperlink r:id="rId44">
        <w:r>
          <w:rPr>
            <w:rStyle w:val="Hyperlink"/>
          </w:rPr>
          <w:t xml:space="preserve">[61]</w:t>
        </w:r>
      </w:hyperlink>
    </w:p>
    <w:p>
      <w:pPr>
        <w:pStyle w:val="Compact"/>
        <w:numPr>
          <w:ilvl w:val="0"/>
          <w:numId w:val="1007"/>
        </w:numPr>
      </w:pPr>
      <w:r>
        <w:t xml:space="preserve">Archive graphs can reproduce existing archival silences and power structures if they depend too heavily on already-collected, already-canonized material. Archivists themselves emphasize that archives are not neutral and that selection both preserves and excludes.</w:t>
      </w:r>
      <w:r>
        <w:t xml:space="preserve"> </w:t>
      </w:r>
      <w:hyperlink r:id="rId55">
        <w:r>
          <w:rPr>
            <w:rStyle w:val="Hyperlink"/>
          </w:rPr>
          <w:t xml:space="preserve">[62]</w:t>
        </w:r>
      </w:hyperlink>
    </w:p>
    <w:p>
      <w:pPr>
        <w:pStyle w:val="Compact"/>
        <w:numPr>
          <w:ilvl w:val="0"/>
          <w:numId w:val="1007"/>
        </w:numPr>
      </w:pPr>
      <w:r>
        <w:t xml:space="preserve">Interface visualizations can naturalize their own arguments, making interpretation look like fact. Drucker’s critique of realist display is a warning against graph fetishism.</w:t>
      </w:r>
      <w:r>
        <w:t xml:space="preserve"> </w:t>
      </w:r>
      <w:hyperlink r:id="rId44">
        <w:r>
          <w:rPr>
            <w:rStyle w:val="Hyperlink"/>
          </w:rPr>
          <w:t xml:space="preserve">[63]</w:t>
        </w:r>
      </w:hyperlink>
    </w:p>
    <w:p>
      <w:pPr>
        <w:pStyle w:val="Compact"/>
        <w:numPr>
          <w:ilvl w:val="0"/>
          <w:numId w:val="1007"/>
        </w:numPr>
      </w:pPr>
      <w:r>
        <w:t xml:space="preserve">Provenance is often multiple, conflicting, and politically contested; a clean origin story may be impossible or misleading. The records continuum explicitly argues for broader and plural forms of provenance.</w:t>
      </w:r>
      <w:r>
        <w:t xml:space="preserve"> </w:t>
      </w:r>
      <w:hyperlink r:id="rId45">
        <w:r>
          <w:rPr>
            <w:rStyle w:val="Hyperlink"/>
          </w:rPr>
          <w:t xml:space="preserve">[32]</w:t>
        </w:r>
      </w:hyperlink>
    </w:p>
    <w:p>
      <w:pPr>
        <w:pStyle w:val="Compact"/>
        <w:numPr>
          <w:ilvl w:val="0"/>
          <w:numId w:val="1007"/>
        </w:numPr>
      </w:pPr>
      <w:r>
        <w:t xml:space="preserve">Rights and reuse constraints will remain uneven across collections. Standardized, machine-readable rights statements help, but they do not remove legal ambiguity or institutional caution.</w:t>
      </w:r>
      <w:r>
        <w:t xml:space="preserve"> </w:t>
      </w:r>
      <w:hyperlink r:id="rId46">
        <w:r>
          <w:rPr>
            <w:rStyle w:val="Hyperlink"/>
          </w:rPr>
          <w:t xml:space="preserve">[33]</w:t>
        </w:r>
      </w:hyperlink>
    </w:p>
    <w:p>
      <w:pPr>
        <w:pStyle w:val="Compact"/>
        <w:numPr>
          <w:ilvl w:val="0"/>
          <w:numId w:val="1007"/>
        </w:numPr>
      </w:pPr>
      <w:r>
        <w:t xml:space="preserve">Sustainability is never automatic. Humanities infrastructure depends on standards, staffing, documentation, hosting, governance, training, and maintenance across time.</w:t>
      </w:r>
      <w:r>
        <w:t xml:space="preserve"> </w:t>
      </w:r>
      <w:hyperlink r:id="rId50">
        <w:r>
          <w:rPr>
            <w:rStyle w:val="Hyperlink"/>
          </w:rPr>
          <w:t xml:space="preserve">[64]</w:t>
        </w:r>
      </w:hyperlink>
    </w:p>
    <w:p>
      <w:pPr>
        <w:pStyle w:val="FirstParagraph"/>
      </w:pPr>
      <w:r>
        <w:rPr>
          <w:b/>
          <w:bCs/>
        </w:rPr>
        <w:t xml:space="preserve">Selected bibliography.</w:t>
      </w:r>
    </w:p>
    <w:p>
      <w:pPr>
        <w:pStyle w:val="Compact"/>
        <w:numPr>
          <w:ilvl w:val="0"/>
          <w:numId w:val="1008"/>
        </w:numPr>
      </w:pPr>
      <w:r>
        <w:rPr>
          <w:b/>
          <w:bCs/>
        </w:rPr>
        <w:t xml:space="preserve">Historical theory and visual memory:</w:t>
      </w:r>
      <w:r>
        <w:t xml:space="preserve"> </w:t>
      </w:r>
      <w:r>
        <w:t xml:space="preserve">Walter Benjamin,</w:t>
      </w:r>
      <w:r>
        <w:t xml:space="preserve"> </w:t>
      </w:r>
      <w:r>
        <w:rPr>
          <w:i/>
          <w:iCs/>
        </w:rPr>
        <w:t xml:space="preserve">On the Concept of History</w:t>
      </w:r>
      <w:r>
        <w:t xml:space="preserve">; Walter Benjamin,</w:t>
      </w:r>
      <w:r>
        <w:t xml:space="preserve"> </w:t>
      </w:r>
      <w:r>
        <w:rPr>
          <w:i/>
          <w:iCs/>
        </w:rPr>
        <w:t xml:space="preserve">The Arcades Project</w:t>
      </w:r>
      <w:r>
        <w:t xml:space="preserve">; Aby Warburg,</w:t>
      </w:r>
      <w:r>
        <w:t xml:space="preserve"> </w:t>
      </w:r>
      <w:r>
        <w:rPr>
          <w:i/>
          <w:iCs/>
        </w:rPr>
        <w:t xml:space="preserve">Bilderatlas Mnemosyne</w:t>
      </w:r>
      <w:r>
        <w:t xml:space="preserve">; Colleen Becker, “Aby Warburg’s Pathosformel as methodological paradigm.”</w:t>
      </w:r>
      <w:r>
        <w:t xml:space="preserve"> </w:t>
      </w:r>
      <w:hyperlink r:id="rId23">
        <w:r>
          <w:rPr>
            <w:rStyle w:val="Hyperlink"/>
          </w:rPr>
          <w:t xml:space="preserve">[65]</w:t>
        </w:r>
      </w:hyperlink>
    </w:p>
    <w:p>
      <w:pPr>
        <w:pStyle w:val="Compact"/>
        <w:numPr>
          <w:ilvl w:val="0"/>
          <w:numId w:val="1008"/>
        </w:numPr>
      </w:pPr>
      <w:r>
        <w:rPr>
          <w:b/>
          <w:bCs/>
        </w:rPr>
        <w:t xml:space="preserve">Media archaeology and media history:</w:t>
      </w:r>
      <w:r>
        <w:t xml:space="preserve"> </w:t>
      </w:r>
      <w:r>
        <w:t xml:space="preserve">Jussi Parikka,</w:t>
      </w:r>
      <w:r>
        <w:t xml:space="preserve"> </w:t>
      </w:r>
      <w:r>
        <w:rPr>
          <w:i/>
          <w:iCs/>
        </w:rPr>
        <w:t xml:space="preserve">What is Media Archaeology?</w:t>
      </w:r>
      <w:r>
        <w:t xml:space="preserve">; Siegfried Zielinski,</w:t>
      </w:r>
      <w:r>
        <w:t xml:space="preserve"> </w:t>
      </w:r>
      <w:r>
        <w:rPr>
          <w:i/>
          <w:iCs/>
        </w:rPr>
        <w:t xml:space="preserve">Deep Time of the Media</w:t>
      </w:r>
      <w:r>
        <w:t xml:space="preserve">; Erkki Huhtamo, “Tracing the Topoi”; Wolfgang Ernst, work on radical/operative media archaeology; Friedrich Kittler,</w:t>
      </w:r>
      <w:r>
        <w:t xml:space="preserve"> </w:t>
      </w:r>
      <w:r>
        <w:rPr>
          <w:i/>
          <w:iCs/>
        </w:rPr>
        <w:t xml:space="preserve">Gramophone, Film, Typewriter</w:t>
      </w:r>
      <w:r>
        <w:t xml:space="preserve">.</w:t>
      </w:r>
      <w:r>
        <w:t xml:space="preserve"> </w:t>
      </w:r>
      <w:hyperlink r:id="rId30">
        <w:r>
          <w:rPr>
            <w:rStyle w:val="Hyperlink"/>
          </w:rPr>
          <w:t xml:space="preserve">[66]</w:t>
        </w:r>
      </w:hyperlink>
    </w:p>
    <w:p>
      <w:pPr>
        <w:pStyle w:val="Compact"/>
        <w:numPr>
          <w:ilvl w:val="0"/>
          <w:numId w:val="1008"/>
        </w:numPr>
      </w:pPr>
      <w:r>
        <w:rPr>
          <w:b/>
          <w:bCs/>
        </w:rPr>
        <w:t xml:space="preserve">Design historiography and counter-histories:</w:t>
      </w:r>
      <w:r>
        <w:t xml:space="preserve"> </w:t>
      </w:r>
      <w:r>
        <w:t xml:space="preserve">DJ Huppatz and Grace Lees-Maffei, “Why design history?”; Martha Scotford, “Messy History vs. Neat History”; Jane Connory on</w:t>
      </w:r>
      <w:r>
        <w:t xml:space="preserve"> </w:t>
      </w:r>
      <w:r>
        <w:rPr>
          <w:i/>
          <w:iCs/>
        </w:rPr>
        <w:t xml:space="preserve">Design History Beyond the Canon</w:t>
      </w:r>
      <w:r>
        <w:t xml:space="preserve">; Aggie Toppins on hero-worship and historically aware design practice; Michele Galluzzo, “The Open Logo and the Closed History”; Deidre Pretorius, “Graphic design in South Africa: a post-colonial perspective.”</w:t>
      </w:r>
      <w:r>
        <w:t xml:space="preserve"> </w:t>
      </w:r>
      <w:hyperlink r:id="rId35">
        <w:r>
          <w:rPr>
            <w:rStyle w:val="Hyperlink"/>
          </w:rPr>
          <w:t xml:space="preserve">[67]</w:t>
        </w:r>
      </w:hyperlink>
    </w:p>
    <w:p>
      <w:pPr>
        <w:pStyle w:val="Compact"/>
        <w:numPr>
          <w:ilvl w:val="0"/>
          <w:numId w:val="1008"/>
        </w:numPr>
      </w:pPr>
      <w:r>
        <w:rPr>
          <w:b/>
          <w:bCs/>
        </w:rPr>
        <w:t xml:space="preserve">Archives, interfaces, and infrastructure:</w:t>
      </w:r>
      <w:r>
        <w:t xml:space="preserve"> </w:t>
      </w:r>
      <w:r>
        <w:t xml:space="preserve">Johanna Drucker, “Humanities Approaches to Graphical Display” and “Performative Materiality and Theoretical Approaches to Interface”; Ko-le Chen, Marian Dörk, and Martyn Dade-Robertson, “Exploring the Promises and Potentials of Visual Archive Interfaces”; Mitchell Whitelaw, “Generous Interfaces for Digital Cultural Collections”; Chris Hurley, Sue McKemmish, Barbara Reed, and Narissa Timbery, “The power of provenance in the records continuum”; David Waters, “The emerging digital infrastructure for research in the humanities”; Joanna Tucker, “Facing the challenge of digital sustainability as humanities researchers”; Linked Art documentation; RightsStatements.org documentation; IIIF documentation.</w:t>
      </w:r>
      <w:r>
        <w:t xml:space="preserve"> </w:t>
      </w:r>
      <w:hyperlink r:id="rId44">
        <w:r>
          <w:rPr>
            <w:rStyle w:val="Hyperlink"/>
          </w:rPr>
          <w:t xml:space="preserve">[68]</w:t>
        </w:r>
      </w:hyperlink>
    </w:p>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r>
        <w:t xml:space="preserve">https://eyemagazine.com/opinion/article/rebalancing-the-design-canon</w:t>
      </w:r>
    </w:p>
    <w:p>
      <w:pPr>
        <w:pStyle w:val="BodyText"/>
      </w:pPr>
      <w:hyperlink r:id="rId21">
        <w:r>
          <w:rPr>
            <w:rStyle w:val="Hyperlink"/>
          </w:rPr>
          <w:t xml:space="preserve">https://eyemagazine.com/opinion/article/rebalancing-the-design-canon</w:t>
        </w:r>
      </w:hyperlink>
    </w:p>
    <w:p>
      <w:pPr>
        <w:pStyle w:val="BodyText"/>
      </w:pPr>
      <w:hyperlink r:id="rId22">
        <w:r>
          <w:rPr>
            <w:rStyle w:val="Hyperlink"/>
          </w:rPr>
          <w:t xml:space="preserve">[2]</w:t>
        </w:r>
      </w:hyperlink>
      <w:r>
        <w:t xml:space="preserve"> </w:t>
      </w:r>
      <w:hyperlink r:id="rId22">
        <w:r>
          <w:rPr>
            <w:rStyle w:val="Hyperlink"/>
          </w:rPr>
          <w:t xml:space="preserve">[21]</w:t>
        </w:r>
      </w:hyperlink>
      <w:r>
        <w:t xml:space="preserve"> </w:t>
      </w:r>
      <w:hyperlink r:id="rId22">
        <w:r>
          <w:rPr>
            <w:rStyle w:val="Hyperlink"/>
          </w:rPr>
          <w:t xml:space="preserve">[49]</w:t>
        </w:r>
      </w:hyperlink>
      <w:r>
        <w:t xml:space="preserve"> </w:t>
      </w:r>
      <w:r>
        <w:t xml:space="preserve">https://www.bloomsbury.com/uk/thinking-through-graphic-design-history-9781350327221/</w:t>
      </w:r>
    </w:p>
    <w:p>
      <w:pPr>
        <w:pStyle w:val="BodyText"/>
      </w:pPr>
      <w:hyperlink r:id="rId22">
        <w:r>
          <w:rPr>
            <w:rStyle w:val="Hyperlink"/>
          </w:rPr>
          <w:t xml:space="preserve">https://www.bloomsbury.com/uk/thinking-through-graphic-design-history-9781350327221/</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[22]</w:t>
        </w:r>
      </w:hyperlink>
      <w:r>
        <w:t xml:space="preserve"> </w:t>
      </w:r>
      <w:hyperlink r:id="rId23">
        <w:r>
          <w:rPr>
            <w:rStyle w:val="Hyperlink"/>
          </w:rPr>
          <w:t xml:space="preserve">[28]</w:t>
        </w:r>
      </w:hyperlink>
      <w:r>
        <w:t xml:space="preserve"> </w:t>
      </w:r>
      <w:hyperlink r:id="rId23">
        <w:r>
          <w:rPr>
            <w:rStyle w:val="Hyperlink"/>
          </w:rPr>
          <w:t xml:space="preserve">[37]</w:t>
        </w:r>
      </w:hyperlink>
      <w:r>
        <w:t xml:space="preserve"> </w:t>
      </w:r>
      <w:hyperlink r:id="rId23">
        <w:r>
          <w:rPr>
            <w:rStyle w:val="Hyperlink"/>
          </w:rPr>
          <w:t xml:space="preserve">[45]</w:t>
        </w:r>
      </w:hyperlink>
      <w:r>
        <w:t xml:space="preserve"> </w:t>
      </w:r>
      <w:hyperlink r:id="rId23">
        <w:r>
          <w:rPr>
            <w:rStyle w:val="Hyperlink"/>
          </w:rPr>
          <w:t xml:space="preserve">[50]</w:t>
        </w:r>
      </w:hyperlink>
      <w:r>
        <w:t xml:space="preserve"> </w:t>
      </w:r>
      <w:hyperlink r:id="rId23">
        <w:r>
          <w:rPr>
            <w:rStyle w:val="Hyperlink"/>
          </w:rPr>
          <w:t xml:space="preserve">[65]</w:t>
        </w:r>
      </w:hyperlink>
      <w:r>
        <w:t xml:space="preserve"> </w:t>
      </w:r>
      <w:r>
        <w:t xml:space="preserve">https://www.sfu.ca/~andrewf/CONCEPT2.html</w:t>
      </w:r>
    </w:p>
    <w:p>
      <w:pPr>
        <w:pStyle w:val="BodyText"/>
      </w:pPr>
      <w:hyperlink r:id="rId23">
        <w:r>
          <w:rPr>
            <w:rStyle w:val="Hyperlink"/>
          </w:rPr>
          <w:t xml:space="preserve">https://www.sfu.ca/~andrewf/CONCEPT2.html</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[11]</w:t>
        </w:r>
      </w:hyperlink>
      <w:r>
        <w:t xml:space="preserve"> </w:t>
      </w:r>
      <w:hyperlink r:id="rId24">
        <w:r>
          <w:rPr>
            <w:rStyle w:val="Hyperlink"/>
          </w:rPr>
          <w:t xml:space="preserve">[24]</w:t>
        </w:r>
      </w:hyperlink>
      <w:r>
        <w:t xml:space="preserve"> </w:t>
      </w:r>
      <w:hyperlink r:id="rId24">
        <w:r>
          <w:rPr>
            <w:rStyle w:val="Hyperlink"/>
          </w:rPr>
          <w:t xml:space="preserve">[38]</w:t>
        </w:r>
      </w:hyperlink>
      <w:r>
        <w:t xml:space="preserve"> </w:t>
      </w:r>
      <w:hyperlink r:id="rId24">
        <w:r>
          <w:rPr>
            <w:rStyle w:val="Hyperlink"/>
          </w:rPr>
          <w:t xml:space="preserve">[43]</w:t>
        </w:r>
      </w:hyperlink>
      <w:r>
        <w:t xml:space="preserve"> </w:t>
      </w:r>
      <w:hyperlink r:id="rId24">
        <w:r>
          <w:rPr>
            <w:rStyle w:val="Hyperlink"/>
          </w:rPr>
          <w:t xml:space="preserve">[44]</w:t>
        </w:r>
      </w:hyperlink>
      <w:r>
        <w:t xml:space="preserve"> </w:t>
      </w:r>
      <w:hyperlink r:id="rId24">
        <w:r>
          <w:rPr>
            <w:rStyle w:val="Hyperlink"/>
          </w:rPr>
          <w:t xml:space="preserve">[51]</w:t>
        </w:r>
      </w:hyperlink>
      <w:r>
        <w:t xml:space="preserve"> </w:t>
      </w:r>
      <w:hyperlink r:id="rId24">
        <w:r>
          <w:rPr>
            <w:rStyle w:val="Hyperlink"/>
          </w:rPr>
          <w:t xml:space="preserve">[56]</w:t>
        </w:r>
      </w:hyperlink>
      <w:r>
        <w:t xml:space="preserve"> </w:t>
      </w:r>
      <w:hyperlink r:id="rId24">
        <w:r>
          <w:rPr>
            <w:rStyle w:val="Hyperlink"/>
          </w:rPr>
          <w:t xml:space="preserve">[57]</w:t>
        </w:r>
      </w:hyperlink>
      <w:r>
        <w:t xml:space="preserve"> </w:t>
      </w:r>
      <w:r>
        <w:t xml:space="preserve">https://plato.stanford.edu/entries/benjamin/</w:t>
      </w:r>
    </w:p>
    <w:p>
      <w:pPr>
        <w:pStyle w:val="BodyText"/>
      </w:pPr>
      <w:hyperlink r:id="rId24">
        <w:r>
          <w:rPr>
            <w:rStyle w:val="Hyperlink"/>
          </w:rPr>
          <w:t xml:space="preserve">https://plato.stanford.edu/entries/benjamin/</w:t>
        </w:r>
      </w:hyperlink>
    </w:p>
    <w:p>
      <w:pPr>
        <w:pStyle w:val="BodyText"/>
      </w:pPr>
      <w:hyperlink r:id="rId26">
        <w:r>
          <w:rPr>
            <w:rStyle w:val="Hyperlink"/>
          </w:rPr>
          <w:t xml:space="preserve">[8]</w:t>
        </w:r>
      </w:hyperlink>
      <w:r>
        <w:t xml:space="preserve"> </w:t>
      </w:r>
      <w:hyperlink r:id="rId26">
        <w:r>
          <w:rPr>
            <w:rStyle w:val="Hyperlink"/>
          </w:rPr>
          <w:t xml:space="preserve">[23]</w:t>
        </w:r>
      </w:hyperlink>
      <w:r>
        <w:t xml:space="preserve"> </w:t>
      </w:r>
      <w:hyperlink r:id="rId26">
        <w:r>
          <w:rPr>
            <w:rStyle w:val="Hyperlink"/>
          </w:rPr>
          <w:t xml:space="preserve">[46]</w:t>
        </w:r>
      </w:hyperlink>
      <w:r>
        <w:t xml:space="preserve"> </w:t>
      </w:r>
      <w:r>
        <w:t xml:space="preserve">https://warburg.library.cornell.edu/about/</w:t>
      </w:r>
    </w:p>
    <w:p>
      <w:pPr>
        <w:pStyle w:val="BodyText"/>
      </w:pPr>
      <w:hyperlink r:id="rId26">
        <w:r>
          <w:rPr>
            <w:rStyle w:val="Hyperlink"/>
          </w:rPr>
          <w:t xml:space="preserve">https://warburg.library.cornell.edu/about/</w:t>
        </w:r>
      </w:hyperlink>
    </w:p>
    <w:p>
      <w:pPr>
        <w:pStyle w:val="BodyText"/>
      </w:pPr>
      <w:hyperlink r:id="rId27">
        <w:r>
          <w:rPr>
            <w:rStyle w:val="Hyperlink"/>
          </w:rPr>
          <w:t xml:space="preserve">[9]</w:t>
        </w:r>
      </w:hyperlink>
      <w:r>
        <w:t xml:space="preserve"> </w:t>
      </w:r>
      <w:r>
        <w:t xml:space="preserve">https://warburg.sas.ac.uk/library-collections/warburg-institute-archive/bilderatlas-mnemosyne</w:t>
      </w:r>
    </w:p>
    <w:p>
      <w:pPr>
        <w:pStyle w:val="BodyText"/>
      </w:pPr>
      <w:hyperlink r:id="rId27">
        <w:r>
          <w:rPr>
            <w:rStyle w:val="Hyperlink"/>
          </w:rPr>
          <w:t xml:space="preserve">https://warburg.sas.ac.uk/library-collections/warburg-institute-archive/bilderatlas-mnemosyne</w:t>
        </w:r>
      </w:hyperlink>
    </w:p>
    <w:p>
      <w:pPr>
        <w:pStyle w:val="BodyText"/>
      </w:pPr>
      <w:hyperlink r:id="rId28">
        <w:r>
          <w:rPr>
            <w:rStyle w:val="Hyperlink"/>
          </w:rPr>
          <w:t xml:space="preserve">[10]</w:t>
        </w:r>
      </w:hyperlink>
      <w:r>
        <w:t xml:space="preserve"> </w:t>
      </w:r>
      <w:r>
        <w:t xml:space="preserve">https://arthistoriography.wordpress.com/wp-content/uploads/2013/12/becker.pdf</w:t>
      </w:r>
    </w:p>
    <w:p>
      <w:pPr>
        <w:pStyle w:val="BodyText"/>
      </w:pPr>
      <w:hyperlink r:id="rId28">
        <w:r>
          <w:rPr>
            <w:rStyle w:val="Hyperlink"/>
          </w:rPr>
          <w:t xml:space="preserve">https://arthistoriography.wordpress.com/wp-content/uploads/2013/12/becker.pdf</w:t>
        </w:r>
      </w:hyperlink>
    </w:p>
    <w:p>
      <w:pPr>
        <w:pStyle w:val="BodyText"/>
      </w:pPr>
      <w:hyperlink r:id="rId30">
        <w:r>
          <w:rPr>
            <w:rStyle w:val="Hyperlink"/>
          </w:rPr>
          <w:t xml:space="preserve">[12]</w:t>
        </w:r>
      </w:hyperlink>
      <w:r>
        <w:t xml:space="preserve"> </w:t>
      </w:r>
      <w:hyperlink r:id="rId30">
        <w:r>
          <w:rPr>
            <w:rStyle w:val="Hyperlink"/>
          </w:rPr>
          <w:t xml:space="preserve">[47]</w:t>
        </w:r>
      </w:hyperlink>
      <w:r>
        <w:t xml:space="preserve"> </w:t>
      </w:r>
      <w:hyperlink r:id="rId30">
        <w:r>
          <w:rPr>
            <w:rStyle w:val="Hyperlink"/>
          </w:rPr>
          <w:t xml:space="preserve">[52]</w:t>
        </w:r>
      </w:hyperlink>
      <w:r>
        <w:t xml:space="preserve"> </w:t>
      </w:r>
      <w:hyperlink r:id="rId30">
        <w:r>
          <w:rPr>
            <w:rStyle w:val="Hyperlink"/>
          </w:rPr>
          <w:t xml:space="preserve">[58]</w:t>
        </w:r>
      </w:hyperlink>
      <w:r>
        <w:t xml:space="preserve"> </w:t>
      </w:r>
      <w:hyperlink r:id="rId30">
        <w:r>
          <w:rPr>
            <w:rStyle w:val="Hyperlink"/>
          </w:rPr>
          <w:t xml:space="preserve">[66]</w:t>
        </w:r>
      </w:hyperlink>
      <w:r>
        <w:t xml:space="preserve"> </w:t>
      </w:r>
      <w:r>
        <w:t xml:space="preserve">https://jussiparikka.net/2012/12/16/what-is-media-archaeology-beta-definition-ver-0-9/</w:t>
      </w:r>
    </w:p>
    <w:p>
      <w:pPr>
        <w:pStyle w:val="BodyText"/>
      </w:pPr>
      <w:hyperlink r:id="rId30">
        <w:r>
          <w:rPr>
            <w:rStyle w:val="Hyperlink"/>
          </w:rPr>
          <w:t xml:space="preserve">https://jussiparikka.net/2012/12/16/what-is-media-archaeology-beta-definition-ver-0-9/</w:t>
        </w:r>
      </w:hyperlink>
    </w:p>
    <w:p>
      <w:pPr>
        <w:pStyle w:val="BodyText"/>
      </w:pPr>
      <w:hyperlink r:id="rId31">
        <w:r>
          <w:rPr>
            <w:rStyle w:val="Hyperlink"/>
          </w:rPr>
          <w:t xml:space="preserve">[13]</w:t>
        </w:r>
      </w:hyperlink>
      <w:r>
        <w:t xml:space="preserve"> </w:t>
      </w:r>
      <w:r>
        <w:t xml:space="preserve">https://mitpress.mit.edu/9780262240499/deep-time-of-the-media/</w:t>
      </w:r>
    </w:p>
    <w:p>
      <w:pPr>
        <w:pStyle w:val="BodyText"/>
      </w:pPr>
      <w:hyperlink r:id="rId31">
        <w:r>
          <w:rPr>
            <w:rStyle w:val="Hyperlink"/>
          </w:rPr>
          <w:t xml:space="preserve">https://mitpress.mit.edu/9780262240499/deep-time-of-the-media/</w:t>
        </w:r>
      </w:hyperlink>
    </w:p>
    <w:p>
      <w:pPr>
        <w:pStyle w:val="BodyText"/>
      </w:pPr>
      <w:hyperlink r:id="rId32">
        <w:r>
          <w:rPr>
            <w:rStyle w:val="Hyperlink"/>
          </w:rPr>
          <w:t xml:space="preserve">[14]</w:t>
        </w:r>
      </w:hyperlink>
      <w:r>
        <w:t xml:space="preserve"> </w:t>
      </w:r>
      <w:hyperlink r:id="rId32">
        <w:r>
          <w:rPr>
            <w:rStyle w:val="Hyperlink"/>
          </w:rPr>
          <w:t xml:space="preserve">[25]</w:t>
        </w:r>
      </w:hyperlink>
      <w:r>
        <w:t xml:space="preserve"> </w:t>
      </w:r>
      <w:r>
        <w:t xml:space="preserve">https://www.sup.org/books/media-studies/gramophone-film-typewriter</w:t>
      </w:r>
    </w:p>
    <w:p>
      <w:pPr>
        <w:pStyle w:val="BodyText"/>
      </w:pPr>
      <w:hyperlink r:id="rId32">
        <w:r>
          <w:rPr>
            <w:rStyle w:val="Hyperlink"/>
          </w:rPr>
          <w:t xml:space="preserve">https://www.sup.org/books/media-studies/gramophone-film-typewriter</w:t>
        </w:r>
      </w:hyperlink>
    </w:p>
    <w:p>
      <w:pPr>
        <w:pStyle w:val="BodyText"/>
      </w:pPr>
      <w:hyperlink r:id="rId33">
        <w:r>
          <w:rPr>
            <w:rStyle w:val="Hyperlink"/>
          </w:rPr>
          <w:t xml:space="preserve">[15]</w:t>
        </w:r>
      </w:hyperlink>
      <w:r>
        <w:t xml:space="preserve"> </w:t>
      </w:r>
      <w:r>
        <w:t xml:space="preserve">https://www.britannica.com/technology/offset-printing</w:t>
      </w:r>
    </w:p>
    <w:p>
      <w:pPr>
        <w:pStyle w:val="BodyText"/>
      </w:pPr>
      <w:hyperlink r:id="rId33">
        <w:r>
          <w:rPr>
            <w:rStyle w:val="Hyperlink"/>
          </w:rPr>
          <w:t xml:space="preserve">https://www.britannica.com/technology/offset-printing</w:t>
        </w:r>
      </w:hyperlink>
    </w:p>
    <w:p>
      <w:pPr>
        <w:pStyle w:val="BodyText"/>
      </w:pPr>
      <w:hyperlink r:id="rId34">
        <w:r>
          <w:rPr>
            <w:rStyle w:val="Hyperlink"/>
          </w:rPr>
          <w:t xml:space="preserve">[16]</w:t>
        </w:r>
      </w:hyperlink>
      <w:r>
        <w:t xml:space="preserve"> </w:t>
      </w:r>
      <w:r>
        <w:t xml:space="preserve">https://www.britannica.com/topic/printing-publishing/The-20th-century</w:t>
      </w:r>
    </w:p>
    <w:p>
      <w:pPr>
        <w:pStyle w:val="BodyText"/>
      </w:pPr>
      <w:hyperlink r:id="rId34">
        <w:r>
          <w:rPr>
            <w:rStyle w:val="Hyperlink"/>
          </w:rPr>
          <w:t xml:space="preserve">https://www.britannica.com/topic/printing-publishing/The-20th-century</w:t>
        </w:r>
      </w:hyperlink>
    </w:p>
    <w:p>
      <w:pPr>
        <w:pStyle w:val="BodyText"/>
      </w:pPr>
      <w:hyperlink r:id="rId35">
        <w:r>
          <w:rPr>
            <w:rStyle w:val="Hyperlink"/>
          </w:rPr>
          <w:t xml:space="preserve">[17]</w:t>
        </w:r>
      </w:hyperlink>
      <w:r>
        <w:t xml:space="preserve"> </w:t>
      </w:r>
      <w:hyperlink r:id="rId35">
        <w:r>
          <w:rPr>
            <w:rStyle w:val="Hyperlink"/>
          </w:rPr>
          <w:t xml:space="preserve">[67]</w:t>
        </w:r>
      </w:hyperlink>
      <w:r>
        <w:t xml:space="preserve"> </w:t>
      </w:r>
      <w:r>
        <w:t xml:space="preserve">https://journals.sagepub.com/doi/10.1177/1474022212467601</w:t>
      </w:r>
    </w:p>
    <w:p>
      <w:pPr>
        <w:pStyle w:val="BodyText"/>
      </w:pPr>
      <w:hyperlink r:id="rId35">
        <w:r>
          <w:rPr>
            <w:rStyle w:val="Hyperlink"/>
          </w:rPr>
          <w:t xml:space="preserve">https://journals.sagepub.com/doi/10.1177/1474022212467601</w:t>
        </w:r>
      </w:hyperlink>
    </w:p>
    <w:p>
      <w:pPr>
        <w:pStyle w:val="BodyText"/>
      </w:pPr>
      <w:hyperlink r:id="rId36">
        <w:r>
          <w:rPr>
            <w:rStyle w:val="Hyperlink"/>
          </w:rPr>
          <w:t xml:space="preserve">[18]</w:t>
        </w:r>
      </w:hyperlink>
      <w:r>
        <w:t xml:space="preserve"> </w:t>
      </w:r>
      <w:r>
        <w:t xml:space="preserve">https://journals.uc.edu/index.php/vl/article/view/5613</w:t>
      </w:r>
    </w:p>
    <w:p>
      <w:pPr>
        <w:pStyle w:val="BodyText"/>
      </w:pPr>
      <w:hyperlink r:id="rId36">
        <w:r>
          <w:rPr>
            <w:rStyle w:val="Hyperlink"/>
          </w:rPr>
          <w:t xml:space="preserve">https://journals.uc.edu/index.php/vl/article/view/5613</w:t>
        </w:r>
      </w:hyperlink>
    </w:p>
    <w:p>
      <w:pPr>
        <w:pStyle w:val="BodyText"/>
      </w:pPr>
      <w:hyperlink r:id="rId37">
        <w:r>
          <w:rPr>
            <w:rStyle w:val="Hyperlink"/>
          </w:rPr>
          <w:t xml:space="preserve">[19]</w:t>
        </w:r>
      </w:hyperlink>
      <w:r>
        <w:t xml:space="preserve"> </w:t>
      </w:r>
      <w:hyperlink r:id="rId37">
        <w:r>
          <w:rPr>
            <w:rStyle w:val="Hyperlink"/>
          </w:rPr>
          <w:t xml:space="preserve">[53]</w:t>
        </w:r>
      </w:hyperlink>
      <w:r>
        <w:t xml:space="preserve"> </w:t>
      </w:r>
      <w:hyperlink r:id="rId37">
        <w:r>
          <w:rPr>
            <w:rStyle w:val="Hyperlink"/>
          </w:rPr>
          <w:t xml:space="preserve">[59]</w:t>
        </w:r>
      </w:hyperlink>
      <w:r>
        <w:t xml:space="preserve"> </w:t>
      </w:r>
      <w:r>
        <w:t xml:space="preserve">https://stedelijkstudies.com/journal/good-graphic-design/</w:t>
      </w:r>
    </w:p>
    <w:p>
      <w:pPr>
        <w:pStyle w:val="BodyText"/>
      </w:pPr>
      <w:hyperlink r:id="rId37">
        <w:r>
          <w:rPr>
            <w:rStyle w:val="Hyperlink"/>
          </w:rPr>
          <w:t xml:space="preserve">https://stedelijkstudies.com/journal/good-graphic-design/</w:t>
        </w:r>
      </w:hyperlink>
    </w:p>
    <w:p>
      <w:pPr>
        <w:pStyle w:val="BodyText"/>
      </w:pPr>
      <w:hyperlink r:id="rId38">
        <w:r>
          <w:rPr>
            <w:rStyle w:val="Hyperlink"/>
          </w:rPr>
          <w:t xml:space="preserve">[20]</w:t>
        </w:r>
      </w:hyperlink>
      <w:r>
        <w:t xml:space="preserve"> </w:t>
      </w:r>
      <w:r>
        <w:t xml:space="preserve">https://ujcontent.uj.ac.za/esploro/outputs/journalArticle/Graphic-design-in-South-Africa/9910151207691</w:t>
      </w:r>
    </w:p>
    <w:p>
      <w:pPr>
        <w:pStyle w:val="BodyText"/>
      </w:pPr>
      <w:hyperlink r:id="rId38">
        <w:r>
          <w:rPr>
            <w:rStyle w:val="Hyperlink"/>
          </w:rPr>
          <w:t xml:space="preserve">https://ujcontent.uj.ac.za/esploro/outputs/journalArticle/Graphic-design-in-South-Africa/9910151207691</w:t>
        </w:r>
      </w:hyperlink>
    </w:p>
    <w:p>
      <w:pPr>
        <w:pStyle w:val="BodyText"/>
      </w:pPr>
      <w:hyperlink r:id="rId40">
        <w:r>
          <w:rPr>
            <w:rStyle w:val="Hyperlink"/>
          </w:rPr>
          <w:t xml:space="preserve">[26]</w:t>
        </w:r>
      </w:hyperlink>
      <w:r>
        <w:t xml:space="preserve"> </w:t>
      </w:r>
      <w:r>
        <w:t xml:space="preserve">https://link.springer.com/chapter/10.1007/978-3-031-49811-4_61</w:t>
      </w:r>
    </w:p>
    <w:p>
      <w:pPr>
        <w:pStyle w:val="BodyText"/>
      </w:pPr>
      <w:hyperlink r:id="rId40">
        <w:r>
          <w:rPr>
            <w:rStyle w:val="Hyperlink"/>
          </w:rPr>
          <w:t xml:space="preserve">https://link.springer.com/chapter/10.1007/978-3-031-49811-4_61</w:t>
        </w:r>
      </w:hyperlink>
    </w:p>
    <w:p>
      <w:pPr>
        <w:pStyle w:val="BodyText"/>
      </w:pPr>
      <w:hyperlink r:id="rId41">
        <w:r>
          <w:rPr>
            <w:rStyle w:val="Hyperlink"/>
          </w:rPr>
          <w:t xml:space="preserve">[27]</w:t>
        </w:r>
      </w:hyperlink>
      <w:r>
        <w:t xml:space="preserve"> </w:t>
      </w:r>
      <w:hyperlink r:id="rId41">
        <w:r>
          <w:rPr>
            <w:rStyle w:val="Hyperlink"/>
          </w:rPr>
          <w:t xml:space="preserve">[40]</w:t>
        </w:r>
      </w:hyperlink>
      <w:r>
        <w:t xml:space="preserve"> </w:t>
      </w:r>
      <w:r>
        <w:t xml:space="preserve">https://uclab.fh-potsdam.de/papers/2014-exploring-the-promises-and-potentials-of-visual-archive-interfaces.pdf</w:t>
      </w:r>
    </w:p>
    <w:p>
      <w:pPr>
        <w:pStyle w:val="BodyText"/>
      </w:pPr>
      <w:hyperlink r:id="rId41">
        <w:r>
          <w:rPr>
            <w:rStyle w:val="Hyperlink"/>
          </w:rPr>
          <w:t xml:space="preserve">https://uclab.fh-potsdam.de/papers/2014-exploring-the-promises-and-potentials-of-visual-archive-interfaces.pdf</w:t>
        </w:r>
      </w:hyperlink>
    </w:p>
    <w:p>
      <w:pPr>
        <w:pStyle w:val="BodyText"/>
      </w:pPr>
      <w:hyperlink r:id="rId43">
        <w:r>
          <w:rPr>
            <w:rStyle w:val="Hyperlink"/>
          </w:rPr>
          <w:t xml:space="preserve">[29]</w:t>
        </w:r>
      </w:hyperlink>
      <w:r>
        <w:t xml:space="preserve"> </w:t>
      </w:r>
      <w:hyperlink r:id="rId43">
        <w:r>
          <w:rPr>
            <w:rStyle w:val="Hyperlink"/>
          </w:rPr>
          <w:t xml:space="preserve">[30]</w:t>
        </w:r>
      </w:hyperlink>
      <w:r>
        <w:t xml:space="preserve"> </w:t>
      </w:r>
      <w:r>
        <w:t xml:space="preserve">https://linked.art/model/</w:t>
      </w:r>
    </w:p>
    <w:p>
      <w:pPr>
        <w:pStyle w:val="BodyText"/>
      </w:pPr>
      <w:hyperlink r:id="rId43">
        <w:r>
          <w:rPr>
            <w:rStyle w:val="Hyperlink"/>
          </w:rPr>
          <w:t xml:space="preserve">https://linked.art/model/</w:t>
        </w:r>
      </w:hyperlink>
    </w:p>
    <w:p>
      <w:pPr>
        <w:pStyle w:val="BodyText"/>
      </w:pPr>
      <w:hyperlink r:id="rId44">
        <w:r>
          <w:rPr>
            <w:rStyle w:val="Hyperlink"/>
          </w:rPr>
          <w:t xml:space="preserve">[31]</w:t>
        </w:r>
      </w:hyperlink>
      <w:r>
        <w:t xml:space="preserve"> </w:t>
      </w:r>
      <w:hyperlink r:id="rId44">
        <w:r>
          <w:rPr>
            <w:rStyle w:val="Hyperlink"/>
          </w:rPr>
          <w:t xml:space="preserve">[36]</w:t>
        </w:r>
      </w:hyperlink>
      <w:r>
        <w:t xml:space="preserve"> </w:t>
      </w:r>
      <w:hyperlink r:id="rId44">
        <w:r>
          <w:rPr>
            <w:rStyle w:val="Hyperlink"/>
          </w:rPr>
          <w:t xml:space="preserve">[61]</w:t>
        </w:r>
      </w:hyperlink>
      <w:r>
        <w:t xml:space="preserve"> </w:t>
      </w:r>
      <w:hyperlink r:id="rId44">
        <w:r>
          <w:rPr>
            <w:rStyle w:val="Hyperlink"/>
          </w:rPr>
          <w:t xml:space="preserve">[63]</w:t>
        </w:r>
      </w:hyperlink>
      <w:r>
        <w:t xml:space="preserve"> </w:t>
      </w:r>
      <w:hyperlink r:id="rId44">
        <w:r>
          <w:rPr>
            <w:rStyle w:val="Hyperlink"/>
          </w:rPr>
          <w:t xml:space="preserve">[68]</w:t>
        </w:r>
      </w:hyperlink>
      <w:r>
        <w:t xml:space="preserve"> </w:t>
      </w:r>
      <w:r>
        <w:t xml:space="preserve">https://dhq-static.digitalhumanities.org/pdf/000091.pdf</w:t>
      </w:r>
    </w:p>
    <w:p>
      <w:pPr>
        <w:pStyle w:val="BodyText"/>
      </w:pPr>
      <w:hyperlink r:id="rId44">
        <w:r>
          <w:rPr>
            <w:rStyle w:val="Hyperlink"/>
          </w:rPr>
          <w:t xml:space="preserve">https://dhq-static.digitalhumanities.org/pdf/000091.pdf</w:t>
        </w:r>
      </w:hyperlink>
    </w:p>
    <w:p>
      <w:pPr>
        <w:pStyle w:val="BodyText"/>
      </w:pPr>
      <w:hyperlink r:id="rId45">
        <w:r>
          <w:rPr>
            <w:rStyle w:val="Hyperlink"/>
          </w:rPr>
          <w:t xml:space="preserve">[32]</w:t>
        </w:r>
      </w:hyperlink>
      <w:r>
        <w:t xml:space="preserve"> </w:t>
      </w:r>
      <w:hyperlink r:id="rId45">
        <w:r>
          <w:rPr>
            <w:rStyle w:val="Hyperlink"/>
          </w:rPr>
          <w:t xml:space="preserve">[39]</w:t>
        </w:r>
      </w:hyperlink>
      <w:r>
        <w:t xml:space="preserve"> </w:t>
      </w:r>
      <w:hyperlink r:id="rId45">
        <w:r>
          <w:rPr>
            <w:rStyle w:val="Hyperlink"/>
          </w:rPr>
          <w:t xml:space="preserve">[54]</w:t>
        </w:r>
      </w:hyperlink>
      <w:r>
        <w:t xml:space="preserve"> </w:t>
      </w:r>
      <w:r>
        <w:t xml:space="preserve">https://research.monash.edu/en/publications/the-power-of-provenance-in-the-records-continuum/</w:t>
      </w:r>
    </w:p>
    <w:p>
      <w:pPr>
        <w:pStyle w:val="BodyText"/>
      </w:pPr>
      <w:hyperlink r:id="rId45">
        <w:r>
          <w:rPr>
            <w:rStyle w:val="Hyperlink"/>
          </w:rPr>
          <w:t xml:space="preserve">https://research.monash.edu/en/publications/the-power-of-provenance-in-the-records-continuum/</w:t>
        </w:r>
      </w:hyperlink>
    </w:p>
    <w:p>
      <w:pPr>
        <w:pStyle w:val="BodyText"/>
      </w:pPr>
      <w:hyperlink r:id="rId46">
        <w:r>
          <w:rPr>
            <w:rStyle w:val="Hyperlink"/>
          </w:rPr>
          <w:t xml:space="preserve">[33]</w:t>
        </w:r>
      </w:hyperlink>
      <w:r>
        <w:t xml:space="preserve"> </w:t>
      </w:r>
      <w:r>
        <w:t xml:space="preserve">https://rightsstatements.org/en/documentation/</w:t>
      </w:r>
    </w:p>
    <w:p>
      <w:pPr>
        <w:pStyle w:val="BodyText"/>
      </w:pPr>
      <w:hyperlink r:id="rId46">
        <w:r>
          <w:rPr>
            <w:rStyle w:val="Hyperlink"/>
          </w:rPr>
          <w:t xml:space="preserve">https://rightsstatements.org/en/documentation/</w:t>
        </w:r>
      </w:hyperlink>
    </w:p>
    <w:p>
      <w:pPr>
        <w:pStyle w:val="BodyText"/>
      </w:pPr>
      <w:hyperlink r:id="rId47">
        <w:r>
          <w:rPr>
            <w:rStyle w:val="Hyperlink"/>
          </w:rPr>
          <w:t xml:space="preserve">[34]</w:t>
        </w:r>
      </w:hyperlink>
      <w:r>
        <w:t xml:space="preserve"> </w:t>
      </w:r>
      <w:r>
        <w:t xml:space="preserve">https://www.jlis.it/index.php/jlis/article/view/557</w:t>
      </w:r>
    </w:p>
    <w:p>
      <w:pPr>
        <w:pStyle w:val="BodyText"/>
      </w:pPr>
      <w:hyperlink r:id="rId47">
        <w:r>
          <w:rPr>
            <w:rStyle w:val="Hyperlink"/>
          </w:rPr>
          <w:t xml:space="preserve">https://www.jlis.it/index.php/jlis/article/view/557</w:t>
        </w:r>
      </w:hyperlink>
    </w:p>
    <w:p>
      <w:pPr>
        <w:pStyle w:val="BodyText"/>
      </w:pPr>
      <w:hyperlink r:id="rId48">
        <w:r>
          <w:rPr>
            <w:rStyle w:val="Hyperlink"/>
          </w:rPr>
          <w:t xml:space="preserve">[35]</w:t>
        </w:r>
      </w:hyperlink>
      <w:r>
        <w:t xml:space="preserve"> </w:t>
      </w:r>
      <w:r>
        <w:t xml:space="preserve">https://openhumanitiesdata.metajnl.com/articles/10.5334/johd.448</w:t>
      </w:r>
    </w:p>
    <w:p>
      <w:pPr>
        <w:pStyle w:val="BodyText"/>
      </w:pPr>
      <w:hyperlink r:id="rId48">
        <w:r>
          <w:rPr>
            <w:rStyle w:val="Hyperlink"/>
          </w:rPr>
          <w:t xml:space="preserve">https://openhumanitiesdata.metajnl.com/articles/10.5334/johd.448</w:t>
        </w:r>
      </w:hyperlink>
    </w:p>
    <w:p>
      <w:pPr>
        <w:pStyle w:val="BodyText"/>
      </w:pPr>
      <w:hyperlink r:id="rId49">
        <w:r>
          <w:rPr>
            <w:rStyle w:val="Hyperlink"/>
          </w:rPr>
          <w:t xml:space="preserve">[41]</w:t>
        </w:r>
      </w:hyperlink>
      <w:r>
        <w:t xml:space="preserve"> </w:t>
      </w:r>
      <w:r>
        <w:t xml:space="preserve">https://iiif.io/</w:t>
      </w:r>
    </w:p>
    <w:p>
      <w:pPr>
        <w:pStyle w:val="BodyText"/>
      </w:pPr>
      <w:hyperlink r:id="rId49">
        <w:r>
          <w:rPr>
            <w:rStyle w:val="Hyperlink"/>
          </w:rPr>
          <w:t xml:space="preserve">https://iiif.io/</w:t>
        </w:r>
      </w:hyperlink>
    </w:p>
    <w:p>
      <w:pPr>
        <w:pStyle w:val="BodyText"/>
      </w:pPr>
      <w:hyperlink r:id="rId50">
        <w:r>
          <w:rPr>
            <w:rStyle w:val="Hyperlink"/>
          </w:rPr>
          <w:t xml:space="preserve">[42]</w:t>
        </w:r>
      </w:hyperlink>
      <w:r>
        <w:t xml:space="preserve"> </w:t>
      </w:r>
      <w:hyperlink r:id="rId50">
        <w:r>
          <w:rPr>
            <w:rStyle w:val="Hyperlink"/>
          </w:rPr>
          <w:t xml:space="preserve">[64]</w:t>
        </w:r>
      </w:hyperlink>
      <w:r>
        <w:t xml:space="preserve"> </w:t>
      </w:r>
      <w:r>
        <w:t xml:space="preserve">https://link.springer.com/article/10.1007/s00799-022-00332-3</w:t>
      </w:r>
    </w:p>
    <w:p>
      <w:pPr>
        <w:pStyle w:val="BodyText"/>
      </w:pPr>
      <w:hyperlink r:id="rId50">
        <w:r>
          <w:rPr>
            <w:rStyle w:val="Hyperlink"/>
          </w:rPr>
          <w:t xml:space="preserve">https://link.springer.com/article/10.1007/s00799-022-00332-3</w:t>
        </w:r>
      </w:hyperlink>
    </w:p>
    <w:p>
      <w:pPr>
        <w:pStyle w:val="BodyText"/>
      </w:pPr>
      <w:hyperlink r:id="rId52">
        <w:r>
          <w:rPr>
            <w:rStyle w:val="Hyperlink"/>
          </w:rPr>
          <w:t xml:space="preserve">[48]</w:t>
        </w:r>
      </w:hyperlink>
      <w:r>
        <w:t xml:space="preserve"> </w:t>
      </w:r>
      <w:r>
        <w:t xml:space="preserve">https://mtchl.net/generous-interfaces-for-digital-cultural-collections/</w:t>
      </w:r>
    </w:p>
    <w:p>
      <w:pPr>
        <w:pStyle w:val="BodyText"/>
      </w:pPr>
      <w:hyperlink r:id="rId52">
        <w:r>
          <w:rPr>
            <w:rStyle w:val="Hyperlink"/>
          </w:rPr>
          <w:t xml:space="preserve">https://mtchl.net/generous-interfaces-for-digital-cultural-collections/</w:t>
        </w:r>
      </w:hyperlink>
    </w:p>
    <w:p>
      <w:pPr>
        <w:pStyle w:val="BodyText"/>
      </w:pPr>
      <w:hyperlink r:id="rId53">
        <w:r>
          <w:rPr>
            <w:rStyle w:val="Hyperlink"/>
          </w:rPr>
          <w:t xml:space="preserve">[55]</w:t>
        </w:r>
      </w:hyperlink>
      <w:r>
        <w:t xml:space="preserve"> </w:t>
      </w:r>
      <w:r>
        <w:t xml:space="preserve">https://academic.oup.com/jdh/pages/politics-power-agency-special-issue</w:t>
      </w:r>
    </w:p>
    <w:p>
      <w:pPr>
        <w:pStyle w:val="BodyText"/>
      </w:pPr>
      <w:hyperlink r:id="rId53">
        <w:r>
          <w:rPr>
            <w:rStyle w:val="Hyperlink"/>
          </w:rPr>
          <w:t xml:space="preserve">https://academic.oup.com/jdh/pages/politics-power-agency-special-issue</w:t>
        </w:r>
      </w:hyperlink>
    </w:p>
    <w:p>
      <w:pPr>
        <w:pStyle w:val="BodyText"/>
      </w:pPr>
      <w:hyperlink r:id="rId54">
        <w:r>
          <w:rPr>
            <w:rStyle w:val="Hyperlink"/>
          </w:rPr>
          <w:t xml:space="preserve">[60]</w:t>
        </w:r>
      </w:hyperlink>
      <w:r>
        <w:t xml:space="preserve"> </w:t>
      </w:r>
      <w:r>
        <w:t xml:space="preserve">https://dhq-static.digitalhumanities.org/pdf/000143.pdf</w:t>
      </w:r>
    </w:p>
    <w:p>
      <w:pPr>
        <w:pStyle w:val="BodyText"/>
      </w:pPr>
      <w:hyperlink r:id="rId54">
        <w:r>
          <w:rPr>
            <w:rStyle w:val="Hyperlink"/>
          </w:rPr>
          <w:t xml:space="preserve">https://dhq-static.digitalhumanities.org/pdf/000143.pdf</w:t>
        </w:r>
      </w:hyperlink>
    </w:p>
    <w:p>
      <w:pPr>
        <w:pStyle w:val="BodyText"/>
      </w:pPr>
      <w:hyperlink r:id="rId55">
        <w:r>
          <w:rPr>
            <w:rStyle w:val="Hyperlink"/>
          </w:rPr>
          <w:t xml:space="preserve">[62]</w:t>
        </w:r>
      </w:hyperlink>
      <w:r>
        <w:t xml:space="preserve"> </w:t>
      </w:r>
      <w:r>
        <w:t xml:space="preserve">https://www2.archivists.org/statements/saa-core-values-statement-and-code-of-ethics</w:t>
      </w:r>
    </w:p>
    <w:p>
      <w:pPr>
        <w:pStyle w:val="BodyText"/>
      </w:pPr>
      <w:hyperlink r:id="rId55">
        <w:r>
          <w:rPr>
            <w:rStyle w:val="Hyperlink"/>
          </w:rPr>
          <w:t xml:space="preserve">https://www2.archivists.org/statements/saa-core-values-statement-and-code-of-ethics</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cademic.oup.com/jdh/pages/politics-power-agency-special-issue" TargetMode="External" /><Relationship Type="http://schemas.openxmlformats.org/officeDocument/2006/relationships/hyperlink" Id="rId28" Target="https://arthistoriography.wordpress.com/wp-content/uploads/2013/12/becker.pdf" TargetMode="External" /><Relationship Type="http://schemas.openxmlformats.org/officeDocument/2006/relationships/hyperlink" Id="rId44" Target="https://dhq-static.digitalhumanities.org/pdf/000091.pdf" TargetMode="External" /><Relationship Type="http://schemas.openxmlformats.org/officeDocument/2006/relationships/hyperlink" Id="rId54" Target="https://dhq-static.digitalhumanities.org/pdf/000143.pdf" TargetMode="External" /><Relationship Type="http://schemas.openxmlformats.org/officeDocument/2006/relationships/hyperlink" Id="rId21" Target="https://eyemagazine.com/opinion/article/rebalancing-the-design-canon" TargetMode="External" /><Relationship Type="http://schemas.openxmlformats.org/officeDocument/2006/relationships/hyperlink" Id="rId49" Target="https://iiif.io/" TargetMode="External" /><Relationship Type="http://schemas.openxmlformats.org/officeDocument/2006/relationships/hyperlink" Id="rId35" Target="https://journals.sagepub.com/doi/10.1177/1474022212467601" TargetMode="External" /><Relationship Type="http://schemas.openxmlformats.org/officeDocument/2006/relationships/hyperlink" Id="rId36" Target="https://journals.uc.edu/index.php/vl/article/view/5613" TargetMode="External" /><Relationship Type="http://schemas.openxmlformats.org/officeDocument/2006/relationships/hyperlink" Id="rId30" Target="https://jussiparikka.net/2012/12/16/what-is-media-archaeology-beta-definition-ver-0-9/" TargetMode="External" /><Relationship Type="http://schemas.openxmlformats.org/officeDocument/2006/relationships/hyperlink" Id="rId50" Target="https://link.springer.com/article/10.1007/s00799-022-00332-3" TargetMode="External" /><Relationship Type="http://schemas.openxmlformats.org/officeDocument/2006/relationships/hyperlink" Id="rId40" Target="https://link.springer.com/chapter/10.1007/978-3-031-49811-4_61" TargetMode="External" /><Relationship Type="http://schemas.openxmlformats.org/officeDocument/2006/relationships/hyperlink" Id="rId43" Target="https://linked.art/model/" TargetMode="External" /><Relationship Type="http://schemas.openxmlformats.org/officeDocument/2006/relationships/hyperlink" Id="rId31" Target="https://mitpress.mit.edu/9780262240499/deep-time-of-the-media/" TargetMode="External" /><Relationship Type="http://schemas.openxmlformats.org/officeDocument/2006/relationships/hyperlink" Id="rId52" Target="https://mtchl.net/generous-interfaces-for-digital-cultural-collections/" TargetMode="External" /><Relationship Type="http://schemas.openxmlformats.org/officeDocument/2006/relationships/hyperlink" Id="rId48" Target="https://openhumanitiesdata.metajnl.com/articles/10.5334/johd.448" TargetMode="External" /><Relationship Type="http://schemas.openxmlformats.org/officeDocument/2006/relationships/hyperlink" Id="rId24" Target="https://plato.stanford.edu/entries/benjamin/" TargetMode="External" /><Relationship Type="http://schemas.openxmlformats.org/officeDocument/2006/relationships/hyperlink" Id="rId45" Target="https://research.monash.edu/en/publications/the-power-of-provenance-in-the-records-continuum/" TargetMode="External" /><Relationship Type="http://schemas.openxmlformats.org/officeDocument/2006/relationships/hyperlink" Id="rId46" Target="https://rightsstatements.org/en/documentation/" TargetMode="External" /><Relationship Type="http://schemas.openxmlformats.org/officeDocument/2006/relationships/hyperlink" Id="rId37" Target="https://stedelijkstudies.com/journal/good-graphic-design/" TargetMode="External" /><Relationship Type="http://schemas.openxmlformats.org/officeDocument/2006/relationships/hyperlink" Id="rId41" Target="https://uclab.fh-potsdam.de/papers/2014-exploring-the-promises-and-potentials-of-visual-archive-interfaces.pdf" TargetMode="External" /><Relationship Type="http://schemas.openxmlformats.org/officeDocument/2006/relationships/hyperlink" Id="rId38" Target="https://ujcontent.uj.ac.za/esploro/outputs/journalArticle/Graphic-design-in-South-Africa/9910151207691" TargetMode="External" /><Relationship Type="http://schemas.openxmlformats.org/officeDocument/2006/relationships/hyperlink" Id="rId26" Target="https://warburg.library.cornell.edu/about/" TargetMode="External" /><Relationship Type="http://schemas.openxmlformats.org/officeDocument/2006/relationships/hyperlink" Id="rId27" Target="https://warburg.sas.ac.uk/library-collections/warburg-institute-archive/bilderatlas-mnemosyne" TargetMode="External" /><Relationship Type="http://schemas.openxmlformats.org/officeDocument/2006/relationships/hyperlink" Id="rId22" Target="https://www.bloomsbury.com/uk/thinking-through-graphic-design-history-9781350327221/" TargetMode="External" /><Relationship Type="http://schemas.openxmlformats.org/officeDocument/2006/relationships/hyperlink" Id="rId33" Target="https://www.britannica.com/technology/offset-printing" TargetMode="External" /><Relationship Type="http://schemas.openxmlformats.org/officeDocument/2006/relationships/hyperlink" Id="rId34" Target="https://www.britannica.com/topic/printing-publishing/The-20th-century" TargetMode="External" /><Relationship Type="http://schemas.openxmlformats.org/officeDocument/2006/relationships/hyperlink" Id="rId47" Target="https://www.jlis.it/index.php/jlis/article/view/557" TargetMode="External" /><Relationship Type="http://schemas.openxmlformats.org/officeDocument/2006/relationships/hyperlink" Id="rId23" Target="https://www.sfu.ca/~andrewf/CONCEPT2.html" TargetMode="External" /><Relationship Type="http://schemas.openxmlformats.org/officeDocument/2006/relationships/hyperlink" Id="rId32" Target="https://www.sup.org/books/media-studies/gramophone-film-typewriter" TargetMode="External" /><Relationship Type="http://schemas.openxmlformats.org/officeDocument/2006/relationships/hyperlink" Id="rId55" Target="https://www2.archivists.org/statements/saa-core-values-statement-and-code-of-ethics" TargetMode="External" /></Relationships>
</file>

<file path=word/_rels/footnotes.xml.rels><?xml version="1.0" encoding="UTF-8"?><Relationships xmlns="http://schemas.openxmlformats.org/package/2006/relationships"><Relationship Type="http://schemas.openxmlformats.org/officeDocument/2006/relationships/hyperlink" Id="rId53" Target="https://academic.oup.com/jdh/pages/politics-power-agency-special-issue" TargetMode="External" /><Relationship Type="http://schemas.openxmlformats.org/officeDocument/2006/relationships/hyperlink" Id="rId28" Target="https://arthistoriography.wordpress.com/wp-content/uploads/2013/12/becker.pdf" TargetMode="External" /><Relationship Type="http://schemas.openxmlformats.org/officeDocument/2006/relationships/hyperlink" Id="rId44" Target="https://dhq-static.digitalhumanities.org/pdf/000091.pdf" TargetMode="External" /><Relationship Type="http://schemas.openxmlformats.org/officeDocument/2006/relationships/hyperlink" Id="rId54" Target="https://dhq-static.digitalhumanities.org/pdf/000143.pdf" TargetMode="External" /><Relationship Type="http://schemas.openxmlformats.org/officeDocument/2006/relationships/hyperlink" Id="rId21" Target="https://eyemagazine.com/opinion/article/rebalancing-the-design-canon" TargetMode="External" /><Relationship Type="http://schemas.openxmlformats.org/officeDocument/2006/relationships/hyperlink" Id="rId49" Target="https://iiif.io/" TargetMode="External" /><Relationship Type="http://schemas.openxmlformats.org/officeDocument/2006/relationships/hyperlink" Id="rId35" Target="https://journals.sagepub.com/doi/10.1177/1474022212467601" TargetMode="External" /><Relationship Type="http://schemas.openxmlformats.org/officeDocument/2006/relationships/hyperlink" Id="rId36" Target="https://journals.uc.edu/index.php/vl/article/view/5613" TargetMode="External" /><Relationship Type="http://schemas.openxmlformats.org/officeDocument/2006/relationships/hyperlink" Id="rId30" Target="https://jussiparikka.net/2012/12/16/what-is-media-archaeology-beta-definition-ver-0-9/" TargetMode="External" /><Relationship Type="http://schemas.openxmlformats.org/officeDocument/2006/relationships/hyperlink" Id="rId50" Target="https://link.springer.com/article/10.1007/s00799-022-00332-3" TargetMode="External" /><Relationship Type="http://schemas.openxmlformats.org/officeDocument/2006/relationships/hyperlink" Id="rId40" Target="https://link.springer.com/chapter/10.1007/978-3-031-49811-4_61" TargetMode="External" /><Relationship Type="http://schemas.openxmlformats.org/officeDocument/2006/relationships/hyperlink" Id="rId43" Target="https://linked.art/model/" TargetMode="External" /><Relationship Type="http://schemas.openxmlformats.org/officeDocument/2006/relationships/hyperlink" Id="rId31" Target="https://mitpress.mit.edu/9780262240499/deep-time-of-the-media/" TargetMode="External" /><Relationship Type="http://schemas.openxmlformats.org/officeDocument/2006/relationships/hyperlink" Id="rId52" Target="https://mtchl.net/generous-interfaces-for-digital-cultural-collections/" TargetMode="External" /><Relationship Type="http://schemas.openxmlformats.org/officeDocument/2006/relationships/hyperlink" Id="rId48" Target="https://openhumanitiesdata.metajnl.com/articles/10.5334/johd.448" TargetMode="External" /><Relationship Type="http://schemas.openxmlformats.org/officeDocument/2006/relationships/hyperlink" Id="rId24" Target="https://plato.stanford.edu/entries/benjamin/" TargetMode="External" /><Relationship Type="http://schemas.openxmlformats.org/officeDocument/2006/relationships/hyperlink" Id="rId45" Target="https://research.monash.edu/en/publications/the-power-of-provenance-in-the-records-continuum/" TargetMode="External" /><Relationship Type="http://schemas.openxmlformats.org/officeDocument/2006/relationships/hyperlink" Id="rId46" Target="https://rightsstatements.org/en/documentation/" TargetMode="External" /><Relationship Type="http://schemas.openxmlformats.org/officeDocument/2006/relationships/hyperlink" Id="rId37" Target="https://stedelijkstudies.com/journal/good-graphic-design/" TargetMode="External" /><Relationship Type="http://schemas.openxmlformats.org/officeDocument/2006/relationships/hyperlink" Id="rId41" Target="https://uclab.fh-potsdam.de/papers/2014-exploring-the-promises-and-potentials-of-visual-archive-interfaces.pdf" TargetMode="External" /><Relationship Type="http://schemas.openxmlformats.org/officeDocument/2006/relationships/hyperlink" Id="rId38" Target="https://ujcontent.uj.ac.za/esploro/outputs/journalArticle/Graphic-design-in-South-Africa/9910151207691" TargetMode="External" /><Relationship Type="http://schemas.openxmlformats.org/officeDocument/2006/relationships/hyperlink" Id="rId26" Target="https://warburg.library.cornell.edu/about/" TargetMode="External" /><Relationship Type="http://schemas.openxmlformats.org/officeDocument/2006/relationships/hyperlink" Id="rId27" Target="https://warburg.sas.ac.uk/library-collections/warburg-institute-archive/bilderatlas-mnemosyne" TargetMode="External" /><Relationship Type="http://schemas.openxmlformats.org/officeDocument/2006/relationships/hyperlink" Id="rId22" Target="https://www.bloomsbury.com/uk/thinking-through-graphic-design-history-9781350327221/" TargetMode="External" /><Relationship Type="http://schemas.openxmlformats.org/officeDocument/2006/relationships/hyperlink" Id="rId33" Target="https://www.britannica.com/technology/offset-printing" TargetMode="External" /><Relationship Type="http://schemas.openxmlformats.org/officeDocument/2006/relationships/hyperlink" Id="rId34" Target="https://www.britannica.com/topic/printing-publishing/The-20th-century" TargetMode="External" /><Relationship Type="http://schemas.openxmlformats.org/officeDocument/2006/relationships/hyperlink" Id="rId47" Target="https://www.jlis.it/index.php/jlis/article/view/557" TargetMode="External" /><Relationship Type="http://schemas.openxmlformats.org/officeDocument/2006/relationships/hyperlink" Id="rId23" Target="https://www.sfu.ca/~andrewf/CONCEPT2.html" TargetMode="External" /><Relationship Type="http://schemas.openxmlformats.org/officeDocument/2006/relationships/hyperlink" Id="rId32" Target="https://www.sup.org/books/media-studies/gramophone-film-typewriter" TargetMode="External" /><Relationship Type="http://schemas.openxmlformats.org/officeDocument/2006/relationships/hyperlink" Id="rId55" Target="https://www2.archivists.org/statements/saa-core-values-statement-and-code-of-et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2026-05-29T06:35:33Z</dcterms:created>
  <dcterms:modified xsi:type="dcterms:W3CDTF">2026-05-29T06:35:33Z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