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0a6ae58b49b135bac6ba5b3fe2afb2027826b7c"/>
    <w:p>
      <w:pPr>
        <w:pStyle w:val="Heading1"/>
      </w:pPr>
      <w:r>
        <w:t xml:space="preserve">Rights-Aware Archive Box Interface Framework for Modern Graphic Design History</w:t>
      </w:r>
    </w:p>
    <w:bookmarkStart w:id="27" w:name="grounding-principles"/>
    <w:p>
      <w:pPr>
        <w:pStyle w:val="Heading2"/>
      </w:pPr>
      <w:r>
        <w:t xml:space="preserve">Grounding principles</w:t>
      </w:r>
    </w:p>
    <w:p>
      <w:pPr>
        <w:pStyle w:val="FirstParagraph"/>
      </w:pPr>
      <w:r>
        <w:t xml:space="preserve">This interface should behave like an archival description system with stable records, not like an exhibition site. DACS is explicitly output-neutral and can be used for systems ranging from paper files to complex digital environments; EAD is built to represent hierarchical archival description; Linked Art and digital-humanities linked-open-data practice both emphasize interoperability across distributed systems rather than bespoke one-off presentation. In practical terms, that means the interface should privilege consistent record structure, explicit relationships, persistent identifiers, and direct source context over movement-themed page styling or image-led browsing.</w:t>
      </w:r>
      <w:r>
        <w:t xml:space="preserve"> </w:t>
      </w:r>
      <w:hyperlink r:id="rId21">
        <w:r>
          <w:rPr>
            <w:rStyle w:val="Hyperlink"/>
          </w:rPr>
          <w:t xml:space="preserve">[1]</w:t>
        </w:r>
      </w:hyperlink>
    </w:p>
    <w:p>
      <w:pPr>
        <w:pStyle w:val="BodyText"/>
      </w:pPr>
      <w:r>
        <w:t xml:space="preserve">The strongest architectural rule is</w:t>
      </w:r>
      <w:r>
        <w:t xml:space="preserve"> </w:t>
      </w:r>
      <w:r>
        <w:rPr>
          <w:b/>
          <w:bCs/>
        </w:rPr>
        <w:t xml:space="preserve">one record, one canonical page</w:t>
      </w:r>
      <w:r>
        <w:t xml:space="preserve">. A record can surface in many intellectual arrangements, but its core page should not change with the folder through which it is reached. Linked Art distinguishes identifiers by type, Getty recommends a persistent object/work record ID distinct from repository numbers, and DACS advises that common information should be recorded where it is most generally appropriate rather than redundantly reshaped at every level. That combination supports your rule that folders are aggregation views and do not own records or redesign them.</w:t>
      </w:r>
      <w:r>
        <w:t xml:space="preserve"> </w:t>
      </w:r>
      <w:hyperlink r:id="rId22">
        <w:r>
          <w:rPr>
            <w:rStyle w:val="Hyperlink"/>
          </w:rPr>
          <w:t xml:space="preserve">[2]</w:t>
        </w:r>
      </w:hyperlink>
    </w:p>
    <w:p>
      <w:pPr>
        <w:pStyle w:val="BodyText"/>
      </w:pPr>
      <w:r>
        <w:t xml:space="preserve">Time should remain a sorting axis, not a container. EAD’s arrangement guidance allows chronological order as one possible filing sequence; NARA treats a</w:t>
      </w:r>
      <w:r>
        <w:t xml:space="preserve"> </w:t>
      </w:r>
      <w:r>
        <w:rPr>
          <w:b/>
          <w:bCs/>
        </w:rPr>
        <w:t xml:space="preserve">calendar</w:t>
      </w:r>
      <w:r>
        <w:t xml:space="preserve"> </w:t>
      </w:r>
      <w:r>
        <w:t xml:space="preserve">as a distinct type of finding aid rather than the collection itself; DACS and Library of Congress practice both accommodate uncertain, approximate, and bracketed dates. So the right model is a chronological stream inside each folder, using divider strips and normalized earliest/latest dates, not separate time folders that pretend certainty or create duplicate structures.</w:t>
      </w:r>
      <w:r>
        <w:t xml:space="preserve"> </w:t>
      </w:r>
      <w:hyperlink r:id="rId23">
        <w:r>
          <w:rPr>
            <w:rStyle w:val="Hyperlink"/>
          </w:rPr>
          <w:t xml:space="preserve">[3]</w:t>
        </w:r>
      </w:hyperlink>
    </w:p>
    <w:p>
      <w:pPr>
        <w:pStyle w:val="BodyText"/>
      </w:pPr>
      <w:r>
        <w:t xml:space="preserve">Rights and source information belong in the first viewport, not in a collapsed footer. DACS minimum description includes access and rights information; RightsStatements.org recommends linking the rights statement from the place where the object is accessed; Europeana places both rights and “View on the providing institution’s website” on the item page; and the Library of Congress uses an explicit Rights Advisory field. For this project, the source-return action should therefore be a primary action, and the rights stamp should always be visible next to the image zone or in the header when no image is shown.</w:t>
      </w:r>
      <w:r>
        <w:t xml:space="preserve"> </w:t>
      </w:r>
      <w:hyperlink r:id="rId24">
        <w:r>
          <w:rPr>
            <w:rStyle w:val="Hyperlink"/>
          </w:rPr>
          <w:t xml:space="preserve">[4]</w:t>
        </w:r>
      </w:hyperlink>
    </w:p>
    <w:p>
      <w:pPr>
        <w:pStyle w:val="BodyText"/>
      </w:pPr>
      <w:r>
        <w:t xml:space="preserve">Incomplete records should remain visible. The Library of Congress explicitly describes much pictorial cataloging as “minimal level,” and NARA’s finding-aid types include preliminary checklists, folder lists, item lists, and logs that are meant to support retrieval before rich description exists. That strongly supports your rule that weak records should persist as cards, stubs, proposed items, or appendix fragments rather than disappearing until they become “good enough.”</w:t>
      </w:r>
      <w:r>
        <w:t xml:space="preserve"> </w:t>
      </w:r>
      <w:hyperlink r:id="rId25">
        <w:r>
          <w:rPr>
            <w:rStyle w:val="Hyperlink"/>
          </w:rPr>
          <w:t xml:space="preserve">[5]</w:t>
        </w:r>
      </w:hyperlink>
    </w:p>
    <w:p>
      <w:pPr>
        <w:pStyle w:val="BodyText"/>
      </w:pPr>
      <w:r>
        <w:t xml:space="preserve">Because this project is about</w:t>
      </w:r>
      <w:r>
        <w:t xml:space="preserve"> </w:t>
      </w:r>
      <w:r>
        <w:rPr>
          <w:b/>
          <w:bCs/>
        </w:rPr>
        <w:t xml:space="preserve">graphic design history</w:t>
      </w:r>
      <w:r>
        <w:t xml:space="preserve">, the classification layer should combine standard external vocabularies with a local graphic-design vocabulary. Getty vocabularies are designed for structured visual-arts description, but Letterform Archive notes that conventional fine-art and architecture cataloging does not always describe graphic design in terms familiar to designers; its librarians therefore created a new vocabulary optimized for browsing graphic-design materials by country, designer, decade, and format. Your interface should do the same: preserve interoperability, but allow a domain-specific normalization layer for design movements, print formats, corporate programs, serials, and studios.</w:t>
      </w:r>
      <w:r>
        <w:t xml:space="preserve"> </w:t>
      </w:r>
      <w:hyperlink r:id="rId26">
        <w:r>
          <w:rPr>
            <w:rStyle w:val="Hyperlink"/>
          </w:rPr>
          <w:t xml:space="preserve">[6]</w:t>
        </w:r>
      </w:hyperlink>
    </w:p>
    <w:bookmarkEnd w:id="27"/>
    <w:bookmarkStart w:id="34" w:name="interface-wide-layout-system"/>
    <w:p>
      <w:pPr>
        <w:pStyle w:val="Heading2"/>
      </w:pPr>
      <w:r>
        <w:t xml:space="preserve">Interface-wide layout system</w:t>
      </w:r>
    </w:p>
    <w:p>
      <w:pPr>
        <w:pStyle w:val="FirstParagraph"/>
      </w:pPr>
      <w:r>
        <w:t xml:space="preserve">The visual system should act like a standards manual: reusable templates, a stable grid, limited semantics for color, predictable positions for actions and metadata, and tested contrast. Australian and Queensland government design-system guidance both stress reusable components, clear standards, consistent layouts, and accessible color/contrast rather than ad hoc page styling. That maps well to your stated direction of fixed templates, 1-bit contrast, limited folder colors, and no movement-specific page design.</w:t>
      </w:r>
      <w:r>
        <w:t xml:space="preserve"> </w:t>
      </w:r>
      <w:hyperlink r:id="rId28">
        <w:r>
          <w:rPr>
            <w:rStyle w:val="Hyperlink"/>
          </w:rPr>
          <w:t xml:space="preserve">[7]</w:t>
        </w:r>
      </w:hyperlink>
    </w:p>
    <w:bookmarkStart w:id="30" w:name="field-priority-levels"/>
    <w:p>
      <w:pPr>
        <w:pStyle w:val="Heading3"/>
      </w:pPr>
      <w:r>
        <w:t xml:space="preserve">Field priority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Meaning</w:t>
            </w:r>
          </w:p>
        </w:tc>
        <w:tc>
          <w:tcPr/>
          <w:p>
            <w:pPr>
              <w:pStyle w:val="Compact"/>
            </w:pPr>
            <w:r>
              <w:t xml:space="preserve">Consequence</w:t>
            </w:r>
          </w:p>
        </w:tc>
      </w:tr>
      <w:tr>
        <w:tc>
          <w:tcPr/>
          <w:p>
            <w:pPr>
              <w:pStyle w:val="Compact"/>
            </w:pPr>
            <w:r>
              <w:t xml:space="preserve">Essential</w:t>
            </w:r>
          </w:p>
        </w:tc>
        <w:tc>
          <w:tcPr/>
          <w:p>
            <w:pPr>
              <w:pStyle w:val="Compact"/>
            </w:pPr>
            <w:r>
              <w:t xml:space="preserve">Must exist, or be derivable, for the surface to work as intended</w:t>
            </w:r>
          </w:p>
        </w:tc>
        <w:tc>
          <w:tcPr/>
          <w:p>
            <w:pPr>
              <w:pStyle w:val="Compact"/>
            </w:pPr>
            <w:r>
              <w:t xml:space="preserve">Missing essentials downgrades a record to a weaker surface or suppresses a module</w:t>
            </w:r>
          </w:p>
        </w:tc>
      </w:tr>
      <w:tr>
        <w:tc>
          <w:tcPr/>
          <w:p>
            <w:pPr>
              <w:pStyle w:val="Compact"/>
            </w:pPr>
            <w:r>
              <w:t xml:space="preserve">Core</w:t>
            </w:r>
          </w:p>
        </w:tc>
        <w:tc>
          <w:tcPr/>
          <w:p>
            <w:pPr>
              <w:pStyle w:val="Compact"/>
            </w:pPr>
            <w:r>
              <w:t xml:space="preserve">High research value and normally shown on the first surface when known</w:t>
            </w:r>
          </w:p>
        </w:tc>
        <w:tc>
          <w:tcPr/>
          <w:p>
            <w:pPr>
              <w:pStyle w:val="Compact"/>
            </w:pPr>
            <w:r>
              <w:t xml:space="preserve">Contributes strongly to the main-sheet threshold</w:t>
            </w:r>
          </w:p>
        </w:tc>
      </w:tr>
      <w:tr>
        <w:tc>
          <w:tcPr/>
          <w:p>
            <w:pPr>
              <w:pStyle w:val="Compact"/>
            </w:pPr>
            <w:r>
              <w:t xml:space="preserve">Conditional</w:t>
            </w:r>
          </w:p>
        </w:tc>
        <w:tc>
          <w:tcPr/>
          <w:p>
            <w:pPr>
              <w:pStyle w:val="Compact"/>
            </w:pPr>
            <w:r>
              <w:t xml:space="preserve">Evidence-led, source-specific, or too long for the first surface</w:t>
            </w:r>
          </w:p>
        </w:tc>
        <w:tc>
          <w:tcPr/>
          <w:p>
            <w:pPr>
              <w:pStyle w:val="Compact"/>
            </w:pPr>
            <w:r>
              <w:t xml:space="preserve">Moves to appendix or appears only when present</w:t>
            </w:r>
          </w:p>
        </w:tc>
      </w:tr>
    </w:tbl>
    <w:p>
      <w:pPr>
        <w:pStyle w:val="BodyText"/>
      </w:pPr>
      <w:r>
        <w:t xml:space="preserve">A useful rights-aware refinement is to distinguish</w:t>
      </w:r>
      <w:r>
        <w:t xml:space="preserve"> </w:t>
      </w:r>
      <w:r>
        <w:rPr>
          <w:b/>
          <w:bCs/>
        </w:rPr>
        <w:t xml:space="preserve">record/metadata rights</w:t>
      </w:r>
      <w:r>
        <w:t xml:space="preserve"> </w:t>
      </w:r>
      <w:r>
        <w:t xml:space="preserve">from</w:t>
      </w:r>
      <w:r>
        <w:t xml:space="preserve"> </w:t>
      </w:r>
      <w:r>
        <w:rPr>
          <w:b/>
          <w:bCs/>
        </w:rPr>
        <w:t xml:space="preserve">media rights</w:t>
      </w:r>
      <w:r>
        <w:t xml:space="preserve">. DACS has a minimum element for rights statements about the archival description itself, while RightsStatements.org and Europeana focus on the digital object users see and reuse online. Your rights stamp should therefore have two lines when possible: one for the descriptive record or metadata license, and one for the media/rights state.</w:t>
      </w:r>
      <w:r>
        <w:t xml:space="preserve"> </w:t>
      </w:r>
      <w:hyperlink r:id="rId29">
        <w:r>
          <w:rPr>
            <w:rStyle w:val="Hyperlink"/>
          </w:rPr>
          <w:t xml:space="preserve">[8]</w:t>
        </w:r>
      </w:hyperlink>
    </w:p>
    <w:bookmarkEnd w:id="30"/>
    <w:bookmarkStart w:id="32" w:name="X68b40b9f3f09f4e99db5a77e452419f864c08f4"/>
    <w:p>
      <w:pPr>
        <w:pStyle w:val="Heading3"/>
      </w:pPr>
      <w:r>
        <w:t xml:space="preserve">Required layout elements across the whole interface</w:t>
      </w:r>
    </w:p>
    <w:p>
      <w:pPr>
        <w:pStyle w:val="FirstParagraph"/>
      </w:pPr>
      <w:r>
        <w:t xml:space="preserve">The following modules synthesize archival finding aids, card catalogs, museum object pages, rights-aware collection interfaces, and standards-manual discipline into one interface kit.</w:t>
      </w:r>
      <w:r>
        <w:t xml:space="preserve"> </w:t>
      </w:r>
      <w:hyperlink r:id="rId31">
        <w:r>
          <w:rPr>
            <w:rStyle w:val="Hyperlink"/>
          </w:rPr>
          <w:t xml:space="preserve">[9]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Purpose</w:t>
            </w:r>
          </w:p>
        </w:tc>
        <w:tc>
          <w:tcPr/>
          <w:p>
            <w:pPr>
              <w:pStyle w:val="Compact"/>
            </w:pPr>
            <w:r>
              <w:t xml:space="preserve">Typical surfaces</w:t>
            </w:r>
          </w:p>
        </w:tc>
        <w:tc>
          <w:tcPr/>
          <w:p>
            <w:pPr>
              <w:pStyle w:val="Compact"/>
            </w:pPr>
            <w:r>
              <w:t xml:space="preserve">Template status</w:t>
            </w:r>
          </w:p>
        </w:tc>
      </w:tr>
      <w:tr>
        <w:tc>
          <w:tcPr/>
          <w:p>
            <w:pPr>
              <w:pStyle w:val="Compact"/>
            </w:pPr>
            <w:r>
              <w:t xml:space="preserve">Archive box shell</w:t>
            </w:r>
          </w:p>
        </w:tc>
        <w:tc>
          <w:tcPr/>
          <w:p>
            <w:pPr>
              <w:pStyle w:val="Compact"/>
            </w:pPr>
            <w:r>
              <w:t xml:space="preserve">Persistent outer frame for the whole archive-index; holds folder-type entry points, search, and global counts</w:t>
            </w:r>
          </w:p>
        </w:tc>
        <w:tc>
          <w:tcPr/>
          <w:p>
            <w:pPr>
              <w:pStyle w:val="Compact"/>
            </w:pPr>
            <w:r>
              <w:t xml:space="preserve">Box home, folder entry</w:t>
            </w:r>
          </w:p>
        </w:tc>
        <w:tc>
          <w:tcPr/>
          <w:p>
            <w:pPr>
              <w:pStyle w:val="Compact"/>
            </w:pPr>
            <w:r>
              <w:t xml:space="preserve">Fixed</w:t>
            </w:r>
          </w:p>
        </w:tc>
      </w:tr>
      <w:tr>
        <w:tc>
          <w:tcPr/>
          <w:p>
            <w:pPr>
              <w:pStyle w:val="Compact"/>
            </w:pPr>
            <w:r>
              <w:t xml:space="preserve">Folder tab</w:t>
            </w:r>
          </w:p>
        </w:tc>
        <w:tc>
          <w:tcPr/>
          <w:p>
            <w:pPr>
              <w:pStyle w:val="Compact"/>
            </w:pPr>
            <w:r>
              <w:t xml:space="preserve">Shows folder type through color, code, and shape</w:t>
            </w:r>
          </w:p>
        </w:tc>
        <w:tc>
          <w:tcPr/>
          <w:p>
            <w:pPr>
              <w:pStyle w:val="Compact"/>
            </w:pPr>
            <w:r>
              <w:t xml:space="preserve">Folder lists, covers, dividers</w:t>
            </w:r>
          </w:p>
        </w:tc>
        <w:tc>
          <w:tcPr/>
          <w:p>
            <w:pPr>
              <w:pStyle w:val="Compact"/>
            </w:pPr>
            <w:r>
              <w:t xml:space="preserve">Fixed geometry, variable label</w:t>
            </w:r>
          </w:p>
        </w:tc>
      </w:tr>
      <w:tr>
        <w:tc>
          <w:tcPr/>
          <w:p>
            <w:pPr>
              <w:pStyle w:val="Compact"/>
            </w:pPr>
            <w:r>
              <w:t xml:space="preserve">Folder cover</w:t>
            </w:r>
          </w:p>
        </w:tc>
        <w:tc>
          <w:tcPr/>
          <w:p>
            <w:pPr>
              <w:pStyle w:val="Compact"/>
            </w:pPr>
            <w:r>
              <w:t xml:space="preserve">Overview page for a folder before the user enters the chronology stream</w:t>
            </w:r>
          </w:p>
        </w:tc>
        <w:tc>
          <w:tcPr/>
          <w:p>
            <w:pPr>
              <w:pStyle w:val="Compact"/>
            </w:pPr>
            <w:r>
              <w:t xml:space="preserve">Folder root</w:t>
            </w:r>
          </w:p>
        </w:tc>
        <w:tc>
          <w:tcPr/>
          <w:p>
            <w:pPr>
              <w:pStyle w:val="Compact"/>
            </w:pPr>
            <w:r>
              <w:t xml:space="preserve">Fixed</w:t>
            </w:r>
          </w:p>
        </w:tc>
      </w:tr>
      <w:tr>
        <w:tc>
          <w:tcPr/>
          <w:p>
            <w:pPr>
              <w:pStyle w:val="Compact"/>
            </w:pPr>
            <w:r>
              <w:t xml:space="preserve">Chronological divider</w:t>
            </w:r>
          </w:p>
        </w:tc>
        <w:tc>
          <w:tcPr/>
          <w:p>
            <w:pPr>
              <w:pStyle w:val="Compact"/>
            </w:pPr>
            <w:r>
              <w:t xml:space="preserve">Separates the stream by year/decade/date span without creating a time “container”</w:t>
            </w:r>
          </w:p>
        </w:tc>
        <w:tc>
          <w:tcPr/>
          <w:p>
            <w:pPr>
              <w:pStyle w:val="Compact"/>
            </w:pPr>
            <w:r>
              <w:t xml:space="preserve">Folder interior</w:t>
            </w:r>
          </w:p>
        </w:tc>
        <w:tc>
          <w:tcPr/>
          <w:p>
            <w:pPr>
              <w:pStyle w:val="Compact"/>
            </w:pPr>
            <w:r>
              <w:t xml:space="preserve">Fixed strip, variable date label</w:t>
            </w:r>
          </w:p>
        </w:tc>
      </w:tr>
      <w:tr>
        <w:tc>
          <w:tcPr/>
          <w:p>
            <w:pPr>
              <w:pStyle w:val="Compact"/>
            </w:pPr>
            <w:r>
              <w:t xml:space="preserve">Binder margin</w:t>
            </w:r>
          </w:p>
        </w:tc>
        <w:tc>
          <w:tcPr/>
          <w:p>
            <w:pPr>
              <w:pStyle w:val="Compact"/>
            </w:pPr>
            <w:r>
              <w:t xml:space="preserve">Left-side non-content margin with punch-hole motif, page tabs, and appendix navigation</w:t>
            </w:r>
          </w:p>
        </w:tc>
        <w:tc>
          <w:tcPr/>
          <w:p>
            <w:pPr>
              <w:pStyle w:val="Compact"/>
            </w:pPr>
            <w:r>
              <w:t xml:space="preserve">Sheets, appendices</w:t>
            </w:r>
          </w:p>
        </w:tc>
        <w:tc>
          <w:tcPr/>
          <w:p>
            <w:pPr>
              <w:pStyle w:val="Compact"/>
            </w:pPr>
            <w:r>
              <w:t xml:space="preserve">Fixed</w:t>
            </w:r>
          </w:p>
        </w:tc>
      </w:tr>
      <w:tr>
        <w:tc>
          <w:tcPr/>
          <w:p>
            <w:pPr>
              <w:pStyle w:val="Compact"/>
            </w:pPr>
            <w:r>
              <w:t xml:space="preserve">Sheet ID corner</w:t>
            </w:r>
          </w:p>
        </w:tc>
        <w:tc>
          <w:tcPr/>
          <w:p>
            <w:pPr>
              <w:pStyle w:val="Compact"/>
            </w:pPr>
            <w:r>
              <w:t xml:space="preserve">Short visible display ID and surface type code</w:t>
            </w:r>
          </w:p>
        </w:tc>
        <w:tc>
          <w:tcPr/>
          <w:p>
            <w:pPr>
              <w:pStyle w:val="Compact"/>
            </w:pPr>
            <w:r>
              <w:t xml:space="preserve">Sheets, cards, stubs</w:t>
            </w:r>
          </w:p>
        </w:tc>
        <w:tc>
          <w:tcPr/>
          <w:p>
            <w:pPr>
              <w:pStyle w:val="Compact"/>
            </w:pPr>
            <w:r>
              <w:t xml:space="preserve">Fixed position</w:t>
            </w:r>
          </w:p>
        </w:tc>
      </w:tr>
      <w:tr>
        <w:tc>
          <w:tcPr/>
          <w:p>
            <w:pPr>
              <w:pStyle w:val="Compact"/>
            </w:pPr>
            <w:r>
              <w:t xml:space="preserve">Rights stamp</w:t>
            </w:r>
          </w:p>
        </w:tc>
        <w:tc>
          <w:tcPr/>
          <w:p>
            <w:pPr>
              <w:pStyle w:val="Compact"/>
            </w:pPr>
            <w:r>
              <w:t xml:space="preserve">Visible media-rights / record-rights / review status block</w:t>
            </w:r>
          </w:p>
        </w:tc>
        <w:tc>
          <w:tcPr/>
          <w:p>
            <w:pPr>
              <w:pStyle w:val="Compact"/>
            </w:pPr>
            <w:r>
              <w:t xml:space="preserve">Covers, sheets, cards, stubs</w:t>
            </w:r>
          </w:p>
        </w:tc>
        <w:tc>
          <w:tcPr/>
          <w:p>
            <w:pPr>
              <w:pStyle w:val="Compact"/>
            </w:pPr>
            <w:r>
              <w:t xml:space="preserve">Fixed block</w:t>
            </w:r>
          </w:p>
        </w:tc>
      </w:tr>
      <w:tr>
        <w:tc>
          <w:tcPr/>
          <w:p>
            <w:pPr>
              <w:pStyle w:val="Compact"/>
            </w:pPr>
            <w:r>
              <w:t xml:space="preserve">Source return action</w:t>
            </w:r>
          </w:p>
        </w:tc>
        <w:tc>
          <w:tcPr/>
          <w:p>
            <w:pPr>
              <w:pStyle w:val="Compact"/>
            </w:pPr>
            <w:r>
              <w:t xml:space="preserve">Primary outbound action back to provider/source page</w:t>
            </w:r>
          </w:p>
        </w:tc>
        <w:tc>
          <w:tcPr/>
          <w:p>
            <w:pPr>
              <w:pStyle w:val="Compact"/>
            </w:pPr>
            <w:r>
              <w:t xml:space="preserve">Sheets, cards, stubs, appendices</w:t>
            </w:r>
          </w:p>
        </w:tc>
        <w:tc>
          <w:tcPr/>
          <w:p>
            <w:pPr>
              <w:pStyle w:val="Compact"/>
            </w:pPr>
            <w:r>
              <w:t xml:space="preserve">Fixed action slot</w:t>
            </w:r>
          </w:p>
        </w:tc>
      </w:tr>
      <w:tr>
        <w:tc>
          <w:tcPr/>
          <w:p>
            <w:pPr>
              <w:pStyle w:val="Compact"/>
            </w:pPr>
            <w:r>
              <w:t xml:space="preserve">IMG zone</w:t>
            </w:r>
          </w:p>
        </w:tc>
        <w:tc>
          <w:tcPr/>
          <w:p>
            <w:pPr>
              <w:pStyle w:val="Compact"/>
            </w:pPr>
            <w:r>
              <w:t xml:space="preserve">Stable media bay with state-dependent behavior</w:t>
            </w:r>
          </w:p>
        </w:tc>
        <w:tc>
          <w:tcPr/>
          <w:p>
            <w:pPr>
              <w:pStyle w:val="Compact"/>
            </w:pPr>
            <w:r>
              <w:t xml:space="preserve">Sheets, cards</w:t>
            </w:r>
          </w:p>
        </w:tc>
        <w:tc>
          <w:tcPr/>
          <w:p>
            <w:pPr>
              <w:pStyle w:val="Compact"/>
            </w:pPr>
            <w:r>
              <w:t xml:space="preserve">Fixed slot</w:t>
            </w:r>
          </w:p>
        </w:tc>
      </w:tr>
      <w:tr>
        <w:tc>
          <w:tcPr/>
          <w:p>
            <w:pPr>
              <w:pStyle w:val="Compact"/>
            </w:pPr>
            <w:r>
              <w:t xml:space="preserve">Metadata table</w:t>
            </w:r>
          </w:p>
        </w:tc>
        <w:tc>
          <w:tcPr/>
          <w:p>
            <w:pPr>
              <w:pStyle w:val="Compact"/>
            </w:pPr>
            <w:r>
              <w:t xml:space="preserve">Tombstone-style normalized facts</w:t>
            </w:r>
          </w:p>
        </w:tc>
        <w:tc>
          <w:tcPr/>
          <w:p>
            <w:pPr>
              <w:pStyle w:val="Compact"/>
            </w:pPr>
            <w:r>
              <w:t xml:space="preserve">Sheets, appendices</w:t>
            </w:r>
          </w:p>
        </w:tc>
        <w:tc>
          <w:tcPr/>
          <w:p>
            <w:pPr>
              <w:pStyle w:val="Compact"/>
            </w:pPr>
            <w:r>
              <w:t xml:space="preserve">Fixed labels</w:t>
            </w:r>
          </w:p>
        </w:tc>
      </w:tr>
      <w:tr>
        <w:tc>
          <w:tcPr/>
          <w:p>
            <w:pPr>
              <w:pStyle w:val="Compact"/>
            </w:pPr>
            <w:r>
              <w:t xml:space="preserve">Classification table</w:t>
            </w:r>
          </w:p>
        </w:tc>
        <w:tc>
          <w:tcPr/>
          <w:p>
            <w:pPr>
              <w:pStyle w:val="Compact"/>
            </w:pPr>
            <w:r>
              <w:t xml:space="preserve">Record type, controlled subjects, folder memberships, authority links</w:t>
            </w:r>
          </w:p>
        </w:tc>
        <w:tc>
          <w:tcPr/>
          <w:p>
            <w:pPr>
              <w:pStyle w:val="Compact"/>
            </w:pPr>
            <w:r>
              <w:t xml:space="preserve">Sheets, appendices</w:t>
            </w:r>
          </w:p>
        </w:tc>
        <w:tc>
          <w:tcPr/>
          <w:p>
            <w:pPr>
              <w:pStyle w:val="Compact"/>
            </w:pPr>
            <w:r>
              <w:t xml:space="preserve">Fixed labels</w:t>
            </w:r>
          </w:p>
        </w:tc>
      </w:tr>
      <w:tr>
        <w:tc>
          <w:tcPr/>
          <w:p>
            <w:pPr>
              <w:pStyle w:val="Compact"/>
            </w:pPr>
            <w:r>
              <w:t xml:space="preserve">Relation table</w:t>
            </w:r>
          </w:p>
        </w:tc>
        <w:tc>
          <w:tcPr/>
          <w:p>
            <w:pPr>
              <w:pStyle w:val="Compact"/>
            </w:pPr>
            <w:r>
              <w:t xml:space="preserve">Parent-child, related works, related records, source relationships</w:t>
            </w:r>
          </w:p>
        </w:tc>
        <w:tc>
          <w:tcPr/>
          <w:p>
            <w:pPr>
              <w:pStyle w:val="Compact"/>
            </w:pPr>
            <w:r>
              <w:t xml:space="preserve">Sheets, appendices</w:t>
            </w:r>
          </w:p>
        </w:tc>
        <w:tc>
          <w:tcPr/>
          <w:p>
            <w:pPr>
              <w:pStyle w:val="Compact"/>
            </w:pPr>
            <w:r>
              <w:t xml:space="preserve">Fixed labels</w:t>
            </w:r>
          </w:p>
        </w:tc>
      </w:tr>
      <w:tr>
        <w:tc>
          <w:tcPr/>
          <w:p>
            <w:pPr>
              <w:pStyle w:val="Compact"/>
            </w:pPr>
            <w:r>
              <w:t xml:space="preserve">Citation block</w:t>
            </w:r>
          </w:p>
        </w:tc>
        <w:tc>
          <w:tcPr/>
          <w:p>
            <w:pPr>
              <w:pStyle w:val="Compact"/>
            </w:pPr>
            <w:r>
              <w:t xml:space="preserve">Preferred citation plus source citation</w:t>
            </w:r>
          </w:p>
        </w:tc>
        <w:tc>
          <w:tcPr/>
          <w:p>
            <w:pPr>
              <w:pStyle w:val="Compact"/>
            </w:pPr>
            <w:r>
              <w:t xml:space="preserve">Sheets, cards, appendices</w:t>
            </w:r>
          </w:p>
        </w:tc>
        <w:tc>
          <w:tcPr/>
          <w:p>
            <w:pPr>
              <w:pStyle w:val="Compact"/>
            </w:pPr>
            <w:r>
              <w:t xml:space="preserve">Fixed footer block</w:t>
            </w:r>
          </w:p>
        </w:tc>
      </w:tr>
      <w:tr>
        <w:tc>
          <w:tcPr/>
          <w:p>
            <w:pPr>
              <w:pStyle w:val="Compact"/>
            </w:pPr>
            <w:r>
              <w:t xml:space="preserve">Appendix marker</w:t>
            </w:r>
          </w:p>
        </w:tc>
        <w:tc>
          <w:tcPr/>
          <w:p>
            <w:pPr>
              <w:pStyle w:val="Compact"/>
            </w:pPr>
            <w:r>
              <w:t xml:space="preserve">Shows appendix existence and ordering</w:t>
            </w:r>
          </w:p>
        </w:tc>
        <w:tc>
          <w:tcPr/>
          <w:p>
            <w:pPr>
              <w:pStyle w:val="Compact"/>
            </w:pPr>
            <w:r>
              <w:t xml:space="preserve">Sheets, appendices</w:t>
            </w:r>
          </w:p>
        </w:tc>
        <w:tc>
          <w:tcPr/>
          <w:p>
            <w:pPr>
              <w:pStyle w:val="Compact"/>
            </w:pPr>
            <w:r>
              <w:t xml:space="preserve">Fixed marker system</w:t>
            </w:r>
          </w:p>
        </w:tc>
      </w:tr>
      <w:tr>
        <w:tc>
          <w:tcPr/>
          <w:p>
            <w:pPr>
              <w:pStyle w:val="Compact"/>
            </w:pPr>
            <w:r>
              <w:t xml:space="preserve">Uncertainty strip</w:t>
            </w:r>
          </w:p>
        </w:tc>
        <w:tc>
          <w:tcPr/>
          <w:p>
            <w:pPr>
              <w:pStyle w:val="Compact"/>
            </w:pPr>
            <w:r>
              <w:t xml:space="preserve">Visible unresolved issues such as approximate date, uncertain attribution, rights not evaluated</w:t>
            </w:r>
          </w:p>
        </w:tc>
        <w:tc>
          <w:tcPr/>
          <w:p>
            <w:pPr>
              <w:pStyle w:val="Compact"/>
            </w:pPr>
            <w:r>
              <w:t xml:space="preserve">Sheets, cards, stubs</w:t>
            </w:r>
          </w:p>
        </w:tc>
        <w:tc>
          <w:tcPr/>
          <w:p>
            <w:pPr>
              <w:pStyle w:val="Compact"/>
            </w:pPr>
            <w:r>
              <w:t xml:space="preserve">Fixed strip</w:t>
            </w:r>
          </w:p>
        </w:tc>
      </w:tr>
      <w:tr>
        <w:tc>
          <w:tcPr/>
          <w:p>
            <w:pPr>
              <w:pStyle w:val="Compact"/>
            </w:pPr>
            <w:r>
              <w:t xml:space="preserve">Registration log</w:t>
            </w:r>
          </w:p>
        </w:tc>
        <w:tc>
          <w:tcPr/>
          <w:p>
            <w:pPr>
              <w:pStyle w:val="Compact"/>
            </w:pPr>
            <w:r>
              <w:t xml:space="preserve">Create/revise/verify history and last-change facts</w:t>
            </w:r>
          </w:p>
        </w:tc>
        <w:tc>
          <w:tcPr/>
          <w:p>
            <w:pPr>
              <w:pStyle w:val="Compact"/>
            </w:pPr>
            <w:r>
              <w:t xml:space="preserve">Sheets, appendices</w:t>
            </w:r>
          </w:p>
        </w:tc>
        <w:tc>
          <w:tcPr/>
          <w:p>
            <w:pPr>
              <w:pStyle w:val="Compact"/>
            </w:pPr>
            <w:r>
              <w:t xml:space="preserve">Fixed footer or appendix</w:t>
            </w:r>
          </w:p>
        </w:tc>
      </w:tr>
      <w:tr>
        <w:tc>
          <w:tcPr/>
          <w:p>
            <w:pPr>
              <w:pStyle w:val="Compact"/>
            </w:pPr>
            <w:r>
              <w:t xml:space="preserve">Card stack</w:t>
            </w:r>
          </w:p>
        </w:tc>
        <w:tc>
          <w:tcPr/>
          <w:p>
            <w:pPr>
              <w:pStyle w:val="Compact"/>
            </w:pPr>
            <w:r>
              <w:t xml:space="preserve">Compact record stream for below-threshold items</w:t>
            </w:r>
          </w:p>
        </w:tc>
        <w:tc>
          <w:tcPr/>
          <w:p>
            <w:pPr>
              <w:pStyle w:val="Compact"/>
            </w:pPr>
            <w:r>
              <w:t xml:space="preserve">Folder stream, compound sheets</w:t>
            </w:r>
          </w:p>
        </w:tc>
        <w:tc>
          <w:tcPr/>
          <w:p>
            <w:pPr>
              <w:pStyle w:val="Compact"/>
            </w:pPr>
            <w:r>
              <w:t xml:space="preserve">Fixed template</w:t>
            </w:r>
          </w:p>
        </w:tc>
      </w:tr>
      <w:tr>
        <w:tc>
          <w:tcPr/>
          <w:p>
            <w:pPr>
              <w:pStyle w:val="Compact"/>
            </w:pPr>
            <w:r>
              <w:t xml:space="preserve">Bookmark and reading guide</w:t>
            </w:r>
          </w:p>
        </w:tc>
        <w:tc>
          <w:tcPr/>
          <w:p>
            <w:pPr>
              <w:pStyle w:val="Compact"/>
            </w:pPr>
            <w:r>
              <w:t xml:space="preserve">Current location path plus canonical link/share/bookmark state</w:t>
            </w:r>
          </w:p>
        </w:tc>
        <w:tc>
          <w:tcPr/>
          <w:p>
            <w:pPr>
              <w:pStyle w:val="Compact"/>
            </w:pPr>
            <w:r>
              <w:t xml:space="preserve">Covers, sheets, appendices</w:t>
            </w:r>
          </w:p>
        </w:tc>
        <w:tc>
          <w:tcPr/>
          <w:p>
            <w:pPr>
              <w:pStyle w:val="Compact"/>
            </w:pPr>
            <w:r>
              <w:t xml:space="preserve">Fixed margin module</w:t>
            </w:r>
          </w:p>
        </w:tc>
      </w:tr>
    </w:tbl>
    <w:p>
      <w:pPr>
        <w:pStyle w:val="BodyText"/>
      </w:pPr>
      <w:r>
        <w:t xml:space="preserve">The load-bearing idea here is that identifiers, rights, source-return, and revision history are not “advanced metadata”; they are structural chrome. That is the part most directly inherited from DACS minimum elements, Library of Congress record pages, RightsStatements/Europeana display practice, and Getty cataloging-history guidance.</w:t>
      </w:r>
      <w:r>
        <w:t xml:space="preserve"> </w:t>
      </w:r>
      <w:hyperlink r:id="rId24">
        <w:r>
          <w:rPr>
            <w:rStyle w:val="Hyperlink"/>
          </w:rPr>
          <w:t xml:space="preserve">[10]</w:t>
        </w:r>
      </w:hyperlink>
    </w:p>
    <w:bookmarkEnd w:id="32"/>
    <w:bookmarkStart w:id="33" w:name="layout-modules"/>
    <w:p>
      <w:pPr>
        <w:pStyle w:val="Heading3"/>
      </w:pPr>
      <w:r>
        <w:t xml:space="preserve">Layout modules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Template</w:t>
            </w:r>
          </w:p>
        </w:tc>
        <w:tc>
          <w:tcPr/>
          <w:p>
            <w:pPr>
              <w:pStyle w:val="Compact"/>
            </w:pPr>
            <w:r>
              <w:t xml:space="preserve">Use</w:t>
            </w:r>
          </w:p>
        </w:tc>
        <w:tc>
          <w:tcPr/>
          <w:p>
            <w:pPr>
              <w:pStyle w:val="Compact"/>
            </w:pPr>
            <w:r>
              <w:t xml:space="preserve">Fixed zones</w:t>
            </w:r>
          </w:p>
        </w:tc>
        <w:tc>
          <w:tcPr/>
          <w:p>
            <w:pPr>
              <w:pStyle w:val="Compact"/>
            </w:pPr>
            <w:r>
              <w:t xml:space="preserve">Variable content</w:t>
            </w:r>
          </w:p>
        </w:tc>
      </w:tr>
      <w:tr>
        <w:tc>
          <w:tcPr/>
          <w:p>
            <w:pPr>
              <w:pStyle w:val="Compact"/>
            </w:pPr>
            <w:r>
              <w:t xml:space="preserve">Box shell</w:t>
            </w:r>
          </w:p>
        </w:tc>
        <w:tc>
          <w:tcPr/>
          <w:p>
            <w:pPr>
              <w:pStyle w:val="Compact"/>
            </w:pPr>
            <w:r>
              <w:t xml:space="preserve">Global entry and orientation</w:t>
            </w:r>
          </w:p>
        </w:tc>
        <w:tc>
          <w:tcPr/>
          <w:p>
            <w:pPr>
              <w:pStyle w:val="Compact"/>
            </w:pPr>
            <w:r>
              <w:t xml:space="preserve">box title area, folder-type rail, search, unassigned tray</w:t>
            </w:r>
          </w:p>
        </w:tc>
        <w:tc>
          <w:tcPr/>
          <w:p>
            <w:pPr>
              <w:pStyle w:val="Compact"/>
            </w:pPr>
            <w:r>
              <w:t xml:space="preserve">counts, featured folders, recent bookmarks</w:t>
            </w:r>
          </w:p>
        </w:tc>
      </w:tr>
      <w:tr>
        <w:tc>
          <w:tcPr/>
          <w:p>
            <w:pPr>
              <w:pStyle w:val="Compact"/>
            </w:pPr>
            <w:r>
              <w:t xml:space="preserve">Folder cover</w:t>
            </w:r>
          </w:p>
        </w:tc>
        <w:tc>
          <w:tcPr/>
          <w:p>
            <w:pPr>
              <w:pStyle w:val="Compact"/>
            </w:pPr>
            <w:r>
              <w:t xml:space="preserve">Folder overview and index</w:t>
            </w:r>
          </w:p>
        </w:tc>
        <w:tc>
          <w:tcPr/>
          <w:p>
            <w:pPr>
              <w:pStyle w:val="Compact"/>
            </w:pPr>
            <w:r>
              <w:t xml:space="preserve">tab zone, title block, count panel, scope note area, chronology index, related-folder rail</w:t>
            </w:r>
          </w:p>
        </w:tc>
        <w:tc>
          <w:tcPr/>
          <w:p>
            <w:pPr>
              <w:pStyle w:val="Compact"/>
            </w:pPr>
            <w:r>
              <w:t xml:space="preserve">title, scope note, counts, date span, distribution charts</w:t>
            </w:r>
          </w:p>
        </w:tc>
      </w:tr>
      <w:tr>
        <w:tc>
          <w:tcPr/>
          <w:p>
            <w:pPr>
              <w:pStyle w:val="Compact"/>
            </w:pPr>
            <w:r>
              <w:t xml:space="preserve">Chronology strip</w:t>
            </w:r>
          </w:p>
        </w:tc>
        <w:tc>
          <w:tcPr/>
          <w:p>
            <w:pPr>
              <w:pStyle w:val="Compact"/>
            </w:pPr>
            <w:r>
              <w:t xml:space="preserve">In-folder navigation</w:t>
            </w:r>
          </w:p>
        </w:tc>
        <w:tc>
          <w:tcPr/>
          <w:p>
            <w:pPr>
              <w:pStyle w:val="Compact"/>
            </w:pPr>
            <w:r>
              <w:t xml:space="preserve">date label lane, count lane, state markers</w:t>
            </w:r>
          </w:p>
        </w:tc>
        <w:tc>
          <w:tcPr/>
          <w:p>
            <w:pPr>
              <w:pStyle w:val="Compact"/>
            </w:pPr>
            <w:r>
              <w:t xml:space="preserve">year, decade, uncertain-range text, counts</w:t>
            </w:r>
          </w:p>
        </w:tc>
      </w:tr>
      <w:tr>
        <w:tc>
          <w:tcPr/>
          <w:p>
            <w:pPr>
              <w:pStyle w:val="Compact"/>
            </w:pPr>
            <w:r>
              <w:t xml:space="preserve">Main sheet</w:t>
            </w:r>
          </w:p>
        </w:tc>
        <w:tc>
          <w:tcPr/>
          <w:p>
            <w:pPr>
              <w:pStyle w:val="Compact"/>
            </w:pPr>
            <w:r>
              <w:t xml:space="preserve">Canonical record page</w:t>
            </w:r>
          </w:p>
        </w:tc>
        <w:tc>
          <w:tcPr/>
          <w:p>
            <w:pPr>
              <w:pStyle w:val="Compact"/>
            </w:pPr>
            <w:r>
              <w:t xml:space="preserve">ID corner, header band, IMG bay, metadata band, footer controls</w:t>
            </w:r>
          </w:p>
        </w:tc>
        <w:tc>
          <w:tcPr/>
          <w:p>
            <w:pPr>
              <w:pStyle w:val="Compact"/>
            </w:pPr>
            <w:r>
              <w:t xml:space="preserve">record content</w:t>
            </w:r>
          </w:p>
        </w:tc>
      </w:tr>
      <w:tr>
        <w:tc>
          <w:tcPr/>
          <w:p>
            <w:pPr>
              <w:pStyle w:val="Compact"/>
            </w:pPr>
            <w:r>
              <w:t xml:space="preserve">Appendix page</w:t>
            </w:r>
          </w:p>
        </w:tc>
        <w:tc>
          <w:tcPr/>
          <w:p>
            <w:pPr>
              <w:pStyle w:val="Compact"/>
            </w:pPr>
            <w:r>
              <w:t xml:space="preserve">Overflow evidence and long-form support</w:t>
            </w:r>
          </w:p>
        </w:tc>
        <w:tc>
          <w:tcPr/>
          <w:p>
            <w:pPr>
              <w:pStyle w:val="Compact"/>
            </w:pPr>
            <w:r>
              <w:t xml:space="preserve">appendix code strip, body well, table/text modules, footer source/citation</w:t>
            </w:r>
          </w:p>
        </w:tc>
        <w:tc>
          <w:tcPr/>
          <w:p>
            <w:pPr>
              <w:pStyle w:val="Compact"/>
            </w:pPr>
            <w:r>
              <w:t xml:space="preserve">citations, provenance, transcripts, raw metadata</w:t>
            </w:r>
          </w:p>
        </w:tc>
      </w:tr>
      <w:tr>
        <w:tc>
          <w:tcPr/>
          <w:p>
            <w:pPr>
              <w:pStyle w:val="Compact"/>
            </w:pPr>
            <w:r>
              <w:t xml:space="preserve">Card</w:t>
            </w:r>
          </w:p>
        </w:tc>
        <w:tc>
          <w:tcPr/>
          <w:p>
            <w:pPr>
              <w:pStyle w:val="Compact"/>
            </w:pPr>
            <w:r>
              <w:t xml:space="preserve">Minimal stable record surface</w:t>
            </w:r>
          </w:p>
        </w:tc>
        <w:tc>
          <w:tcPr/>
          <w:p>
            <w:pPr>
              <w:pStyle w:val="Compact"/>
            </w:pPr>
            <w:r>
              <w:t xml:space="preserve">header, facts band, action strip</w:t>
            </w:r>
          </w:p>
        </w:tc>
        <w:tc>
          <w:tcPr/>
          <w:p>
            <w:pPr>
              <w:pStyle w:val="Compact"/>
            </w:pPr>
            <w:r>
              <w:t xml:space="preserve">short label, source, date, reason</w:t>
            </w:r>
          </w:p>
        </w:tc>
      </w:tr>
      <w:tr>
        <w:tc>
          <w:tcPr/>
          <w:p>
            <w:pPr>
              <w:pStyle w:val="Compact"/>
            </w:pPr>
            <w:r>
              <w:t xml:space="preserve">Stub</w:t>
            </w:r>
          </w:p>
        </w:tc>
        <w:tc>
          <w:tcPr/>
          <w:p>
            <w:pPr>
              <w:pStyle w:val="Compact"/>
            </w:pPr>
            <w:r>
              <w:t xml:space="preserve">Very weak or research-only surface</w:t>
            </w:r>
          </w:p>
        </w:tc>
        <w:tc>
          <w:tcPr/>
          <w:p>
            <w:pPr>
              <w:pStyle w:val="Compact"/>
            </w:pPr>
            <w:r>
              <w:t xml:space="preserve">dashed header, reason panel, source/action strip</w:t>
            </w:r>
          </w:p>
        </w:tc>
        <w:tc>
          <w:tcPr/>
          <w:p>
            <w:pPr>
              <w:pStyle w:val="Compact"/>
            </w:pPr>
            <w:r>
              <w:t xml:space="preserve">provisional label, next-action note</w:t>
            </w:r>
          </w:p>
        </w:tc>
      </w:tr>
    </w:tbl>
    <w:bookmarkEnd w:id="33"/>
    <w:bookmarkEnd w:id="34"/>
    <w:bookmarkStart w:id="44" w:name="surface-specifications"/>
    <w:p>
      <w:pPr>
        <w:pStyle w:val="Heading2"/>
      </w:pPr>
      <w:r>
        <w:t xml:space="preserve">Surface specifications</w:t>
      </w:r>
    </w:p>
    <w:bookmarkStart w:id="36" w:name="folder-cover"/>
    <w:p>
      <w:pPr>
        <w:pStyle w:val="Heading3"/>
      </w:pPr>
      <w:r>
        <w:t xml:space="preserve">Folder cover</w:t>
      </w:r>
    </w:p>
    <w:p>
      <w:pPr>
        <w:pStyle w:val="FirstParagraph"/>
      </w:pPr>
      <w:r>
        <w:t xml:space="preserve">A folder cover should behave like a hybrid of a finding-aid overview, an archival register, and a filing plan. Library of Congress and National Library of Australia finding-aid guidance describes collection overviews in terms of scope, content, size, and box/folder headings; DACS adds arrangement and rights/access context; NARA inventories and container lists add appendices, folder lists, and chronological tools. That makes the folder cover the right place for scope, counts, chronology, and related-folder navigation before the user enters the record stream.</w:t>
      </w:r>
      <w:r>
        <w:t xml:space="preserve"> </w:t>
      </w:r>
      <w:hyperlink r:id="rId31">
        <w:r>
          <w:rPr>
            <w:rStyle w:val="Hyperlink"/>
          </w:rPr>
          <w:t xml:space="preserve">[11]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Level</w:t>
            </w:r>
          </w:p>
        </w:tc>
        <w:tc>
          <w:tcPr/>
          <w:p>
            <w:pPr>
              <w:pStyle w:val="Compact"/>
            </w:pPr>
            <w:r>
              <w:t xml:space="preserve">Display rule</w:t>
            </w:r>
          </w:p>
        </w:tc>
      </w:tr>
      <w:tr>
        <w:tc>
          <w:tcPr/>
          <w:p>
            <w:pPr>
              <w:pStyle w:val="Compact"/>
            </w:pPr>
            <w:r>
              <w:t xml:space="preserve">Folder title</w:t>
            </w:r>
          </w:p>
        </w:tc>
        <w:tc>
          <w:tcPr/>
          <w:p>
            <w:pPr>
              <w:pStyle w:val="Compact"/>
            </w:pPr>
            <w:r>
              <w:t xml:space="preserve">Essential</w:t>
            </w:r>
          </w:p>
        </w:tc>
        <w:tc>
          <w:tcPr/>
          <w:p>
            <w:pPr>
              <w:pStyle w:val="Compact"/>
            </w:pPr>
            <w:r>
              <w:t xml:space="preserve">Large title at top of cover</w:t>
            </w:r>
          </w:p>
        </w:tc>
      </w:tr>
      <w:tr>
        <w:tc>
          <w:tcPr/>
          <w:p>
            <w:pPr>
              <w:pStyle w:val="Compact"/>
            </w:pPr>
            <w:r>
              <w:t xml:space="preserve">Folder type</w:t>
            </w:r>
          </w:p>
        </w:tc>
        <w:tc>
          <w:tcPr/>
          <w:p>
            <w:pPr>
              <w:pStyle w:val="Compact"/>
            </w:pPr>
            <w:r>
              <w:t xml:space="preserve">Essential</w:t>
            </w:r>
          </w:p>
        </w:tc>
        <w:tc>
          <w:tcPr/>
          <w:p>
            <w:pPr>
              <w:pStyle w:val="Compact"/>
            </w:pPr>
            <w:r>
              <w:t xml:space="preserve">Explicit text label: Region, Theme, Medium, or Movement</w:t>
            </w:r>
          </w:p>
        </w:tc>
      </w:tr>
      <w:tr>
        <w:tc>
          <w:tcPr/>
          <w:p>
            <w:pPr>
              <w:pStyle w:val="Compact"/>
            </w:pPr>
            <w:r>
              <w:t xml:space="preserve">Folder color and tab code</w:t>
            </w:r>
          </w:p>
        </w:tc>
        <w:tc>
          <w:tcPr/>
          <w:p>
            <w:pPr>
              <w:pStyle w:val="Compact"/>
            </w:pPr>
            <w:r>
              <w:t xml:space="preserve">Essential</w:t>
            </w:r>
          </w:p>
        </w:tc>
        <w:tc>
          <w:tcPr/>
          <w:p>
            <w:pPr>
              <w:pStyle w:val="Compact"/>
            </w:pPr>
            <w:r>
              <w:t xml:space="preserve">Color plus two-letter code and tab shape; color never stands alone</w:t>
            </w:r>
          </w:p>
        </w:tc>
      </w:tr>
      <w:tr>
        <w:tc>
          <w:tcPr/>
          <w:p>
            <w:pPr>
              <w:pStyle w:val="Compact"/>
            </w:pPr>
            <w:r>
              <w:t xml:space="preserve">Date span</w:t>
            </w:r>
          </w:p>
        </w:tc>
        <w:tc>
          <w:tcPr/>
          <w:p>
            <w:pPr>
              <w:pStyle w:val="Compact"/>
            </w:pPr>
            <w:r>
              <w:t xml:space="preserve">Essential</w:t>
            </w:r>
          </w:p>
        </w:tc>
        <w:tc>
          <w:tcPr/>
          <w:p>
            <w:pPr>
              <w:pStyle w:val="Compact"/>
            </w:pPr>
            <w:r>
              <w:t xml:space="preserve">Display span for all records currently appearing in this folder</w:t>
            </w:r>
          </w:p>
        </w:tc>
      </w:tr>
      <w:tr>
        <w:tc>
          <w:tcPr/>
          <w:p>
            <w:pPr>
              <w:pStyle w:val="Compact"/>
            </w:pPr>
            <w:r>
              <w:t xml:space="preserve">Total records</w:t>
            </w:r>
          </w:p>
        </w:tc>
        <w:tc>
          <w:tcPr/>
          <w:p>
            <w:pPr>
              <w:pStyle w:val="Compact"/>
            </w:pPr>
            <w:r>
              <w:t xml:space="preserve">Essential</w:t>
            </w:r>
          </w:p>
        </w:tc>
        <w:tc>
          <w:tcPr/>
          <w:p>
            <w:pPr>
              <w:pStyle w:val="Compact"/>
            </w:pPr>
            <w:r>
              <w:t xml:space="preserve">Distinct record count in this aggregation view</w:t>
            </w:r>
          </w:p>
        </w:tc>
      </w:tr>
      <w:tr>
        <w:tc>
          <w:tcPr/>
          <w:p>
            <w:pPr>
              <w:pStyle w:val="Compact"/>
            </w:pPr>
            <w:r>
              <w:t xml:space="preserve">Main sheet count</w:t>
            </w:r>
          </w:p>
        </w:tc>
        <w:tc>
          <w:tcPr/>
          <w:p>
            <w:pPr>
              <w:pStyle w:val="Compact"/>
            </w:pPr>
            <w:r>
              <w:t xml:space="preserve">Core</w:t>
            </w:r>
          </w:p>
        </w:tc>
        <w:tc>
          <w:tcPr/>
          <w:p>
            <w:pPr>
              <w:pStyle w:val="Compact"/>
            </w:pPr>
            <w:r>
              <w:t xml:space="preserve">Shown as first count in “surface mix” block</w:t>
            </w:r>
          </w:p>
        </w:tc>
      </w:tr>
      <w:tr>
        <w:tc>
          <w:tcPr/>
          <w:p>
            <w:pPr>
              <w:pStyle w:val="Compact"/>
            </w:pPr>
            <w:r>
              <w:t xml:space="preserve">Card count</w:t>
            </w:r>
          </w:p>
        </w:tc>
        <w:tc>
          <w:tcPr/>
          <w:p>
            <w:pPr>
              <w:pStyle w:val="Compact"/>
            </w:pPr>
            <w:r>
              <w:t xml:space="preserve">Core</w:t>
            </w:r>
          </w:p>
        </w:tc>
        <w:tc>
          <w:tcPr/>
          <w:p>
            <w:pPr>
              <w:pStyle w:val="Compact"/>
            </w:pPr>
            <w:r>
              <w:t xml:space="preserve">Shown beside main sheets</w:t>
            </w:r>
          </w:p>
        </w:tc>
      </w:tr>
      <w:tr>
        <w:tc>
          <w:tcPr/>
          <w:p>
            <w:pPr>
              <w:pStyle w:val="Compact"/>
            </w:pPr>
            <w:r>
              <w:t xml:space="preserve">Fallback count</w:t>
            </w:r>
          </w:p>
        </w:tc>
        <w:tc>
          <w:tcPr/>
          <w:p>
            <w:pPr>
              <w:pStyle w:val="Compact"/>
            </w:pPr>
            <w:r>
              <w:t xml:space="preserve">Core</w:t>
            </w:r>
          </w:p>
        </w:tc>
        <w:tc>
          <w:tcPr/>
          <w:p>
            <w:pPr>
              <w:pStyle w:val="Compact"/>
            </w:pPr>
            <w:r>
              <w:t xml:space="preserve">Separate from cards so weak records are visible as a class</w:t>
            </w:r>
          </w:p>
        </w:tc>
      </w:tr>
      <w:tr>
        <w:tc>
          <w:tcPr/>
          <w:p>
            <w:pPr>
              <w:pStyle w:val="Compact"/>
            </w:pPr>
            <w:r>
              <w:t xml:space="preserve">Unassigned and proposed count</w:t>
            </w:r>
          </w:p>
        </w:tc>
        <w:tc>
          <w:tcPr/>
          <w:p>
            <w:pPr>
              <w:pStyle w:val="Compact"/>
            </w:pPr>
            <w:r>
              <w:t xml:space="preserve">Core</w:t>
            </w:r>
          </w:p>
        </w:tc>
        <w:tc>
          <w:tcPr/>
          <w:p>
            <w:pPr>
              <w:pStyle w:val="Compact"/>
            </w:pPr>
            <w:r>
              <w:t xml:space="preserve">Separate count, visually flagged as provisional</w:t>
            </w:r>
          </w:p>
        </w:tc>
      </w:tr>
      <w:tr>
        <w:tc>
          <w:tcPr/>
          <w:p>
            <w:pPr>
              <w:pStyle w:val="Compact"/>
            </w:pPr>
            <w:r>
              <w:t xml:space="preserve">IMG00–IMG04 distribution</w:t>
            </w:r>
          </w:p>
        </w:tc>
        <w:tc>
          <w:tcPr/>
          <w:p>
            <w:pPr>
              <w:pStyle w:val="Compact"/>
            </w:pPr>
            <w:r>
              <w:t xml:space="preserve">Core</w:t>
            </w:r>
          </w:p>
        </w:tc>
        <w:tc>
          <w:tcPr/>
          <w:p>
            <w:pPr>
              <w:pStyle w:val="Compact"/>
            </w:pPr>
            <w:r>
              <w:t xml:space="preserve">Small five-state bar with count labels</w:t>
            </w:r>
          </w:p>
        </w:tc>
      </w:tr>
      <w:tr>
        <w:tc>
          <w:tcPr/>
          <w:p>
            <w:pPr>
              <w:pStyle w:val="Compact"/>
            </w:pPr>
            <w:r>
              <w:t xml:space="preserve">Distinct source count</w:t>
            </w:r>
          </w:p>
        </w:tc>
        <w:tc>
          <w:tcPr/>
          <w:p>
            <w:pPr>
              <w:pStyle w:val="Compact"/>
            </w:pPr>
            <w:r>
              <w:t xml:space="preserve">Core</w:t>
            </w:r>
          </w:p>
        </w:tc>
        <w:tc>
          <w:tcPr/>
          <w:p>
            <w:pPr>
              <w:pStyle w:val="Compact"/>
            </w:pPr>
            <w:r>
              <w:t xml:space="preserve">Count distinct providers or cited record sources</w:t>
            </w:r>
          </w:p>
        </w:tc>
      </w:tr>
      <w:tr>
        <w:tc>
          <w:tcPr/>
          <w:p>
            <w:pPr>
              <w:pStyle w:val="Compact"/>
            </w:pPr>
            <w:r>
              <w:t xml:space="preserve">Chronological index</w:t>
            </w:r>
          </w:p>
        </w:tc>
        <w:tc>
          <w:tcPr/>
          <w:p>
            <w:pPr>
              <w:pStyle w:val="Compact"/>
            </w:pPr>
            <w:r>
              <w:t xml:space="preserve">Essential</w:t>
            </w:r>
          </w:p>
        </w:tc>
        <w:tc>
          <w:tcPr/>
          <w:p>
            <w:pPr>
              <w:pStyle w:val="Compact"/>
            </w:pPr>
            <w:r>
              <w:t xml:space="preserve">By decade or year bucket, each with record counts</w:t>
            </w:r>
          </w:p>
        </w:tc>
      </w:tr>
      <w:tr>
        <w:tc>
          <w:tcPr/>
          <w:p>
            <w:pPr>
              <w:pStyle w:val="Compact"/>
            </w:pPr>
            <w:r>
              <w:t xml:space="preserve">Scope note</w:t>
            </w:r>
          </w:p>
        </w:tc>
        <w:tc>
          <w:tcPr/>
          <w:p>
            <w:pPr>
              <w:pStyle w:val="Compact"/>
            </w:pPr>
            <w:r>
              <w:t xml:space="preserve">Essential</w:t>
            </w:r>
          </w:p>
        </w:tc>
        <w:tc>
          <w:tcPr/>
          <w:p>
            <w:pPr>
              <w:pStyle w:val="Compact"/>
            </w:pPr>
            <w:r>
              <w:t xml:space="preserve">Short paragraph explaining inclusion logic for this folder</w:t>
            </w:r>
          </w:p>
        </w:tc>
      </w:tr>
      <w:tr>
        <w:tc>
          <w:tcPr/>
          <w:p>
            <w:pPr>
              <w:pStyle w:val="Compact"/>
            </w:pPr>
            <w:r>
              <w:t xml:space="preserve">Related folders</w:t>
            </w:r>
          </w:p>
        </w:tc>
        <w:tc>
          <w:tcPr/>
          <w:p>
            <w:pPr>
              <w:pStyle w:val="Compact"/>
            </w:pPr>
            <w:r>
              <w:t xml:space="preserve">Core</w:t>
            </w:r>
          </w:p>
        </w:tc>
        <w:tc>
          <w:tcPr/>
          <w:p>
            <w:pPr>
              <w:pStyle w:val="Compact"/>
            </w:pPr>
            <w:r>
              <w:t xml:space="preserve">Sibling or cross-folder links with counts</w:t>
            </w:r>
          </w:p>
        </w:tc>
      </w:tr>
      <w:tr>
        <w:tc>
          <w:tcPr/>
          <w:p>
            <w:pPr>
              <w:pStyle w:val="Compact"/>
            </w:pPr>
            <w:r>
              <w:t xml:space="preserve">Last updated / verified</w:t>
            </w:r>
          </w:p>
        </w:tc>
        <w:tc>
          <w:tcPr/>
          <w:p>
            <w:pPr>
              <w:pStyle w:val="Compact"/>
            </w:pPr>
            <w:r>
              <w:t xml:space="preserve">Core</w:t>
            </w:r>
          </w:p>
        </w:tc>
        <w:tc>
          <w:tcPr/>
          <w:p>
            <w:pPr>
              <w:pStyle w:val="Compact"/>
            </w:pPr>
            <w:r>
              <w:t xml:space="preserve">Small administrative line</w:t>
            </w:r>
          </w:p>
        </w:tc>
      </w:tr>
      <w:tr>
        <w:tc>
          <w:tcPr/>
          <w:p>
            <w:pPr>
              <w:pStyle w:val="Compact"/>
            </w:pPr>
            <w:r>
              <w:t xml:space="preserve">Bookmark / share / reading guide</w:t>
            </w:r>
          </w:p>
        </w:tc>
        <w:tc>
          <w:tcPr/>
          <w:p>
            <w:pPr>
              <w:pStyle w:val="Compact"/>
            </w:pPr>
            <w:r>
              <w:t xml:space="preserve">Conditional</w:t>
            </w:r>
          </w:p>
        </w:tc>
        <w:tc>
          <w:tcPr/>
          <w:p>
            <w:pPr>
              <w:pStyle w:val="Compact"/>
            </w:pPr>
            <w:r>
              <w:t xml:space="preserve">Visible but secondary to source-return and chronology</w:t>
            </w:r>
          </w:p>
        </w:tc>
      </w:tr>
    </w:tbl>
    <w:p>
      <w:pPr>
        <w:pStyle w:val="BodyText"/>
      </w:pPr>
      <w:r>
        <w:t xml:space="preserve">Two refinements matter here. First, the chronology index should be a</w:t>
      </w:r>
      <w:r>
        <w:t xml:space="preserve"> </w:t>
      </w:r>
      <w:r>
        <w:rPr>
          <w:b/>
          <w:bCs/>
        </w:rPr>
        <w:t xml:space="preserve">navigation table</w:t>
      </w:r>
      <w:r>
        <w:t xml:space="preserve">, not a decorative timeline. Second, the scope note should explain what the folder</w:t>
      </w:r>
      <w:r>
        <w:t xml:space="preserve"> </w:t>
      </w:r>
      <w:r>
        <w:rPr>
          <w:i/>
          <w:iCs/>
        </w:rPr>
        <w:t xml:space="preserve">aggregates</w:t>
      </w:r>
      <w:r>
        <w:t xml:space="preserve">, not define the movement/theme in textbook style. The folder cover is an index surface; interpretation belongs in notes and appendices, not in a bespoke essay-first screen.</w:t>
      </w:r>
      <w:r>
        <w:t xml:space="preserve"> </w:t>
      </w:r>
      <w:hyperlink r:id="rId35">
        <w:r>
          <w:rPr>
            <w:rStyle w:val="Hyperlink"/>
          </w:rPr>
          <w:t xml:space="preserve">[12]</w:t>
        </w:r>
      </w:hyperlink>
    </w:p>
    <w:bookmarkEnd w:id="36"/>
    <w:bookmarkStart w:id="37" w:name="main-loose-leaf-sheet"/>
    <w:p>
      <w:pPr>
        <w:pStyle w:val="Heading3"/>
      </w:pPr>
      <w:r>
        <w:t xml:space="preserve">Main loose-leaf sheet</w:t>
      </w:r>
    </w:p>
    <w:p>
      <w:pPr>
        <w:pStyle w:val="FirstParagraph"/>
      </w:pPr>
      <w:r>
        <w:t xml:space="preserve">The main sheet should combine the stable “tombstone” discipline of museum object pages with the directness of archival description and the source visibility of rights-aware aggregators. DACS minimum description requires reference code, repository/source context, title, date, creator, scope/content, access, language, and rights; Getty/CDWA separates title, classification, creation, related works, ownership history, and restrictions; Library of Congress record pages expose creator, date, medium, reproduction number, rights advisory, call number, and bookmark; The Met and Smithsonian object pages expose title, date, medium, dimensions, classification, credit line, accession/object number, provenance, and restrictions; Europeana and IIIF surface a provider return link.</w:t>
      </w:r>
      <w:r>
        <w:t xml:space="preserve"> </w:t>
      </w:r>
      <w:hyperlink r:id="rId24">
        <w:r>
          <w:rPr>
            <w:rStyle w:val="Hyperlink"/>
          </w:rPr>
          <w:t xml:space="preserve">[13]</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Level</w:t>
            </w:r>
          </w:p>
        </w:tc>
        <w:tc>
          <w:tcPr/>
          <w:p>
            <w:pPr>
              <w:pStyle w:val="Compact"/>
            </w:pPr>
            <w:r>
              <w:t xml:space="preserve">Display rule</w:t>
            </w:r>
          </w:p>
        </w:tc>
      </w:tr>
      <w:tr>
        <w:tc>
          <w:tcPr/>
          <w:p>
            <w:pPr>
              <w:pStyle w:val="Compact"/>
            </w:pPr>
            <w:r>
              <w:t xml:space="preserve">Unique display ID</w:t>
            </w:r>
          </w:p>
        </w:tc>
        <w:tc>
          <w:tcPr/>
          <w:p>
            <w:pPr>
              <w:pStyle w:val="Compact"/>
            </w:pPr>
            <w:r>
              <w:t xml:space="preserve">Essential</w:t>
            </w:r>
          </w:p>
        </w:tc>
        <w:tc>
          <w:tcPr/>
          <w:p>
            <w:pPr>
              <w:pStyle w:val="Compact"/>
            </w:pPr>
            <w:r>
              <w:t xml:space="preserve">Short, human-readable, folder-neutral, fixed at top corner</w:t>
            </w:r>
          </w:p>
        </w:tc>
      </w:tr>
      <w:tr>
        <w:tc>
          <w:tcPr/>
          <w:p>
            <w:pPr>
              <w:pStyle w:val="Compact"/>
            </w:pPr>
            <w:r>
              <w:t xml:space="preserve">Internal stable ID</w:t>
            </w:r>
          </w:p>
        </w:tc>
        <w:tc>
          <w:tcPr/>
          <w:p>
            <w:pPr>
              <w:pStyle w:val="Compact"/>
            </w:pPr>
            <w:r>
              <w:t xml:space="preserve">Essential</w:t>
            </w:r>
          </w:p>
        </w:tc>
        <w:tc>
          <w:tcPr/>
          <w:p>
            <w:pPr>
              <w:pStyle w:val="Compact"/>
            </w:pPr>
            <w:r>
              <w:t xml:space="preserve">Opaque persistent ID, usually smaller and secondary</w:t>
            </w:r>
          </w:p>
        </w:tc>
      </w:tr>
      <w:tr>
        <w:tc>
          <w:tcPr/>
          <w:p>
            <w:pPr>
              <w:pStyle w:val="Compact"/>
            </w:pPr>
            <w:r>
              <w:t xml:space="preserve">Title</w:t>
            </w:r>
          </w:p>
        </w:tc>
        <w:tc>
          <w:tcPr/>
          <w:p>
            <w:pPr>
              <w:pStyle w:val="Compact"/>
            </w:pPr>
            <w:r>
              <w:t xml:space="preserve">Essential</w:t>
            </w:r>
          </w:p>
        </w:tc>
        <w:tc>
          <w:tcPr/>
          <w:p>
            <w:pPr>
              <w:pStyle w:val="Compact"/>
            </w:pPr>
            <w:r>
              <w:t xml:space="preserve">Main heading; if supplied, show supplied-title indicator</w:t>
            </w:r>
          </w:p>
        </w:tc>
      </w:tr>
      <w:tr>
        <w:tc>
          <w:tcPr/>
          <w:p>
            <w:pPr>
              <w:pStyle w:val="Compact"/>
            </w:pPr>
            <w:r>
              <w:t xml:space="preserve">Date / date range</w:t>
            </w:r>
          </w:p>
        </w:tc>
        <w:tc>
          <w:tcPr/>
          <w:p>
            <w:pPr>
              <w:pStyle w:val="Compact"/>
            </w:pPr>
            <w:r>
              <w:t xml:space="preserve">Essential</w:t>
            </w:r>
          </w:p>
        </w:tc>
        <w:tc>
          <w:tcPr/>
          <w:p>
            <w:pPr>
              <w:pStyle w:val="Compact"/>
            </w:pPr>
            <w:r>
              <w:t xml:space="preserve">Human-readable display date</w:t>
            </w:r>
          </w:p>
        </w:tc>
      </w:tr>
      <w:tr>
        <w:tc>
          <w:tcPr/>
          <w:p>
            <w:pPr>
              <w:pStyle w:val="Compact"/>
            </w:pPr>
            <w:r>
              <w:t xml:space="preserve">Normalized earliest/latest date</w:t>
            </w:r>
          </w:p>
        </w:tc>
        <w:tc>
          <w:tcPr/>
          <w:p>
            <w:pPr>
              <w:pStyle w:val="Compact"/>
            </w:pPr>
            <w:r>
              <w:t xml:space="preserve">Core</w:t>
            </w:r>
          </w:p>
        </w:tc>
        <w:tc>
          <w:tcPr/>
          <w:p>
            <w:pPr>
              <w:pStyle w:val="Compact"/>
            </w:pPr>
            <w:r>
              <w:t xml:space="preserve">Usually hidden from main prose, but used for sorting; available in metadata row or hover</w:t>
            </w:r>
          </w:p>
        </w:tc>
      </w:tr>
      <w:tr>
        <w:tc>
          <w:tcPr/>
          <w:p>
            <w:pPr>
              <w:pStyle w:val="Compact"/>
            </w:pPr>
            <w:r>
              <w:t xml:space="preserve">Source name</w:t>
            </w:r>
          </w:p>
        </w:tc>
        <w:tc>
          <w:tcPr/>
          <w:p>
            <w:pPr>
              <w:pStyle w:val="Compact"/>
            </w:pPr>
            <w:r>
              <w:t xml:space="preserve">Essential</w:t>
            </w:r>
          </w:p>
        </w:tc>
        <w:tc>
          <w:tcPr/>
          <w:p>
            <w:pPr>
              <w:pStyle w:val="Compact"/>
            </w:pPr>
            <w:r>
              <w:t xml:space="preserve">Provider, repository, bibliography, or source record title</w:t>
            </w:r>
          </w:p>
        </w:tc>
      </w:tr>
      <w:tr>
        <w:tc>
          <w:tcPr/>
          <w:p>
            <w:pPr>
              <w:pStyle w:val="Compact"/>
            </w:pPr>
            <w:r>
              <w:t xml:space="preserve">View at source</w:t>
            </w:r>
          </w:p>
        </w:tc>
        <w:tc>
          <w:tcPr/>
          <w:p>
            <w:pPr>
              <w:pStyle w:val="Compact"/>
            </w:pPr>
            <w:r>
              <w:t xml:space="preserve">Essential</w:t>
            </w:r>
          </w:p>
        </w:tc>
        <w:tc>
          <w:tcPr/>
          <w:p>
            <w:pPr>
              <w:pStyle w:val="Compact"/>
            </w:pPr>
            <w:r>
              <w:t xml:space="preserve">Primary action button, above the fold</w:t>
            </w:r>
          </w:p>
        </w:tc>
      </w:tr>
      <w:tr>
        <w:tc>
          <w:tcPr/>
          <w:p>
            <w:pPr>
              <w:pStyle w:val="Compact"/>
            </w:pPr>
            <w:r>
              <w:t xml:space="preserve">Record type / category</w:t>
            </w:r>
          </w:p>
        </w:tc>
        <w:tc>
          <w:tcPr/>
          <w:p>
            <w:pPr>
              <w:pStyle w:val="Compact"/>
            </w:pPr>
            <w:r>
              <w:t xml:space="preserve">Essential</w:t>
            </w:r>
          </w:p>
        </w:tc>
        <w:tc>
          <w:tcPr/>
          <w:p>
            <w:pPr>
              <w:pStyle w:val="Compact"/>
            </w:pPr>
            <w:r>
              <w:t xml:space="preserve">Separate from title and separate from folder assignments</w:t>
            </w:r>
          </w:p>
        </w:tc>
      </w:tr>
      <w:tr>
        <w:tc>
          <w:tcPr/>
          <w:p>
            <w:pPr>
              <w:pStyle w:val="Compact"/>
            </w:pPr>
            <w:r>
              <w:t xml:space="preserve">People / institutions with roles</w:t>
            </w:r>
          </w:p>
        </w:tc>
        <w:tc>
          <w:tcPr/>
          <w:p>
            <w:pPr>
              <w:pStyle w:val="Compact"/>
            </w:pPr>
            <w:r>
              <w:t xml:space="preserve">Core</w:t>
            </w:r>
          </w:p>
        </w:tc>
        <w:tc>
          <w:tcPr/>
          <w:p>
            <w:pPr>
              <w:pStyle w:val="Compact"/>
            </w:pPr>
            <w:r>
              <w:t xml:space="preserve">Named creators, printers, studios, clients, publishers, repositories</w:t>
            </w:r>
          </w:p>
        </w:tc>
      </w:tr>
      <w:tr>
        <w:tc>
          <w:tcPr/>
          <w:p>
            <w:pPr>
              <w:pStyle w:val="Compact"/>
            </w:pPr>
            <w:r>
              <w:t xml:space="preserve">Region / place</w:t>
            </w:r>
          </w:p>
        </w:tc>
        <w:tc>
          <w:tcPr/>
          <w:p>
            <w:pPr>
              <w:pStyle w:val="Compact"/>
            </w:pPr>
            <w:r>
              <w:t xml:space="preserve">Core</w:t>
            </w:r>
          </w:p>
        </w:tc>
        <w:tc>
          <w:tcPr/>
          <w:p>
            <w:pPr>
              <w:pStyle w:val="Compact"/>
            </w:pPr>
            <w:r>
              <w:t xml:space="preserve">Place of creation/publication/use, plus normalized geography if known</w:t>
            </w:r>
          </w:p>
        </w:tc>
      </w:tr>
      <w:tr>
        <w:tc>
          <w:tcPr/>
          <w:p>
            <w:pPr>
              <w:pStyle w:val="Compact"/>
            </w:pPr>
            <w:r>
              <w:t xml:space="preserve">Folder memberships</w:t>
            </w:r>
          </w:p>
        </w:tc>
        <w:tc>
          <w:tcPr/>
          <w:p>
            <w:pPr>
              <w:pStyle w:val="Compact"/>
            </w:pPr>
            <w:r>
              <w:t xml:space="preserve">Essential</w:t>
            </w:r>
          </w:p>
        </w:tc>
        <w:tc>
          <w:tcPr/>
          <w:p>
            <w:pPr>
              <w:pStyle w:val="Compact"/>
            </w:pPr>
            <w:r>
              <w:t xml:space="preserve">Region, Theme, Medium, Movement chips or rows; clicking them never changes page layout</w:t>
            </w:r>
          </w:p>
        </w:tc>
      </w:tr>
      <w:tr>
        <w:tc>
          <w:tcPr/>
          <w:p>
            <w:pPr>
              <w:pStyle w:val="Compact"/>
            </w:pPr>
            <w:r>
              <w:t xml:space="preserve">IMG zone</w:t>
            </w:r>
          </w:p>
        </w:tc>
        <w:tc>
          <w:tcPr/>
          <w:p>
            <w:pPr>
              <w:pStyle w:val="Compact"/>
            </w:pPr>
            <w:r>
              <w:t xml:space="preserve">Essential</w:t>
            </w:r>
          </w:p>
        </w:tc>
        <w:tc>
          <w:tcPr/>
          <w:p>
            <w:pPr>
              <w:pStyle w:val="Compact"/>
            </w:pPr>
            <w:r>
              <w:t xml:space="preserve">Fixed media bay using IMG00–IMG04 rules</w:t>
            </w:r>
          </w:p>
        </w:tc>
      </w:tr>
      <w:tr>
        <w:tc>
          <w:tcPr/>
          <w:p>
            <w:pPr>
              <w:pStyle w:val="Compact"/>
            </w:pPr>
            <w:r>
              <w:t xml:space="preserve">Rights stamp</w:t>
            </w:r>
          </w:p>
        </w:tc>
        <w:tc>
          <w:tcPr/>
          <w:p>
            <w:pPr>
              <w:pStyle w:val="Compact"/>
            </w:pPr>
            <w:r>
              <w:t xml:space="preserve">Essential</w:t>
            </w:r>
          </w:p>
        </w:tc>
        <w:tc>
          <w:tcPr/>
          <w:p>
            <w:pPr>
              <w:pStyle w:val="Compact"/>
            </w:pPr>
            <w:r>
              <w:t xml:space="preserve">Media rights plus record/metadata rights when known</w:t>
            </w:r>
          </w:p>
        </w:tc>
      </w:tr>
      <w:tr>
        <w:tc>
          <w:tcPr/>
          <w:p>
            <w:pPr>
              <w:pStyle w:val="Compact"/>
            </w:pPr>
            <w:r>
              <w:t xml:space="preserve">Short description</w:t>
            </w:r>
          </w:p>
        </w:tc>
        <w:tc>
          <w:tcPr/>
          <w:p>
            <w:pPr>
              <w:pStyle w:val="Compact"/>
            </w:pPr>
            <w:r>
              <w:t xml:space="preserve">Essential</w:t>
            </w:r>
          </w:p>
        </w:tc>
        <w:tc>
          <w:tcPr/>
          <w:p>
            <w:pPr>
              <w:pStyle w:val="Compact"/>
            </w:pPr>
            <w:r>
              <w:t xml:space="preserve">40–120 word abstract/scope note</w:t>
            </w:r>
          </w:p>
        </w:tc>
      </w:tr>
      <w:tr>
        <w:tc>
          <w:tcPr/>
          <w:p>
            <w:pPr>
              <w:pStyle w:val="Compact"/>
            </w:pPr>
            <w:r>
              <w:t xml:space="preserve">Citation block</w:t>
            </w:r>
          </w:p>
        </w:tc>
        <w:tc>
          <w:tcPr/>
          <w:p>
            <w:pPr>
              <w:pStyle w:val="Compact"/>
            </w:pPr>
            <w:r>
              <w:t xml:space="preserve">Essential</w:t>
            </w:r>
          </w:p>
        </w:tc>
        <w:tc>
          <w:tcPr/>
          <w:p>
            <w:pPr>
              <w:pStyle w:val="Compact"/>
            </w:pPr>
            <w:r>
              <w:t xml:space="preserve">Preferred citation plus source citation or citation ingredients</w:t>
            </w:r>
          </w:p>
        </w:tc>
      </w:tr>
      <w:tr>
        <w:tc>
          <w:tcPr/>
          <w:p>
            <w:pPr>
              <w:pStyle w:val="Compact"/>
            </w:pPr>
            <w:r>
              <w:t xml:space="preserve">Status</w:t>
            </w:r>
          </w:p>
        </w:tc>
        <w:tc>
          <w:tcPr/>
          <w:p>
            <w:pPr>
              <w:pStyle w:val="Compact"/>
            </w:pPr>
            <w:r>
              <w:t xml:space="preserve">Essential</w:t>
            </w:r>
          </w:p>
        </w:tc>
        <w:tc>
          <w:tcPr/>
          <w:p>
            <w:pPr>
              <w:pStyle w:val="Compact"/>
            </w:pPr>
            <w:r>
              <w:t xml:space="preserve">Verified, minimal, provisional, compound parent, compound child, stub-derived, etc.</w:t>
            </w:r>
          </w:p>
        </w:tc>
      </w:tr>
      <w:tr>
        <w:tc>
          <w:tcPr/>
          <w:p>
            <w:pPr>
              <w:pStyle w:val="Compact"/>
            </w:pPr>
            <w:r>
              <w:t xml:space="preserve">Last verified</w:t>
            </w:r>
          </w:p>
        </w:tc>
        <w:tc>
          <w:tcPr/>
          <w:p>
            <w:pPr>
              <w:pStyle w:val="Compact"/>
            </w:pPr>
            <w:r>
              <w:t xml:space="preserve">Essential</w:t>
            </w:r>
          </w:p>
        </w:tc>
        <w:tc>
          <w:tcPr/>
          <w:p>
            <w:pPr>
              <w:pStyle w:val="Compact"/>
            </w:pPr>
            <w:r>
              <w:t xml:space="preserve">Date of last review</w:t>
            </w:r>
          </w:p>
        </w:tc>
      </w:tr>
      <w:tr>
        <w:tc>
          <w:tcPr/>
          <w:p>
            <w:pPr>
              <w:pStyle w:val="Compact"/>
            </w:pPr>
            <w:r>
              <w:t xml:space="preserve">Uncertainty note</w:t>
            </w:r>
          </w:p>
        </w:tc>
        <w:tc>
          <w:tcPr/>
          <w:p>
            <w:pPr>
              <w:pStyle w:val="Compact"/>
            </w:pPr>
            <w:r>
              <w:t xml:space="preserve">Conditional</w:t>
            </w:r>
          </w:p>
        </w:tc>
        <w:tc>
          <w:tcPr/>
          <w:p>
            <w:pPr>
              <w:pStyle w:val="Compact"/>
            </w:pPr>
            <w:r>
              <w:t xml:space="preserve">Visible strip only when needed</w:t>
            </w:r>
          </w:p>
        </w:tc>
      </w:tr>
      <w:tr>
        <w:tc>
          <w:tcPr/>
          <w:p>
            <w:pPr>
              <w:pStyle w:val="Compact"/>
            </w:pPr>
            <w:r>
              <w:t xml:space="preserve">Physical description or dimensions</w:t>
            </w:r>
          </w:p>
        </w:tc>
        <w:tc>
          <w:tcPr/>
          <w:p>
            <w:pPr>
              <w:pStyle w:val="Compact"/>
            </w:pPr>
            <w:r>
              <w:t xml:space="preserve">Conditional</w:t>
            </w:r>
          </w:p>
        </w:tc>
        <w:tc>
          <w:tcPr/>
          <w:p>
            <w:pPr>
              <w:pStyle w:val="Compact"/>
            </w:pPr>
            <w:r>
              <w:t xml:space="preserve">Main sheet for object-like records; appendix when lengthy or mixed</w:t>
            </w:r>
          </w:p>
        </w:tc>
      </w:tr>
      <w:tr>
        <w:tc>
          <w:tcPr/>
          <w:p>
            <w:pPr>
              <w:pStyle w:val="Compact"/>
            </w:pPr>
            <w:r>
              <w:t xml:space="preserve">Language / script</w:t>
            </w:r>
          </w:p>
        </w:tc>
        <w:tc>
          <w:tcPr/>
          <w:p>
            <w:pPr>
              <w:pStyle w:val="Compact"/>
            </w:pPr>
            <w:r>
              <w:t xml:space="preserve">Conditional</w:t>
            </w:r>
          </w:p>
        </w:tc>
        <w:tc>
          <w:tcPr/>
          <w:p>
            <w:pPr>
              <w:pStyle w:val="Compact"/>
            </w:pPr>
            <w:r>
              <w:t xml:space="preserve">Main sheet when important; appendix otherwise</w:t>
            </w:r>
          </w:p>
        </w:tc>
      </w:tr>
      <w:tr>
        <w:tc>
          <w:tcPr/>
          <w:p>
            <w:pPr>
              <w:pStyle w:val="Compact"/>
            </w:pPr>
            <w:r>
              <w:t xml:space="preserve">Relation preview</w:t>
            </w:r>
          </w:p>
        </w:tc>
        <w:tc>
          <w:tcPr/>
          <w:p>
            <w:pPr>
              <w:pStyle w:val="Compact"/>
            </w:pPr>
            <w:r>
              <w:t xml:space="preserve">Core</w:t>
            </w:r>
          </w:p>
        </w:tc>
        <w:tc>
          <w:tcPr/>
          <w:p>
            <w:pPr>
              <w:pStyle w:val="Compact"/>
            </w:pPr>
            <w:r>
              <w:t xml:space="preserve">1–3 most important relations with link to full relation table</w:t>
            </w:r>
          </w:p>
        </w:tc>
      </w:tr>
      <w:tr>
        <w:tc>
          <w:tcPr/>
          <w:p>
            <w:pPr>
              <w:pStyle w:val="Compact"/>
            </w:pPr>
            <w:r>
              <w:t xml:space="preserve">Appendix count / markers</w:t>
            </w:r>
          </w:p>
        </w:tc>
        <w:tc>
          <w:tcPr/>
          <w:p>
            <w:pPr>
              <w:pStyle w:val="Compact"/>
            </w:pPr>
            <w:r>
              <w:t xml:space="preserve">Core</w:t>
            </w:r>
          </w:p>
        </w:tc>
        <w:tc>
          <w:tcPr/>
          <w:p>
            <w:pPr>
              <w:pStyle w:val="Compact"/>
            </w:pPr>
            <w:r>
              <w:t xml:space="preserve">Visible if overflow exists</w:t>
            </w:r>
          </w:p>
        </w:tc>
      </w:tr>
      <w:tr>
        <w:tc>
          <w:tcPr/>
          <w:p>
            <w:pPr>
              <w:pStyle w:val="Compact"/>
            </w:pPr>
            <w:r>
              <w:t xml:space="preserve">Bookmark</w:t>
            </w:r>
          </w:p>
        </w:tc>
        <w:tc>
          <w:tcPr/>
          <w:p>
            <w:pPr>
              <w:pStyle w:val="Compact"/>
            </w:pPr>
            <w:r>
              <w:t xml:space="preserve">Conditional</w:t>
            </w:r>
          </w:p>
        </w:tc>
        <w:tc>
          <w:tcPr/>
          <w:p>
            <w:pPr>
              <w:pStyle w:val="Compact"/>
            </w:pPr>
            <w:r>
              <w:t xml:space="preserve">Secondary action in footer or margin</w:t>
            </w:r>
          </w:p>
        </w:tc>
      </w:tr>
    </w:tbl>
    <w:p>
      <w:pPr>
        <w:pStyle w:val="BodyText"/>
      </w:pPr>
      <w:r>
        <w:t xml:space="preserve">A few structural rules make this sheet work reliably. The</w:t>
      </w:r>
      <w:r>
        <w:t xml:space="preserve"> </w:t>
      </w:r>
      <w:r>
        <w:rPr>
          <w:b/>
          <w:bCs/>
        </w:rPr>
        <w:t xml:space="preserve">ID block</w:t>
      </w:r>
      <w:r>
        <w:t xml:space="preserve">,</w:t>
      </w:r>
      <w:r>
        <w:t xml:space="preserve"> </w:t>
      </w:r>
      <w:r>
        <w:rPr>
          <w:b/>
          <w:bCs/>
        </w:rPr>
        <w:t xml:space="preserve">rights stamp</w:t>
      </w:r>
      <w:r>
        <w:t xml:space="preserve">,</w:t>
      </w:r>
      <w:r>
        <w:t xml:space="preserve"> </w:t>
      </w:r>
      <w:r>
        <w:rPr>
          <w:b/>
          <w:bCs/>
        </w:rPr>
        <w:t xml:space="preserve">source return button</w:t>
      </w:r>
      <w:r>
        <w:t xml:space="preserve">, and</w:t>
      </w:r>
      <w:r>
        <w:t xml:space="preserve"> </w:t>
      </w:r>
      <w:r>
        <w:rPr>
          <w:b/>
          <w:bCs/>
        </w:rPr>
        <w:t xml:space="preserve">status/verification footer</w:t>
      </w:r>
      <w:r>
        <w:t xml:space="preserve"> </w:t>
      </w:r>
      <w:r>
        <w:t xml:space="preserve">should never move. The variables are the contents of the metadata and relation tables, not the structure of the page itself. Also, the row for folder memberships should state “appears in” or “indexed under,” so the user understands these are aggregation views rather than ownership containers.</w:t>
      </w:r>
      <w:r>
        <w:t xml:space="preserve"> </w:t>
      </w:r>
      <w:hyperlink r:id="rId22">
        <w:r>
          <w:rPr>
            <w:rStyle w:val="Hyperlink"/>
          </w:rPr>
          <w:t xml:space="preserve">[2]</w:t>
        </w:r>
      </w:hyperlink>
    </w:p>
    <w:bookmarkEnd w:id="37"/>
    <w:bookmarkStart w:id="39" w:name="second-pages-and-appendix-pages"/>
    <w:p>
      <w:pPr>
        <w:pStyle w:val="Heading3"/>
      </w:pPr>
      <w:r>
        <w:t xml:space="preserve">Second pages and appendix pages</w:t>
      </w:r>
    </w:p>
    <w:p>
      <w:pPr>
        <w:pStyle w:val="FirstParagraph"/>
      </w:pPr>
      <w:r>
        <w:t xml:space="preserve">Appendix pages should absorb overflow and evidence so the main sheet can stay fixed. NARA inventories explicitly allow appendices such as container lists, folder lists, and glossaries; EAD has dedicated structures for preferred citation, administrative information, related material, and archival references; catalogue raisonné formats regularly include provenance, exhibition history, bibliography, current location, condition, and catalog numbers; Getty provides dedicated categories for ownership history, exhibition history, cataloging history, related textual references, and restrictions; IIIF structures and supplementary annotation collections support table-of-contents-like substructures and additional content attached to ranges.</w:t>
      </w:r>
      <w:r>
        <w:t xml:space="preserve"> </w:t>
      </w:r>
      <w:hyperlink r:id="rId35">
        <w:r>
          <w:rPr>
            <w:rStyle w:val="Hyperlink"/>
          </w:rPr>
          <w:t xml:space="preserve">[14]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Appendix type</w:t>
            </w:r>
          </w:p>
        </w:tc>
        <w:tc>
          <w:tcPr/>
          <w:p>
            <w:pPr>
              <w:pStyle w:val="Compact"/>
            </w:pPr>
            <w:r>
              <w:t xml:space="preserve">Required contents</w:t>
            </w:r>
          </w:p>
        </w:tc>
        <w:tc>
          <w:tcPr/>
          <w:p>
            <w:pPr>
              <w:pStyle w:val="Compact"/>
            </w:pPr>
            <w:r>
              <w:t xml:space="preserve">When to generate</w:t>
            </w:r>
          </w:p>
        </w:tc>
      </w:tr>
      <w:tr>
        <w:tc>
          <w:tcPr/>
          <w:p>
            <w:pPr>
              <w:pStyle w:val="Compact"/>
            </w:pPr>
            <w:r>
              <w:t xml:space="preserve">Long text page</w:t>
            </w:r>
          </w:p>
        </w:tc>
        <w:tc>
          <w:tcPr/>
          <w:p>
            <w:pPr>
              <w:pStyle w:val="Compact"/>
            </w:pPr>
            <w:r>
              <w:t xml:space="preserve">Sheet ID, appendix code, heading, long note text, inline citations</w:t>
            </w:r>
          </w:p>
        </w:tc>
        <w:tc>
          <w:tcPr/>
          <w:p>
            <w:pPr>
              <w:pStyle w:val="Compact"/>
            </w:pPr>
            <w:r>
              <w:t xml:space="preserve">Abstract would exceed main-sheet range</w:t>
            </w:r>
          </w:p>
        </w:tc>
      </w:tr>
      <w:tr>
        <w:tc>
          <w:tcPr/>
          <w:p>
            <w:pPr>
              <w:pStyle w:val="Compact"/>
            </w:pPr>
            <w:r>
              <w:t xml:space="preserve">Bibliographic description page</w:t>
            </w:r>
          </w:p>
        </w:tc>
        <w:tc>
          <w:tcPr/>
          <w:p>
            <w:pPr>
              <w:pStyle w:val="Compact"/>
            </w:pPr>
            <w:r>
              <w:t xml:space="preserve">Full source title, edition, publisher, place, date, paginations/collation, identifiers, repository copy notes</w:t>
            </w:r>
          </w:p>
        </w:tc>
        <w:tc>
          <w:tcPr/>
          <w:p>
            <w:pPr>
              <w:pStyle w:val="Compact"/>
            </w:pPr>
            <w:r>
              <w:t xml:space="preserve">Record is bibliographic or tied to printed source evidence</w:t>
            </w:r>
          </w:p>
        </w:tc>
      </w:tr>
      <w:tr>
        <w:tc>
          <w:tcPr/>
          <w:p>
            <w:pPr>
              <w:pStyle w:val="Compact"/>
            </w:pPr>
            <w:r>
              <w:t xml:space="preserve">Source metadata table</w:t>
            </w:r>
          </w:p>
        </w:tc>
        <w:tc>
          <w:tcPr/>
          <w:p>
            <w:pPr>
              <w:pStyle w:val="Compact"/>
            </w:pPr>
            <w:r>
              <w:t xml:space="preserve">Raw source field names and values, source URL or identifier, harvest/lookup date</w:t>
            </w:r>
          </w:p>
        </w:tc>
        <w:tc>
          <w:tcPr/>
          <w:p>
            <w:pPr>
              <w:pStyle w:val="Compact"/>
            </w:pPr>
            <w:r>
              <w:t xml:space="preserve">Imported or scraped source needs transparency</w:t>
            </w:r>
          </w:p>
        </w:tc>
      </w:tr>
      <w:tr>
        <w:tc>
          <w:tcPr/>
          <w:p>
            <w:pPr>
              <w:pStyle w:val="Compact"/>
            </w:pPr>
            <w:r>
              <w:t xml:space="preserve">Normalized metadata table</w:t>
            </w:r>
          </w:p>
        </w:tc>
        <w:tc>
          <w:tcPr/>
          <w:p>
            <w:pPr>
              <w:pStyle w:val="Compact"/>
            </w:pPr>
            <w:r>
              <w:t xml:space="preserve">Local normalized field, value, authority/vocabulary source, mapping note</w:t>
            </w:r>
          </w:p>
        </w:tc>
        <w:tc>
          <w:tcPr/>
          <w:p>
            <w:pPr>
              <w:pStyle w:val="Compact"/>
            </w:pPr>
            <w:r>
              <w:t xml:space="preserve">When normalization materially changes source phrasing</w:t>
            </w:r>
          </w:p>
        </w:tc>
      </w:tr>
      <w:tr>
        <w:tc>
          <w:tcPr/>
          <w:p>
            <w:pPr>
              <w:pStyle w:val="Compact"/>
            </w:pPr>
            <w:r>
              <w:t xml:space="preserve">Relations table</w:t>
            </w:r>
          </w:p>
        </w:tc>
        <w:tc>
          <w:tcPr/>
          <w:p>
            <w:pPr>
              <w:pStyle w:val="Compact"/>
            </w:pPr>
            <w:r>
              <w:t xml:space="preserve">Relation type, target ID, target label, evidence note</w:t>
            </w:r>
          </w:p>
        </w:tc>
        <w:tc>
          <w:tcPr/>
          <w:p>
            <w:pPr>
              <w:pStyle w:val="Compact"/>
            </w:pPr>
            <w:r>
              <w:t xml:space="preserve">Record has more than three meaningful links</w:t>
            </w:r>
          </w:p>
        </w:tc>
      </w:tr>
      <w:tr>
        <w:tc>
          <w:tcPr/>
          <w:p>
            <w:pPr>
              <w:pStyle w:val="Compact"/>
            </w:pPr>
            <w:r>
              <w:t xml:space="preserve">Classification table</w:t>
            </w:r>
          </w:p>
        </w:tc>
        <w:tc>
          <w:tcPr/>
          <w:p>
            <w:pPr>
              <w:pStyle w:val="Compact"/>
            </w:pPr>
            <w:r>
              <w:t xml:space="preserve">Controlled terms, source vocabularies, local vocab mappings, authority URIs</w:t>
            </w:r>
          </w:p>
        </w:tc>
        <w:tc>
          <w:tcPr/>
          <w:p>
            <w:pPr>
              <w:pStyle w:val="Compact"/>
            </w:pPr>
            <w:r>
              <w:t xml:space="preserve">Record needs fuller subject/form/style indexing</w:t>
            </w:r>
          </w:p>
        </w:tc>
      </w:tr>
      <w:tr>
        <w:tc>
          <w:tcPr/>
          <w:p>
            <w:pPr>
              <w:pStyle w:val="Compact"/>
            </w:pPr>
            <w:r>
              <w:t xml:space="preserve">Citations table</w:t>
            </w:r>
          </w:p>
        </w:tc>
        <w:tc>
          <w:tcPr/>
          <w:p>
            <w:pPr>
              <w:pStyle w:val="Compact"/>
            </w:pPr>
            <w:r>
              <w:t xml:space="preserve">All consulted sources, note pages, provider pages, call numbers, reproduction numbers</w:t>
            </w:r>
          </w:p>
        </w:tc>
        <w:tc>
          <w:tcPr/>
          <w:p>
            <w:pPr>
              <w:pStyle w:val="Compact"/>
            </w:pPr>
            <w:r>
              <w:t xml:space="preserve">More than one citation or complex evidence base</w:t>
            </w:r>
          </w:p>
        </w:tc>
      </w:tr>
      <w:tr>
        <w:tc>
          <w:tcPr/>
          <w:p>
            <w:pPr>
              <w:pStyle w:val="Compact"/>
            </w:pPr>
            <w:r>
              <w:t xml:space="preserve">Provenance log</w:t>
            </w:r>
          </w:p>
        </w:tc>
        <w:tc>
          <w:tcPr/>
          <w:p>
            <w:pPr>
              <w:pStyle w:val="Compact"/>
            </w:pPr>
            <w:r>
              <w:t xml:space="preserve">Ownership/custody/source-chain events with dates and notes</w:t>
            </w:r>
          </w:p>
        </w:tc>
        <w:tc>
          <w:tcPr/>
          <w:p>
            <w:pPr>
              <w:pStyle w:val="Compact"/>
            </w:pPr>
            <w:r>
              <w:t xml:space="preserve">Provenance is known or contested</w:t>
            </w:r>
          </w:p>
        </w:tc>
      </w:tr>
      <w:tr>
        <w:tc>
          <w:tcPr/>
          <w:p>
            <w:pPr>
              <w:pStyle w:val="Compact"/>
            </w:pPr>
            <w:r>
              <w:t xml:space="preserve">Image-rights review note</w:t>
            </w:r>
          </w:p>
        </w:tc>
        <w:tc>
          <w:tcPr/>
          <w:p>
            <w:pPr>
              <w:pStyle w:val="Compact"/>
            </w:pPr>
            <w:r>
              <w:t xml:space="preserve">Rights URI, provider statement, review date, evidence, uncertainty memo</w:t>
            </w:r>
          </w:p>
        </w:tc>
        <w:tc>
          <w:tcPr/>
          <w:p>
            <w:pPr>
              <w:pStyle w:val="Compact"/>
            </w:pPr>
            <w:r>
              <w:t xml:space="preserve">Rights are ambiguous or reviewed manually</w:t>
            </w:r>
          </w:p>
        </w:tc>
      </w:tr>
      <w:tr>
        <w:tc>
          <w:tcPr/>
          <w:p>
            <w:pPr>
              <w:pStyle w:val="Compact"/>
            </w:pPr>
            <w:r>
              <w:t xml:space="preserve">Transcript / text-only page</w:t>
            </w:r>
          </w:p>
        </w:tc>
        <w:tc>
          <w:tcPr/>
          <w:p>
            <w:pPr>
              <w:pStyle w:val="Compact"/>
            </w:pPr>
            <w:r>
              <w:t xml:space="preserve">OCR, transcription, description of visual absence, source text</w:t>
            </w:r>
          </w:p>
        </w:tc>
        <w:tc>
          <w:tcPr/>
          <w:p>
            <w:pPr>
              <w:pStyle w:val="Compact"/>
            </w:pPr>
            <w:r>
              <w:t xml:space="preserve">IMG04 record or media cannot be shown</w:t>
            </w:r>
          </w:p>
        </w:tc>
      </w:tr>
    </w:tbl>
    <w:p>
      <w:pPr>
        <w:pStyle w:val="BodyText"/>
      </w:pPr>
      <w:r>
        <w:t xml:space="preserve">An especially useful distinction is between</w:t>
      </w:r>
      <w:r>
        <w:t xml:space="preserve"> </w:t>
      </w:r>
      <w:r>
        <w:rPr>
          <w:b/>
          <w:bCs/>
        </w:rPr>
        <w:t xml:space="preserve">source metadata</w:t>
      </w:r>
      <w:r>
        <w:t xml:space="preserve"> </w:t>
      </w:r>
      <w:r>
        <w:t xml:space="preserve">and</w:t>
      </w:r>
      <w:r>
        <w:t xml:space="preserve"> </w:t>
      </w:r>
      <w:r>
        <w:rPr>
          <w:b/>
          <w:bCs/>
        </w:rPr>
        <w:t xml:space="preserve">normalized metadata</w:t>
      </w:r>
      <w:r>
        <w:t xml:space="preserve">. Graphic-design records often need a local controlled vocabulary to make distributed sources comparable, but the source record should remain inspectable. Keeping both tables visible protects scholarly transparency and avoids silently overwriting the archive or museum’s own phrasing.</w:t>
      </w:r>
      <w:r>
        <w:t xml:space="preserve"> </w:t>
      </w:r>
      <w:hyperlink r:id="rId38">
        <w:r>
          <w:rPr>
            <w:rStyle w:val="Hyperlink"/>
          </w:rPr>
          <w:t xml:space="preserve">[15]</w:t>
        </w:r>
      </w:hyperlink>
    </w:p>
    <w:bookmarkEnd w:id="39"/>
    <w:bookmarkStart w:id="41" w:name="cards"/>
    <w:p>
      <w:pPr>
        <w:pStyle w:val="Heading3"/>
      </w:pPr>
      <w:r>
        <w:t xml:space="preserve">Cards</w:t>
      </w:r>
    </w:p>
    <w:p>
      <w:pPr>
        <w:pStyle w:val="FirstParagraph"/>
      </w:pPr>
      <w:r>
        <w:t xml:space="preserve">Cards should be compact, readable, and mechanically consistent, not “small posters.” This follows historic card-catalog logic, where header, access point, short title, date, registration or control number, and cross-reference matter more than layout flourish. The U.S. Copyright Office’s historic card-catalog examples show cards organized by header with multiple cards for one registration; LoC card-catalog guidance still describes search by author, title, subject, format, and location; LoC minimal-level image records also show how little metadata can still remain useful if ID, source, date, and retrieval fields remain visible.</w:t>
      </w:r>
      <w:r>
        <w:t xml:space="preserve"> </w:t>
      </w:r>
      <w:hyperlink r:id="rId40">
        <w:r>
          <w:rPr>
            <w:rStyle w:val="Hyperlink"/>
          </w:rPr>
          <w:t xml:space="preserve">[16]</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Level</w:t>
            </w:r>
          </w:p>
        </w:tc>
        <w:tc>
          <w:tcPr/>
          <w:p>
            <w:pPr>
              <w:pStyle w:val="Compact"/>
            </w:pPr>
            <w:r>
              <w:t xml:space="preserve">Display rule</w:t>
            </w:r>
          </w:p>
        </w:tc>
      </w:tr>
      <w:tr>
        <w:tc>
          <w:tcPr/>
          <w:p>
            <w:pPr>
              <w:pStyle w:val="Compact"/>
            </w:pPr>
            <w:r>
              <w:t xml:space="preserve">Title or supplied label</w:t>
            </w:r>
          </w:p>
        </w:tc>
        <w:tc>
          <w:tcPr/>
          <w:p>
            <w:pPr>
              <w:pStyle w:val="Compact"/>
            </w:pPr>
            <w:r>
              <w:t xml:space="preserve">Essential</w:t>
            </w:r>
          </w:p>
        </w:tc>
        <w:tc>
          <w:tcPr/>
          <w:p>
            <w:pPr>
              <w:pStyle w:val="Compact"/>
            </w:pPr>
            <w:r>
              <w:t xml:space="preserve">Single or two-line header</w:t>
            </w:r>
          </w:p>
        </w:tc>
      </w:tr>
      <w:tr>
        <w:tc>
          <w:tcPr/>
          <w:p>
            <w:pPr>
              <w:pStyle w:val="Compact"/>
            </w:pPr>
            <w:r>
              <w:t xml:space="preserve">Stable ID</w:t>
            </w:r>
          </w:p>
        </w:tc>
        <w:tc>
          <w:tcPr/>
          <w:p>
            <w:pPr>
              <w:pStyle w:val="Compact"/>
            </w:pPr>
            <w:r>
              <w:t xml:space="preserve">Essential</w:t>
            </w:r>
          </w:p>
        </w:tc>
        <w:tc>
          <w:tcPr/>
          <w:p>
            <w:pPr>
              <w:pStyle w:val="Compact"/>
            </w:pPr>
            <w:r>
              <w:t xml:space="preserve">Small but always visible</w:t>
            </w:r>
          </w:p>
        </w:tc>
      </w:tr>
      <w:tr>
        <w:tc>
          <w:tcPr/>
          <w:p>
            <w:pPr>
              <w:pStyle w:val="Compact"/>
            </w:pPr>
            <w:r>
              <w:t xml:space="preserve">Source</w:t>
            </w:r>
          </w:p>
        </w:tc>
        <w:tc>
          <w:tcPr/>
          <w:p>
            <w:pPr>
              <w:pStyle w:val="Compact"/>
            </w:pPr>
            <w:r>
              <w:t xml:space="preserve">Essential</w:t>
            </w:r>
          </w:p>
        </w:tc>
        <w:tc>
          <w:tcPr/>
          <w:p>
            <w:pPr>
              <w:pStyle w:val="Compact"/>
            </w:pPr>
            <w:r>
              <w:t xml:space="preserve">Provider or bibliographic source</w:t>
            </w:r>
          </w:p>
        </w:tc>
      </w:tr>
      <w:tr>
        <w:tc>
          <w:tcPr/>
          <w:p>
            <w:pPr>
              <w:pStyle w:val="Compact"/>
            </w:pPr>
            <w:r>
              <w:t xml:space="preserve">Date if known</w:t>
            </w:r>
          </w:p>
        </w:tc>
        <w:tc>
          <w:tcPr/>
          <w:p>
            <w:pPr>
              <w:pStyle w:val="Compact"/>
            </w:pPr>
            <w:r>
              <w:t xml:space="preserve">Core</w:t>
            </w:r>
          </w:p>
        </w:tc>
        <w:tc>
          <w:tcPr/>
          <w:p>
            <w:pPr>
              <w:pStyle w:val="Compact"/>
            </w:pPr>
            <w:r>
              <w:t xml:space="preserve">Show exact, approximate, or undated form</w:t>
            </w:r>
          </w:p>
        </w:tc>
      </w:tr>
      <w:tr>
        <w:tc>
          <w:tcPr/>
          <w:p>
            <w:pPr>
              <w:pStyle w:val="Compact"/>
            </w:pPr>
            <w:r>
              <w:t xml:space="preserve">Assigned folders</w:t>
            </w:r>
          </w:p>
        </w:tc>
        <w:tc>
          <w:tcPr/>
          <w:p>
            <w:pPr>
              <w:pStyle w:val="Compact"/>
            </w:pPr>
            <w:r>
              <w:t xml:space="preserve">Core</w:t>
            </w:r>
          </w:p>
        </w:tc>
        <w:tc>
          <w:tcPr/>
          <w:p>
            <w:pPr>
              <w:pStyle w:val="Compact"/>
            </w:pPr>
            <w:r>
              <w:t xml:space="preserve">All current folder memberships or proposed memberships</w:t>
            </w:r>
          </w:p>
        </w:tc>
      </w:tr>
      <w:tr>
        <w:tc>
          <w:tcPr/>
          <w:p>
            <w:pPr>
              <w:pStyle w:val="Compact"/>
            </w:pPr>
            <w:r>
              <w:t xml:space="preserve">Status</w:t>
            </w:r>
          </w:p>
        </w:tc>
        <w:tc>
          <w:tcPr/>
          <w:p>
            <w:pPr>
              <w:pStyle w:val="Compact"/>
            </w:pPr>
            <w:r>
              <w:t xml:space="preserve">Essential</w:t>
            </w:r>
          </w:p>
        </w:tc>
        <w:tc>
          <w:tcPr/>
          <w:p>
            <w:pPr>
              <w:pStyle w:val="Compact"/>
            </w:pPr>
            <w:r>
              <w:t xml:space="preserve">Minimal, provisional, fragment, child card, etc.</w:t>
            </w:r>
          </w:p>
        </w:tc>
      </w:tr>
      <w:tr>
        <w:tc>
          <w:tcPr/>
          <w:p>
            <w:pPr>
              <w:pStyle w:val="Compact"/>
            </w:pPr>
            <w:r>
              <w:t xml:space="preserve">Reason it is a card</w:t>
            </w:r>
          </w:p>
        </w:tc>
        <w:tc>
          <w:tcPr/>
          <w:p>
            <w:pPr>
              <w:pStyle w:val="Compact"/>
            </w:pPr>
            <w:r>
              <w:t xml:space="preserve">Essential</w:t>
            </w:r>
          </w:p>
        </w:tc>
        <w:tc>
          <w:tcPr/>
          <w:p>
            <w:pPr>
              <w:pStyle w:val="Compact"/>
            </w:pPr>
            <w:r>
              <w:t xml:space="preserve">One controlled phrase, such as “insufficient rights evidence” or “missing chronology”</w:t>
            </w:r>
          </w:p>
        </w:tc>
      </w:tr>
      <w:tr>
        <w:tc>
          <w:tcPr/>
          <w:p>
            <w:pPr>
              <w:pStyle w:val="Compact"/>
            </w:pPr>
            <w:r>
              <w:t xml:space="preserve">Parent / compound link</w:t>
            </w:r>
          </w:p>
        </w:tc>
        <w:tc>
          <w:tcPr/>
          <w:p>
            <w:pPr>
              <w:pStyle w:val="Compact"/>
            </w:pPr>
            <w:r>
              <w:t xml:space="preserve">Conditional</w:t>
            </w:r>
          </w:p>
        </w:tc>
        <w:tc>
          <w:tcPr/>
          <w:p>
            <w:pPr>
              <w:pStyle w:val="Compact"/>
            </w:pPr>
            <w:r>
              <w:t xml:space="preserve">Required when the card belongs to a compound sheet</w:t>
            </w:r>
          </w:p>
        </w:tc>
      </w:tr>
      <w:tr>
        <w:tc>
          <w:tcPr/>
          <w:p>
            <w:pPr>
              <w:pStyle w:val="Compact"/>
            </w:pPr>
            <w:r>
              <w:t xml:space="preserve">Source return link</w:t>
            </w:r>
          </w:p>
        </w:tc>
        <w:tc>
          <w:tcPr/>
          <w:p>
            <w:pPr>
              <w:pStyle w:val="Compact"/>
            </w:pPr>
            <w:r>
              <w:t xml:space="preserve">Essential</w:t>
            </w:r>
          </w:p>
        </w:tc>
        <w:tc>
          <w:tcPr/>
          <w:p>
            <w:pPr>
              <w:pStyle w:val="Compact"/>
            </w:pPr>
            <w:r>
              <w:t xml:space="preserve">Primary action</w:t>
            </w:r>
          </w:p>
        </w:tc>
      </w:tr>
      <w:tr>
        <w:tc>
          <w:tcPr/>
          <w:p>
            <w:pPr>
              <w:pStyle w:val="Compact"/>
            </w:pPr>
            <w:r>
              <w:t xml:space="preserve">Rights / image state</w:t>
            </w:r>
          </w:p>
        </w:tc>
        <w:tc>
          <w:tcPr/>
          <w:p>
            <w:pPr>
              <w:pStyle w:val="Compact"/>
            </w:pPr>
            <w:r>
              <w:t xml:space="preserve">Essential</w:t>
            </w:r>
          </w:p>
        </w:tc>
        <w:tc>
          <w:tcPr/>
          <w:p>
            <w:pPr>
              <w:pStyle w:val="Compact"/>
            </w:pPr>
            <w:r>
              <w:t xml:space="preserve">Compact stamp or code</w:t>
            </w:r>
          </w:p>
        </w:tc>
      </w:tr>
      <w:tr>
        <w:tc>
          <w:tcPr/>
          <w:p>
            <w:pPr>
              <w:pStyle w:val="Compact"/>
            </w:pPr>
            <w:r>
              <w:t xml:space="preserve">One-line note</w:t>
            </w:r>
          </w:p>
        </w:tc>
        <w:tc>
          <w:tcPr/>
          <w:p>
            <w:pPr>
              <w:pStyle w:val="Compact"/>
            </w:pPr>
            <w:r>
              <w:t xml:space="preserve">Conditional</w:t>
            </w:r>
          </w:p>
        </w:tc>
        <w:tc>
          <w:tcPr/>
          <w:p>
            <w:pPr>
              <w:pStyle w:val="Compact"/>
            </w:pPr>
            <w:r>
              <w:t xml:space="preserve">Only if needed to disambiguate</w:t>
            </w:r>
          </w:p>
        </w:tc>
      </w:tr>
    </w:tbl>
    <w:p>
      <w:pPr>
        <w:pStyle w:val="BodyText"/>
      </w:pPr>
      <w:r>
        <w:t xml:space="preserve">The “reason it is a card” field is important enough to deserve its own line. It prevents the interface from making incompleteness feel accidental or hidden; instead, incompleteness becomes a documented research condition. That is exactly the kind of transparency encouraged by minimal-level archival and pictorial cataloging practice.</w:t>
      </w:r>
      <w:r>
        <w:t xml:space="preserve"> </w:t>
      </w:r>
      <w:hyperlink r:id="rId25">
        <w:r>
          <w:rPr>
            <w:rStyle w:val="Hyperlink"/>
          </w:rPr>
          <w:t xml:space="preserve">[17]</w:t>
        </w:r>
      </w:hyperlink>
    </w:p>
    <w:bookmarkEnd w:id="41"/>
    <w:bookmarkStart w:id="43" w:name="X2cf0405f454c64b453db37724bbe3a864069e60"/>
    <w:p>
      <w:pPr>
        <w:pStyle w:val="Heading3"/>
      </w:pPr>
      <w:r>
        <w:t xml:space="preserve">Fallback stubs and unassigned research items</w:t>
      </w:r>
    </w:p>
    <w:p>
      <w:pPr>
        <w:pStyle w:val="FirstParagraph"/>
      </w:pPr>
      <w:r>
        <w:t xml:space="preserve">Fallback stubs and unassigned items should remain in view as part of the archive’s working evidence, not as hidden editorial debt. NARA’s controlled types include checklists, folder lists, item lists, logs, registers, and inventories that are useful even before they mature into fuller descriptions, while LoC minimal-level cataloging explicitly warns that source information may be limited and open to later correction.</w:t>
      </w:r>
      <w:r>
        <w:t xml:space="preserve"> </w:t>
      </w:r>
      <w:hyperlink r:id="rId35">
        <w:r>
          <w:rPr>
            <w:rStyle w:val="Hyperlink"/>
          </w:rPr>
          <w:t xml:space="preserve">[18]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 type</w:t>
            </w:r>
          </w:p>
        </w:tc>
        <w:tc>
          <w:tcPr/>
          <w:p>
            <w:pPr>
              <w:pStyle w:val="Compact"/>
            </w:pPr>
            <w:r>
              <w:t xml:space="preserve">Essential fields</w:t>
            </w:r>
          </w:p>
        </w:tc>
        <w:tc>
          <w:tcPr/>
          <w:p>
            <w:pPr>
              <w:pStyle w:val="Compact"/>
            </w:pPr>
            <w:r>
              <w:t xml:space="preserve">Visual rule</w:t>
            </w:r>
          </w:p>
        </w:tc>
        <w:tc>
          <w:tcPr/>
          <w:p>
            <w:pPr>
              <w:pStyle w:val="Compact"/>
            </w:pPr>
            <w:r>
              <w:t xml:space="preserve">Placement</w:t>
            </w:r>
          </w:p>
        </w:tc>
      </w:tr>
      <w:tr>
        <w:tc>
          <w:tcPr/>
          <w:p>
            <w:pPr>
              <w:pStyle w:val="Compact"/>
            </w:pPr>
            <w:r>
              <w:t xml:space="preserve">Fallback stub</w:t>
            </w:r>
          </w:p>
        </w:tc>
        <w:tc>
          <w:tcPr/>
          <w:p>
            <w:pPr>
              <w:pStyle w:val="Compact"/>
            </w:pPr>
            <w:r>
              <w:t xml:space="preserve">Stable ID, provisional label, source, date clue if any, reason for downgrade, rights/image state, source return link</w:t>
            </w:r>
          </w:p>
        </w:tc>
        <w:tc>
          <w:tcPr/>
          <w:p>
            <w:pPr>
              <w:pStyle w:val="Compact"/>
            </w:pPr>
            <w:r>
              <w:t xml:space="preserve">Dashed or hollow frame; keeps same header logic as a card</w:t>
            </w:r>
          </w:p>
        </w:tc>
        <w:tc>
          <w:tcPr/>
          <w:p>
            <w:pPr>
              <w:pStyle w:val="Compact"/>
            </w:pPr>
            <w:r>
              <w:t xml:space="preserve">In chronology stream at best-known date position</w:t>
            </w:r>
          </w:p>
        </w:tc>
      </w:tr>
      <w:tr>
        <w:tc>
          <w:tcPr/>
          <w:p>
            <w:pPr>
              <w:pStyle w:val="Compact"/>
            </w:pPr>
            <w:r>
              <w:t xml:space="preserve">Unassigned research item</w:t>
            </w:r>
          </w:p>
        </w:tc>
        <w:tc>
          <w:tcPr/>
          <w:p>
            <w:pPr>
              <w:pStyle w:val="Compact"/>
            </w:pPr>
            <w:r>
              <w:t xml:space="preserve">Stable ID, research label, source clue, evidence note, status, next action</w:t>
            </w:r>
          </w:p>
        </w:tc>
        <w:tc>
          <w:tcPr/>
          <w:p>
            <w:pPr>
              <w:pStyle w:val="Compact"/>
            </w:pPr>
            <w:r>
              <w:t xml:space="preserve">Neutral “research” card with no confirmed folder badge</w:t>
            </w:r>
          </w:p>
        </w:tc>
        <w:tc>
          <w:tcPr/>
          <w:p>
            <w:pPr>
              <w:pStyle w:val="Compact"/>
            </w:pPr>
            <w:r>
              <w:t xml:space="preserve">Under a “Proposed / unassigned” divider within any tentatively relevant folder, and in global unassigned tray</w:t>
            </w:r>
          </w:p>
        </w:tc>
      </w:tr>
      <w:tr>
        <w:tc>
          <w:tcPr/>
          <w:p>
            <w:pPr>
              <w:pStyle w:val="Compact"/>
            </w:pPr>
            <w:r>
              <w:t xml:space="preserve">Proposed cell item</w:t>
            </w:r>
          </w:p>
        </w:tc>
        <w:tc>
          <w:tcPr/>
          <w:p>
            <w:pPr>
              <w:pStyle w:val="Compact"/>
            </w:pPr>
            <w:r>
              <w:t xml:space="preserve">Stable ID, candidate folder, confidence note, source, date clue, reason proposed</w:t>
            </w:r>
          </w:p>
        </w:tc>
        <w:tc>
          <w:tcPr/>
          <w:p>
            <w:pPr>
              <w:pStyle w:val="Compact"/>
            </w:pPr>
            <w:r>
              <w:t xml:space="preserve">Same as unassigned, but with explicit candidate placement strip</w:t>
            </w:r>
          </w:p>
        </w:tc>
        <w:tc>
          <w:tcPr/>
          <w:p>
            <w:pPr>
              <w:pStyle w:val="Compact"/>
            </w:pPr>
            <w:r>
              <w:t xml:space="preserve">At end of candidate date group or under dedicated proposed divider</w:t>
            </w:r>
          </w:p>
        </w:tc>
      </w:tr>
    </w:tbl>
    <w:p>
      <w:pPr>
        <w:pStyle w:val="BodyText"/>
      </w:pPr>
      <w:r>
        <w:t xml:space="preserve">A good rule is:</w:t>
      </w:r>
      <w:r>
        <w:t xml:space="preserve"> </w:t>
      </w:r>
      <w:r>
        <w:rPr>
          <w:b/>
          <w:bCs/>
        </w:rPr>
        <w:t xml:space="preserve">if it can be cited or pursued, it can be shown</w:t>
      </w:r>
      <w:r>
        <w:t xml:space="preserve">. The user should never have to guess whether silence means nonexistence or merely incomplete editorial work.</w:t>
      </w:r>
      <w:r>
        <w:t xml:space="preserve"> </w:t>
      </w:r>
      <w:hyperlink r:id="rId42">
        <w:r>
          <w:rPr>
            <w:rStyle w:val="Hyperlink"/>
          </w:rPr>
          <w:t xml:space="preserve">[19]</w:t>
        </w:r>
      </w:hyperlink>
    </w:p>
    <w:bookmarkEnd w:id="43"/>
    <w:bookmarkEnd w:id="44"/>
    <w:bookmarkStart w:id="50" w:name="completeness-and-compound-logic"/>
    <w:p>
      <w:pPr>
        <w:pStyle w:val="Heading2"/>
      </w:pPr>
      <w:r>
        <w:t xml:space="preserve">Completeness and compound logic</w:t>
      </w:r>
    </w:p>
    <w:bookmarkStart w:id="48" w:name="main-sheet-threshold"/>
    <w:p>
      <w:pPr>
        <w:pStyle w:val="Heading3"/>
      </w:pPr>
      <w:r>
        <w:t xml:space="preserve">Main-sheet threshold</w:t>
      </w:r>
    </w:p>
    <w:p>
      <w:pPr>
        <w:pStyle w:val="FirstParagraph"/>
      </w:pPr>
      <w:r>
        <w:t xml:space="preserve">A raw percentage of filled fields is too crude because title, source-return, date anchor, and rights are not equivalent to auxiliary notes. A better model is a</w:t>
      </w:r>
      <w:r>
        <w:t xml:space="preserve"> </w:t>
      </w:r>
      <w:r>
        <w:rPr>
          <w:b/>
          <w:bCs/>
        </w:rPr>
        <w:t xml:space="preserve">gated weighted score</w:t>
      </w:r>
      <w:r>
        <w:t xml:space="preserve">: the record must satisfy a few non-negotiable first-page requirements, then reach a weighted total of</w:t>
      </w:r>
      <w:r>
        <w:t xml:space="preserve"> </w:t>
      </w:r>
      <w:r>
        <w:rPr>
          <w:b/>
          <w:bCs/>
        </w:rPr>
        <w:t xml:space="preserve">60/100</w:t>
      </w:r>
      <w:r>
        <w:t xml:space="preserve">. That approach aligns with DACS minimum description, museum object record structure, and rights-aware aggregation practice, all of which treat identity, source, date, access, and rights as foundational rather than optional niceties.</w:t>
      </w:r>
      <w:r>
        <w:t xml:space="preserve"> </w:t>
      </w:r>
      <w:hyperlink r:id="rId24">
        <w:r>
          <w:rPr>
            <w:rStyle w:val="Hyperlink"/>
          </w:rPr>
          <w:t xml:space="preserve">[20]</w:t>
        </w:r>
      </w:hyperlink>
    </w:p>
    <w:bookmarkStart w:id="45" w:name="promotion-gates"/>
    <w:p>
      <w:pPr>
        <w:pStyle w:val="Heading4"/>
      </w:pPr>
      <w:r>
        <w:t xml:space="preserve">Promotion gates</w:t>
      </w:r>
    </w:p>
    <w:p>
      <w:pPr>
        <w:pStyle w:val="FirstParagraph"/>
      </w:pPr>
      <w:r>
        <w:t xml:space="preserve">A record cannot become a main sheet unless it has all of the following: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Requirement</w:t>
            </w:r>
          </w:p>
        </w:tc>
      </w:tr>
      <w:tr>
        <w:tc>
          <w:tcPr/>
          <w:p>
            <w:pPr>
              <w:pStyle w:val="Compact"/>
            </w:pPr>
            <w:r>
              <w:t xml:space="preserve">Public identity gate</w:t>
            </w:r>
          </w:p>
        </w:tc>
        <w:tc>
          <w:tcPr/>
          <w:p>
            <w:pPr>
              <w:pStyle w:val="Compact"/>
            </w:pPr>
            <w:r>
              <w:t xml:space="preserve">Title or supplied label suitable for public display</w:t>
            </w:r>
          </w:p>
        </w:tc>
      </w:tr>
      <w:tr>
        <w:tc>
          <w:tcPr/>
          <w:p>
            <w:pPr>
              <w:pStyle w:val="Compact"/>
            </w:pPr>
            <w:r>
              <w:t xml:space="preserve">Stable-record gate</w:t>
            </w:r>
          </w:p>
        </w:tc>
        <w:tc>
          <w:tcPr/>
          <w:p>
            <w:pPr>
              <w:pStyle w:val="Compact"/>
            </w:pPr>
            <w:r>
              <w:t xml:space="preserve">Internal stable ID</w:t>
            </w:r>
          </w:p>
        </w:tc>
      </w:tr>
      <w:tr>
        <w:tc>
          <w:tcPr/>
          <w:p>
            <w:pPr>
              <w:pStyle w:val="Compact"/>
            </w:pPr>
            <w:r>
              <w:t xml:space="preserve">Source gate</w:t>
            </w:r>
          </w:p>
        </w:tc>
        <w:tc>
          <w:tcPr/>
          <w:p>
            <w:pPr>
              <w:pStyle w:val="Compact"/>
            </w:pPr>
            <w:r>
              <w:t xml:space="preserve">Named source plus resolvable return action or archival locator</w:t>
            </w:r>
          </w:p>
        </w:tc>
      </w:tr>
      <w:tr>
        <w:tc>
          <w:tcPr/>
          <w:p>
            <w:pPr>
              <w:pStyle w:val="Compact"/>
            </w:pPr>
            <w:r>
              <w:t xml:space="preserve">Chronology gate</w:t>
            </w:r>
          </w:p>
        </w:tc>
        <w:tc>
          <w:tcPr/>
          <w:p>
            <w:pPr>
              <w:pStyle w:val="Compact"/>
            </w:pPr>
            <w:r>
              <w:t xml:space="preserve">Date or date range sufficient to place it in the folder stream</w:t>
            </w:r>
          </w:p>
        </w:tc>
      </w:tr>
      <w:tr>
        <w:tc>
          <w:tcPr/>
          <w:p>
            <w:pPr>
              <w:pStyle w:val="Compact"/>
            </w:pPr>
            <w:r>
              <w:t xml:space="preserve">Rights gate</w:t>
            </w:r>
          </w:p>
        </w:tc>
        <w:tc>
          <w:tcPr/>
          <w:p>
            <w:pPr>
              <w:pStyle w:val="Compact"/>
            </w:pPr>
            <w:r>
              <w:t xml:space="preserve">Assigned IMG state plus at least a rights advisory / statement / usage condition / “not evaluated” note</w:t>
            </w:r>
          </w:p>
        </w:tc>
      </w:tr>
    </w:tbl>
    <w:bookmarkEnd w:id="45"/>
    <w:bookmarkStart w:id="47" w:name="weighted-scoring-model"/>
    <w:p>
      <w:pPr>
        <w:pStyle w:val="Heading4"/>
      </w:pPr>
      <w:r>
        <w:t xml:space="preserve">Weighted scoring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jc w:val="right"/>
            </w:pPr>
            <w:r>
              <w:t xml:space="preserve">Max points</w:t>
            </w:r>
          </w:p>
        </w:tc>
        <w:tc>
          <w:tcPr/>
          <w:p>
            <w:pPr>
              <w:pStyle w:val="Compact"/>
            </w:pPr>
            <w:r>
              <w:t xml:space="preserve">Full-score condition</w:t>
            </w:r>
          </w:p>
        </w:tc>
        <w:tc>
          <w:tcPr/>
          <w:p>
            <w:pPr>
              <w:pStyle w:val="Compact"/>
            </w:pPr>
            <w:r>
              <w:t xml:space="preserve">Partial-credit rule</w:t>
            </w:r>
          </w:p>
        </w:tc>
      </w:tr>
      <w:tr>
        <w:tc>
          <w:tcPr/>
          <w:p>
            <w:pPr>
              <w:pStyle w:val="Compact"/>
            </w:pPr>
            <w:r>
              <w:t xml:space="preserve">Identity</w:t>
            </w:r>
          </w:p>
        </w:tc>
        <w:tc>
          <w:tcPr/>
          <w:p>
            <w:pPr>
              <w:pStyle w:val="Compact"/>
              <w:jc w:val="right"/>
            </w:pPr>
            <w:r>
              <w:t xml:space="preserve">20</w:t>
            </w:r>
          </w:p>
        </w:tc>
        <w:tc>
          <w:tcPr/>
          <w:p>
            <w:pPr>
              <w:pStyle w:val="Compact"/>
            </w:pPr>
            <w:r>
              <w:t xml:space="preserve">Public label, display ID, internal stable ID, and record type all present</w:t>
            </w:r>
          </w:p>
        </w:tc>
        <w:tc>
          <w:tcPr/>
          <w:p>
            <w:pPr>
              <w:pStyle w:val="Compact"/>
            </w:pPr>
            <w:r>
              <w:t xml:space="preserve">Supplied or provisional label gets partial credit</w:t>
            </w:r>
          </w:p>
        </w:tc>
      </w:tr>
      <w:tr>
        <w:tc>
          <w:tcPr/>
          <w:p>
            <w:pPr>
              <w:pStyle w:val="Compact"/>
            </w:pPr>
            <w:r>
              <w:t xml:space="preserve">Source and citation</w:t>
            </w:r>
          </w:p>
        </w:tc>
        <w:tc>
          <w:tcPr/>
          <w:p>
            <w:pPr>
              <w:pStyle w:val="Compact"/>
              <w:jc w:val="right"/>
            </w:pPr>
            <w:r>
              <w:t xml:space="preserve">15</w:t>
            </w:r>
          </w:p>
        </w:tc>
        <w:tc>
          <w:tcPr/>
          <w:p>
            <w:pPr>
              <w:pStyle w:val="Compact"/>
            </w:pPr>
            <w:r>
              <w:t xml:space="preserve">Source name, return link/locator, and usable citation data present</w:t>
            </w:r>
          </w:p>
        </w:tc>
        <w:tc>
          <w:tcPr/>
          <w:p>
            <w:pPr>
              <w:pStyle w:val="Compact"/>
            </w:pPr>
            <w:r>
              <w:t xml:space="preserve">Locator without a full citation gets partial credit</w:t>
            </w:r>
          </w:p>
        </w:tc>
      </w:tr>
      <w:tr>
        <w:tc>
          <w:tcPr/>
          <w:p>
            <w:pPr>
              <w:pStyle w:val="Compact"/>
            </w:pPr>
            <w:r>
              <w:t xml:space="preserve">Date and place</w:t>
            </w:r>
          </w:p>
        </w:tc>
        <w:tc>
          <w:tcPr/>
          <w:p>
            <w:pPr>
              <w:pStyle w:val="Compact"/>
              <w:jc w:val="right"/>
            </w:pPr>
            <w:r>
              <w:t xml:space="preserve">15</w:t>
            </w:r>
          </w:p>
        </w:tc>
        <w:tc>
          <w:tcPr/>
          <w:p>
            <w:pPr>
              <w:pStyle w:val="Compact"/>
            </w:pPr>
            <w:r>
              <w:t xml:space="preserve">Display date plus normalized date span and place/region</w:t>
            </w:r>
          </w:p>
        </w:tc>
        <w:tc>
          <w:tcPr/>
          <w:p>
            <w:pPr>
              <w:pStyle w:val="Compact"/>
            </w:pPr>
            <w:r>
              <w:t xml:space="preserve">Approximate or bracketed dates score partially</w:t>
            </w:r>
          </w:p>
        </w:tc>
      </w:tr>
      <w:tr>
        <w:tc>
          <w:tcPr/>
          <w:p>
            <w:pPr>
              <w:pStyle w:val="Compact"/>
            </w:pPr>
            <w:r>
              <w:t xml:space="preserve">People and institutions</w:t>
            </w:r>
          </w:p>
        </w:tc>
        <w:tc>
          <w:tcPr/>
          <w:p>
            <w:pPr>
              <w:pStyle w:val="Compact"/>
              <w:jc w:val="right"/>
            </w:pPr>
            <w:r>
              <w:t xml:space="preserve">10</w:t>
            </w:r>
          </w:p>
        </w:tc>
        <w:tc>
          <w:tcPr/>
          <w:p>
            <w:pPr>
              <w:pStyle w:val="Compact"/>
            </w:pPr>
            <w:r>
              <w:t xml:space="preserve">At least one named person or institution with role</w:t>
            </w:r>
          </w:p>
        </w:tc>
        <w:tc>
          <w:tcPr/>
          <w:p>
            <w:pPr>
              <w:pStyle w:val="Compact"/>
            </w:pPr>
            <w:r>
              <w:t xml:space="preserve">Generic or inferred roles score partially</w:t>
            </w:r>
          </w:p>
        </w:tc>
      </w:tr>
      <w:tr>
        <w:tc>
          <w:tcPr/>
          <w:p>
            <w:pPr>
              <w:pStyle w:val="Compact"/>
            </w:pPr>
            <w:r>
              <w:t xml:space="preserve">Classification</w:t>
            </w:r>
          </w:p>
        </w:tc>
        <w:tc>
          <w:tcPr/>
          <w:p>
            <w:pPr>
              <w:pStyle w:val="Compact"/>
              <w:jc w:val="right"/>
            </w:pPr>
            <w:r>
              <w:t xml:space="preserve">10</w:t>
            </w:r>
          </w:p>
        </w:tc>
        <w:tc>
          <w:tcPr/>
          <w:p>
            <w:pPr>
              <w:pStyle w:val="Compact"/>
            </w:pPr>
            <w:r>
              <w:t xml:space="preserve">Record type plus normalized folder memberships and controlled terms</w:t>
            </w:r>
          </w:p>
        </w:tc>
        <w:tc>
          <w:tcPr/>
          <w:p>
            <w:pPr>
              <w:pStyle w:val="Compact"/>
            </w:pPr>
            <w:r>
              <w:t xml:space="preserve">Folder placements without controlled terms score partially</w:t>
            </w:r>
          </w:p>
        </w:tc>
      </w:tr>
      <w:tr>
        <w:tc>
          <w:tcPr/>
          <w:p>
            <w:pPr>
              <w:pStyle w:val="Compact"/>
            </w:pPr>
            <w:r>
              <w:t xml:space="preserve">Rights and image</w:t>
            </w:r>
          </w:p>
        </w:tc>
        <w:tc>
          <w:tcPr/>
          <w:p>
            <w:pPr>
              <w:pStyle w:val="Compact"/>
              <w:jc w:val="right"/>
            </w:pPr>
            <w:r>
              <w:t xml:space="preserve">10</w:t>
            </w:r>
          </w:p>
        </w:tc>
        <w:tc>
          <w:tcPr/>
          <w:p>
            <w:pPr>
              <w:pStyle w:val="Compact"/>
            </w:pPr>
            <w:r>
              <w:t xml:space="preserve">IMG state, rights statement/advisory, and review/evidence date</w:t>
            </w:r>
          </w:p>
        </w:tc>
        <w:tc>
          <w:tcPr/>
          <w:p>
            <w:pPr>
              <w:pStyle w:val="Compact"/>
            </w:pPr>
            <w:r>
              <w:t xml:space="preserve">Only a rights advisory or only an IMG state scores partially</w:t>
            </w:r>
          </w:p>
        </w:tc>
      </w:tr>
      <w:tr>
        <w:tc>
          <w:tcPr/>
          <w:p>
            <w:pPr>
              <w:pStyle w:val="Compact"/>
            </w:pPr>
            <w:r>
              <w:t xml:space="preserve">Description</w:t>
            </w:r>
          </w:p>
        </w:tc>
        <w:tc>
          <w:tcPr/>
          <w:p>
            <w:pPr>
              <w:pStyle w:val="Compact"/>
              <w:jc w:val="right"/>
            </w:pPr>
            <w:r>
              <w:t xml:space="preserve">10</w:t>
            </w:r>
          </w:p>
        </w:tc>
        <w:tc>
          <w:tcPr/>
          <w:p>
            <w:pPr>
              <w:pStyle w:val="Compact"/>
            </w:pPr>
            <w:r>
              <w:t xml:space="preserve">Useful short abstract plus one physical/language/context fact</w:t>
            </w:r>
          </w:p>
        </w:tc>
        <w:tc>
          <w:tcPr/>
          <w:p>
            <w:pPr>
              <w:pStyle w:val="Compact"/>
            </w:pPr>
            <w:r>
              <w:t xml:space="preserve">Bare abstract only scores partially</w:t>
            </w:r>
          </w:p>
        </w:tc>
      </w:tr>
      <w:tr>
        <w:tc>
          <w:tcPr/>
          <w:p>
            <w:pPr>
              <w:pStyle w:val="Compact"/>
            </w:pPr>
            <w:r>
              <w:t xml:space="preserve">Relations and provenance</w:t>
            </w:r>
          </w:p>
        </w:tc>
        <w:tc>
          <w:tcPr/>
          <w:p>
            <w:pPr>
              <w:pStyle w:val="Compact"/>
              <w:jc w:val="right"/>
            </w:pPr>
            <w:r>
              <w:t xml:space="preserve">10</w:t>
            </w:r>
          </w:p>
        </w:tc>
        <w:tc>
          <w:tcPr/>
          <w:p>
            <w:pPr>
              <w:pStyle w:val="Compact"/>
            </w:pPr>
            <w:r>
              <w:t xml:space="preserve">Explicit relation or parent-child link plus provenance/source-chain/bibliographic or exhibition evidence</w:t>
            </w:r>
          </w:p>
        </w:tc>
        <w:tc>
          <w:tcPr/>
          <w:p>
            <w:pPr>
              <w:pStyle w:val="Compact"/>
            </w:pPr>
            <w:r>
              <w:t xml:space="preserve">One relation without evidence scores partially</w:t>
            </w:r>
          </w:p>
        </w:tc>
      </w:tr>
    </w:tbl>
    <w:p>
      <w:pPr>
        <w:pStyle w:val="BodyText"/>
      </w:pPr>
      <w:r>
        <w:rPr>
          <w:b/>
          <w:bCs/>
        </w:rPr>
        <w:t xml:space="preserve">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Score</w:t>
            </w:r>
          </w:p>
        </w:tc>
        <w:tc>
          <w:tcPr/>
          <w:p>
            <w:pPr>
              <w:pStyle w:val="Compact"/>
            </w:pPr>
            <w:r>
              <w:t xml:space="preserve">Surface outcome</w:t>
            </w:r>
          </w:p>
        </w:tc>
      </w:tr>
      <w:tr>
        <w:tc>
          <w:tcPr/>
          <w:p>
            <w:pPr>
              <w:pStyle w:val="Compact"/>
              <w:jc w:val="right"/>
            </w:pPr>
            <w:r>
              <w:t xml:space="preserve">60–100 and all gates passed</w:t>
            </w:r>
          </w:p>
        </w:tc>
        <w:tc>
          <w:tcPr/>
          <w:p>
            <w:pPr>
              <w:pStyle w:val="Compact"/>
            </w:pPr>
            <w:r>
              <w:t xml:space="preserve">Main loose-leaf sheet</w:t>
            </w:r>
          </w:p>
        </w:tc>
      </w:tr>
      <w:tr>
        <w:tc>
          <w:tcPr/>
          <w:p>
            <w:pPr>
              <w:pStyle w:val="Compact"/>
              <w:jc w:val="right"/>
            </w:pPr>
            <w:r>
              <w:t xml:space="preserve">45–59</w:t>
            </w:r>
          </w:p>
        </w:tc>
        <w:tc>
          <w:tcPr/>
          <w:p>
            <w:pPr>
              <w:pStyle w:val="Compact"/>
            </w:pPr>
            <w:r>
              <w:t xml:space="preserve">Card by default; may rise through compounding or with appendix support</w:t>
            </w:r>
          </w:p>
        </w:tc>
      </w:tr>
      <w:tr>
        <w:tc>
          <w:tcPr/>
          <w:p>
            <w:pPr>
              <w:pStyle w:val="Compact"/>
              <w:jc w:val="right"/>
            </w:pPr>
            <w:r>
              <w:t xml:space="preserve">25–44</w:t>
            </w:r>
          </w:p>
        </w:tc>
        <w:tc>
          <w:tcPr/>
          <w:p>
            <w:pPr>
              <w:pStyle w:val="Compact"/>
            </w:pPr>
            <w:r>
              <w:t xml:space="preserve">Fallback stub</w:t>
            </w:r>
          </w:p>
        </w:tc>
      </w:tr>
      <w:tr>
        <w:tc>
          <w:tcPr/>
          <w:p>
            <w:pPr>
              <w:pStyle w:val="Compact"/>
              <w:jc w:val="right"/>
            </w:pPr>
            <w:r>
              <w:t xml:space="preserve">0–24</w:t>
            </w:r>
          </w:p>
        </w:tc>
        <w:tc>
          <w:tcPr/>
          <w:p>
            <w:pPr>
              <w:pStyle w:val="Compact"/>
            </w:pPr>
            <w:r>
              <w:t xml:space="preserve">Unassigned / proposed research item</w:t>
            </w:r>
          </w:p>
        </w:tc>
      </w:tr>
    </w:tbl>
    <w:p>
      <w:pPr>
        <w:pStyle w:val="BodyText"/>
      </w:pPr>
      <w:r>
        <w:t xml:space="preserve">This scoring model intentionally rewards</w:t>
      </w:r>
      <w:r>
        <w:t xml:space="preserve"> </w:t>
      </w:r>
      <w:r>
        <w:rPr>
          <w:b/>
          <w:bCs/>
        </w:rPr>
        <w:t xml:space="preserve">sourceability</w:t>
      </w:r>
      <w:r>
        <w:t xml:space="preserve"> </w:t>
      </w:r>
      <w:r>
        <w:t xml:space="preserve">over polish. A record with a stable ID, date, source return, and explicit rights can outrank a record with a beautiful description but no provenance or no reliable source anchor, because your system is an archive-index, not a narrative essay platform.</w:t>
      </w:r>
      <w:r>
        <w:t xml:space="preserve"> </w:t>
      </w:r>
      <w:hyperlink r:id="rId46">
        <w:r>
          <w:rPr>
            <w:rStyle w:val="Hyperlink"/>
          </w:rPr>
          <w:t xml:space="preserve">[21]</w:t>
        </w:r>
      </w:hyperlink>
    </w:p>
    <w:bookmarkEnd w:id="47"/>
    <w:bookmarkEnd w:id="48"/>
    <w:bookmarkStart w:id="49" w:name="compound-sheets"/>
    <w:p>
      <w:pPr>
        <w:pStyle w:val="Heading3"/>
      </w:pPr>
      <w:r>
        <w:t xml:space="preserve">Compound sheets</w:t>
      </w:r>
    </w:p>
    <w:p>
      <w:pPr>
        <w:pStyle w:val="FirstParagraph"/>
      </w:pPr>
      <w:r>
        <w:t xml:space="preserve">Compound sheets should follow explicit whole-part logic, not stylistic clustering. DACS multilevel description requires the identification of whole-part relationships; EAD arrangement and IIIF ranges both support structured hierarchies; catalogue raisonné practice routinely groups a work with variants, provenance, exhibition history, literature, and lost or related works. That means a compound sheet is justified when multiple weak records belong to a</w:t>
      </w:r>
      <w:r>
        <w:t xml:space="preserve"> </w:t>
      </w:r>
      <w:r>
        <w:rPr>
          <w:i/>
          <w:iCs/>
        </w:rPr>
        <w:t xml:space="preserve">known parent entity</w:t>
      </w:r>
      <w:r>
        <w:t xml:space="preserve">, not merely when they “look related.”</w:t>
      </w:r>
      <w:r>
        <w:t xml:space="preserve"> </w:t>
      </w:r>
      <w:hyperlink r:id="rId24">
        <w:r>
          <w:rPr>
            <w:rStyle w:val="Hyperlink"/>
          </w:rPr>
          <w:t xml:space="preserve">[22]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Parent compound sheet</w:t>
            </w:r>
          </w:p>
        </w:tc>
        <w:tc>
          <w:tcPr/>
          <w:p>
            <w:pPr>
              <w:pStyle w:val="Compact"/>
            </w:pPr>
            <w:r>
              <w:t xml:space="preserve">Child cards / appendix entries</w:t>
            </w:r>
          </w:p>
        </w:tc>
      </w:tr>
      <w:tr>
        <w:tc>
          <w:tcPr/>
          <w:p>
            <w:pPr>
              <w:pStyle w:val="Compact"/>
            </w:pPr>
            <w:r>
              <w:t xml:space="preserve">Trigger</w:t>
            </w:r>
          </w:p>
        </w:tc>
        <w:tc>
          <w:tcPr/>
          <w:p>
            <w:pPr>
              <w:pStyle w:val="Compact"/>
            </w:pPr>
            <w:r>
              <w:t xml:space="preserve">Same publication issue, identity program, exhibition, archive folder/series, edition/state, or object with multiple fragments</w:t>
            </w:r>
          </w:p>
        </w:tc>
        <w:tc>
          <w:tcPr/>
          <w:p>
            <w:pPr>
              <w:pStyle w:val="Compact"/>
            </w:pPr>
            <w:r>
              <w:t xml:space="preserve">Each child remains independently visible</w:t>
            </w:r>
          </w:p>
        </w:tc>
      </w:tr>
      <w:tr>
        <w:tc>
          <w:tcPr/>
          <w:p>
            <w:pPr>
              <w:pStyle w:val="Compact"/>
            </w:pPr>
            <w:r>
              <w:t xml:space="preserve">Minimum requirement</w:t>
            </w:r>
          </w:p>
        </w:tc>
        <w:tc>
          <w:tcPr/>
          <w:p>
            <w:pPr>
              <w:pStyle w:val="Compact"/>
            </w:pPr>
            <w:r>
              <w:t xml:space="preserve">Explicit relation type and shared parent title/identity</w:t>
            </w:r>
          </w:p>
        </w:tc>
        <w:tc>
          <w:tcPr/>
          <w:p>
            <w:pPr>
              <w:pStyle w:val="Compact"/>
            </w:pPr>
            <w:r>
              <w:t xml:space="preserve">Child may stay weak if parent relation is explicit</w:t>
            </w:r>
          </w:p>
        </w:tc>
      </w:tr>
      <w:tr>
        <w:tc>
          <w:tcPr/>
          <w:p>
            <w:pPr>
              <w:pStyle w:val="Compact"/>
            </w:pPr>
            <w:r>
              <w:t xml:space="preserve">Promotion rule</w:t>
            </w:r>
          </w:p>
        </w:tc>
        <w:tc>
          <w:tcPr/>
          <w:p>
            <w:pPr>
              <w:pStyle w:val="Compact"/>
            </w:pPr>
            <w:r>
              <w:t xml:space="preserve">Parent must satisfy promotion gates and reach 60/100 using shared evidence</w:t>
            </w:r>
          </w:p>
        </w:tc>
        <w:tc>
          <w:tcPr/>
          <w:p>
            <w:pPr>
              <w:pStyle w:val="Compact"/>
            </w:pPr>
            <w:r>
              <w:t xml:space="preserve">Child does not need to become a main sheet</w:t>
            </w:r>
          </w:p>
        </w:tc>
      </w:tr>
      <w:tr>
        <w:tc>
          <w:tcPr/>
          <w:p>
            <w:pPr>
              <w:pStyle w:val="Compact"/>
            </w:pPr>
            <w:r>
              <w:t xml:space="preserve">Header</w:t>
            </w:r>
          </w:p>
        </w:tc>
        <w:tc>
          <w:tcPr/>
          <w:p>
            <w:pPr>
              <w:pStyle w:val="Compact"/>
            </w:pPr>
            <w:r>
              <w:t xml:space="preserve">Parent title, date span, source cluster, representative IMG state, summary</w:t>
            </w:r>
          </w:p>
        </w:tc>
        <w:tc>
          <w:tcPr/>
          <w:p>
            <w:pPr>
              <w:pStyle w:val="Compact"/>
            </w:pPr>
            <w:r>
              <w:t xml:space="preserve">Child keeps own date/source/rights status</w:t>
            </w:r>
          </w:p>
        </w:tc>
      </w:tr>
      <w:tr>
        <w:tc>
          <w:tcPr/>
          <w:p>
            <w:pPr>
              <w:pStyle w:val="Compact"/>
            </w:pPr>
            <w:r>
              <w:t xml:space="preserve">Main body</w:t>
            </w:r>
          </w:p>
        </w:tc>
        <w:tc>
          <w:tcPr/>
          <w:p>
            <w:pPr>
              <w:pStyle w:val="Compact"/>
            </w:pPr>
            <w:r>
              <w:t xml:space="preserve">Member list preview plus parent metadata</w:t>
            </w:r>
          </w:p>
        </w:tc>
        <w:tc>
          <w:tcPr/>
          <w:p>
            <w:pPr>
              <w:pStyle w:val="Compact"/>
            </w:pPr>
            <w:r>
              <w:t xml:space="preserve">Child card shows why it remains weak</w:t>
            </w:r>
          </w:p>
        </w:tc>
      </w:tr>
      <w:tr>
        <w:tc>
          <w:tcPr/>
          <w:p>
            <w:pPr>
              <w:pStyle w:val="Compact"/>
            </w:pPr>
            <w:r>
              <w:t xml:space="preserve">Appendix</w:t>
            </w:r>
          </w:p>
        </w:tc>
        <w:tc>
          <w:tcPr/>
          <w:p>
            <w:pPr>
              <w:pStyle w:val="Compact"/>
            </w:pPr>
            <w:r>
              <w:t xml:space="preserve">Full member list, evidence matrix, bibliography, provenance, rights notes</w:t>
            </w:r>
          </w:p>
        </w:tc>
        <w:tc>
          <w:tcPr/>
          <w:p>
            <w:pPr>
              <w:pStyle w:val="Compact"/>
            </w:pPr>
            <w:r>
              <w:t xml:space="preserve">Appendix entries can expand child-specific details</w:t>
            </w:r>
          </w:p>
        </w:tc>
      </w:tr>
      <w:tr>
        <w:tc>
          <w:tcPr/>
          <w:p>
            <w:pPr>
              <w:pStyle w:val="Compact"/>
            </w:pPr>
            <w:r>
              <w:t xml:space="preserve">Prohibited use</w:t>
            </w:r>
          </w:p>
        </w:tc>
        <w:tc>
          <w:tcPr/>
          <w:p>
            <w:pPr>
              <w:pStyle w:val="Compact"/>
            </w:pPr>
            <w:r>
              <w:t xml:space="preserve">Same movement, same region, or same theme with no direct relation evidence</w:t>
            </w:r>
          </w:p>
        </w:tc>
        <w:tc>
          <w:tcPr/>
          <w:p>
            <w:pPr>
              <w:pStyle w:val="Compact"/>
            </w:pPr>
            <w:r>
              <w:t xml:space="preserve">Do not merge just to “clean up” the folder stream</w:t>
            </w:r>
          </w:p>
        </w:tc>
      </w:tr>
    </w:tbl>
    <w:p>
      <w:pPr>
        <w:pStyle w:val="BodyText"/>
      </w:pPr>
      <w:r>
        <w:t xml:space="preserve">A practical implementation rule is this: a parent compound sheet may be generated when the parent entity itself scores as a main sheet</w:t>
      </w:r>
      <w:r>
        <w:t xml:space="preserve"> </w:t>
      </w:r>
      <w:r>
        <w:rPr>
          <w:b/>
          <w:bCs/>
        </w:rPr>
        <w:t xml:space="preserve">and</w:t>
      </w:r>
      <w:r>
        <w:t xml:space="preserve"> </w:t>
      </w:r>
      <w:r>
        <w:t xml:space="preserve">every child either scores at least 25 or has an explicit part-of relation to the parent. That prevents compounding from becoming a way to bury very weak or unrelated records inside an attractive parent page.</w:t>
      </w:r>
      <w:r>
        <w:t xml:space="preserve"> </w:t>
      </w:r>
      <w:hyperlink r:id="rId24">
        <w:r>
          <w:rPr>
            <w:rStyle w:val="Hyperlink"/>
          </w:rPr>
          <w:t xml:space="preserve">[23]</w:t>
        </w:r>
      </w:hyperlink>
    </w:p>
    <w:bookmarkEnd w:id="49"/>
    <w:bookmarkEnd w:id="50"/>
    <w:bookmarkStart w:id="60" w:name="image-states-color-system-and-user-flow"/>
    <w:p>
      <w:pPr>
        <w:pStyle w:val="Heading2"/>
      </w:pPr>
      <w:r>
        <w:t xml:space="preserve">Image states, color system, and user flow</w:t>
      </w:r>
    </w:p>
    <w:bookmarkStart w:id="54" w:name="img00img04-as-layout-logic"/>
    <w:p>
      <w:pPr>
        <w:pStyle w:val="Heading3"/>
      </w:pPr>
      <w:r>
        <w:t xml:space="preserve">IMG00–IMG04 as layout logic</w:t>
      </w:r>
    </w:p>
    <w:p>
      <w:pPr>
        <w:pStyle w:val="FirstParagraph"/>
      </w:pPr>
      <w:r>
        <w:t xml:space="preserve">The image state should not merely decorate the record; it should determine how the fixed media bay behaves. Europeana demonstrates both item pages with visible rights/provider links and cases where media cannot be displayed and the user is pushed back to the providing institution; IIIF separates the viewing environment from the object homepage and formalizes both rights and homepage properties; LoC notes that some images display only as thumbnails outside the Library because of rights; Smithsonian and The Met show both restricted media and openly reusable collections. Those patterns support a single IMG bay with different states, plus one explicit text-only expansion state.</w:t>
      </w:r>
      <w:r>
        <w:t xml:space="preserve"> </w:t>
      </w:r>
      <w:hyperlink r:id="rId51">
        <w:r>
          <w:rPr>
            <w:rStyle w:val="Hyperlink"/>
          </w:rPr>
          <w:t xml:space="preserve">[24]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Visual treatment</w:t>
            </w:r>
          </w:p>
        </w:tc>
        <w:tc>
          <w:tcPr/>
          <w:p>
            <w:pPr>
              <w:pStyle w:val="Compact"/>
            </w:pPr>
            <w:r>
              <w:t xml:space="preserve">Minimum visible text</w:t>
            </w:r>
          </w:p>
        </w:tc>
        <w:tc>
          <w:tcPr/>
          <w:p>
            <w:pPr>
              <w:pStyle w:val="Compact"/>
            </w:pPr>
            <w:r>
              <w:t xml:space="preserve">Primary actions</w:t>
            </w:r>
          </w:p>
        </w:tc>
      </w:tr>
      <w:tr>
        <w:tc>
          <w:tcPr/>
          <w:p>
            <w:pPr>
              <w:pStyle w:val="Compact"/>
            </w:pPr>
            <w:r>
              <w:t xml:space="preserve">IMG00</w:t>
            </w:r>
          </w:p>
        </w:tc>
        <w:tc>
          <w:tcPr/>
          <w:p>
            <w:pPr>
              <w:pStyle w:val="Compact"/>
            </w:pPr>
            <w:r>
              <w:t xml:space="preserve">Fixed empty frame remains in place; outline, shadow, or crosshatch only</w:t>
            </w:r>
          </w:p>
        </w:tc>
        <w:tc>
          <w:tcPr/>
          <w:p>
            <w:pPr>
              <w:pStyle w:val="Compact"/>
            </w:pPr>
            <w:r>
              <w:t xml:space="preserve">Media rights, source name, reason no image is shown, review date</w:t>
            </w:r>
          </w:p>
        </w:tc>
        <w:tc>
          <w:tcPr/>
          <w:p>
            <w:pPr>
              <w:pStyle w:val="Compact"/>
            </w:pPr>
            <w:r>
              <w:t xml:space="preserve">View at source</w:t>
            </w:r>
          </w:p>
        </w:tc>
      </w:tr>
      <w:tr>
        <w:tc>
          <w:tcPr/>
          <w:p>
            <w:pPr>
              <w:pStyle w:val="Compact"/>
            </w:pPr>
            <w:r>
              <w:t xml:space="preserve">IMG01</w:t>
            </w:r>
          </w:p>
        </w:tc>
        <w:tc>
          <w:tcPr/>
          <w:p>
            <w:pPr>
              <w:pStyle w:val="Compact"/>
            </w:pPr>
            <w:r>
              <w:t xml:space="preserve">Controlled thumbnail in the same frame</w:t>
            </w:r>
          </w:p>
        </w:tc>
        <w:tc>
          <w:tcPr/>
          <w:p>
            <w:pPr>
              <w:pStyle w:val="Compact"/>
            </w:pPr>
            <w:r>
              <w:t xml:space="preserve">Rights stamp and “thumbnail only” note if applicable</w:t>
            </w:r>
          </w:p>
        </w:tc>
        <w:tc>
          <w:tcPr/>
          <w:p>
            <w:pPr>
              <w:pStyle w:val="Compact"/>
            </w:pPr>
            <w:r>
              <w:t xml:space="preserve">View at source</w:t>
            </w:r>
          </w:p>
        </w:tc>
      </w:tr>
      <w:tr>
        <w:tc>
          <w:tcPr/>
          <w:p>
            <w:pPr>
              <w:pStyle w:val="Compact"/>
            </w:pPr>
            <w:r>
              <w:t xml:space="preserve">IMG02</w:t>
            </w:r>
          </w:p>
        </w:tc>
        <w:tc>
          <w:tcPr/>
          <w:p>
            <w:pPr>
              <w:pStyle w:val="Compact"/>
            </w:pPr>
            <w:r>
              <w:t xml:space="preserve">Source-hosted viewer / IIIF / embed in the same frame</w:t>
            </w:r>
          </w:p>
        </w:tc>
        <w:tc>
          <w:tcPr/>
          <w:p>
            <w:pPr>
              <w:pStyle w:val="Compact"/>
            </w:pPr>
            <w:r>
              <w:t xml:space="preserve">Host/provider label, rights, manifest/viewer note</w:t>
            </w:r>
          </w:p>
        </w:tc>
        <w:tc>
          <w:tcPr/>
          <w:p>
            <w:pPr>
              <w:pStyle w:val="Compact"/>
            </w:pPr>
            <w:r>
              <w:t xml:space="preserve">Open source viewer / manifest</w:t>
            </w:r>
          </w:p>
        </w:tc>
      </w:tr>
      <w:tr>
        <w:tc>
          <w:tcPr/>
          <w:p>
            <w:pPr>
              <w:pStyle w:val="Compact"/>
            </w:pPr>
            <w:r>
              <w:t xml:space="preserve">IMG03</w:t>
            </w:r>
          </w:p>
        </w:tc>
        <w:tc>
          <w:tcPr/>
          <w:p>
            <w:pPr>
              <w:pStyle w:val="Compact"/>
            </w:pPr>
            <w:r>
              <w:t xml:space="preserve">Open/reusable image candidate in the same frame with evidence badge</w:t>
            </w:r>
          </w:p>
        </w:tc>
        <w:tc>
          <w:tcPr/>
          <w:p>
            <w:pPr>
              <w:pStyle w:val="Compact"/>
            </w:pPr>
            <w:r>
              <w:t xml:space="preserve">Explicit reuse evidence, rights URI or policy, source</w:t>
            </w:r>
          </w:p>
        </w:tc>
        <w:tc>
          <w:tcPr/>
          <w:p>
            <w:pPr>
              <w:pStyle w:val="Compact"/>
            </w:pPr>
            <w:r>
              <w:t xml:space="preserve">View source, download/open if allowed</w:t>
            </w:r>
          </w:p>
        </w:tc>
      </w:tr>
      <w:tr>
        <w:tc>
          <w:tcPr/>
          <w:p>
            <w:pPr>
              <w:pStyle w:val="Compact"/>
            </w:pPr>
            <w:r>
              <w:t xml:space="preserve">IMG04</w:t>
            </w:r>
          </w:p>
        </w:tc>
        <w:tc>
          <w:tcPr/>
          <w:p>
            <w:pPr>
              <w:pStyle w:val="Compact"/>
            </w:pPr>
            <w:r>
              <w:t xml:space="preserve">No image frame; text/table area expands into that space</w:t>
            </w:r>
          </w:p>
        </w:tc>
        <w:tc>
          <w:tcPr/>
          <w:p>
            <w:pPr>
              <w:pStyle w:val="Compact"/>
            </w:pPr>
            <w:r>
              <w:t xml:space="preserve">“No image displayed” note, source, rights, and text-only explanation</w:t>
            </w:r>
          </w:p>
        </w:tc>
        <w:tc>
          <w:tcPr/>
          <w:p>
            <w:pPr>
              <w:pStyle w:val="Compact"/>
            </w:pPr>
            <w:r>
              <w:t xml:space="preserve">View at source, read transcript/metadata</w:t>
            </w:r>
          </w:p>
        </w:tc>
      </w:tr>
    </w:tbl>
    <w:p>
      <w:pPr>
        <w:pStyle w:val="BodyText"/>
      </w:pPr>
      <w:r>
        <w:t xml:space="preserve">For</w:t>
      </w:r>
      <w:r>
        <w:t xml:space="preserve"> </w:t>
      </w:r>
      <w:r>
        <w:rPr>
          <w:b/>
          <w:bCs/>
        </w:rPr>
        <w:t xml:space="preserve">IMG00</w:t>
      </w:r>
      <w:r>
        <w:t xml:space="preserve">, keep the frame. That empty reserved slot is important because it tells the user that the interface has considered the visual object and chosen not to hoard or display it locally. The empty frame should carry source and rights text so the absence reads as a documented legal or evidentiary condition, not as a broken image.</w:t>
      </w:r>
      <w:r>
        <w:t xml:space="preserve"> </w:t>
      </w:r>
      <w:hyperlink r:id="rId52">
        <w:r>
          <w:rPr>
            <w:rStyle w:val="Hyperlink"/>
          </w:rPr>
          <w:t xml:space="preserve">[25]</w:t>
        </w:r>
      </w:hyperlink>
    </w:p>
    <w:p>
      <w:pPr>
        <w:pStyle w:val="BodyText"/>
      </w:pPr>
      <w:r>
        <w:t xml:space="preserve">For</w:t>
      </w:r>
      <w:r>
        <w:t xml:space="preserve"> </w:t>
      </w:r>
      <w:r>
        <w:rPr>
          <w:b/>
          <w:bCs/>
        </w:rPr>
        <w:t xml:space="preserve">IMG03</w:t>
      </w:r>
      <w:r>
        <w:t xml:space="preserve">, require explicit evidence. Acceptable triggers include a Public Domain Mark or CC statement on the source item, a Smithsonian Open Access/CC0 condition, or The Met’s explicit Open Access notice for public domain images. Do not infer openness from age, low resolution, or absence of a visible warning.</w:t>
      </w:r>
      <w:r>
        <w:t xml:space="preserve"> </w:t>
      </w:r>
      <w:hyperlink r:id="rId53">
        <w:r>
          <w:rPr>
            <w:rStyle w:val="Hyperlink"/>
          </w:rPr>
          <w:t xml:space="preserve">[26]</w:t>
        </w:r>
      </w:hyperlink>
    </w:p>
    <w:bookmarkEnd w:id="54"/>
    <w:bookmarkStart w:id="57" w:name="folder-colors"/>
    <w:p>
      <w:pPr>
        <w:pStyle w:val="Heading3"/>
      </w:pPr>
      <w:r>
        <w:t xml:space="preserve">Folder colors</w:t>
      </w:r>
    </w:p>
    <w:p>
      <w:pPr>
        <w:pStyle w:val="FirstParagraph"/>
      </w:pPr>
      <w:r>
        <w:t xml:space="preserve">Only folder types should own color, and color should function as a semantic navigation aid rather than page decoration. Design-system guidance treats color as part of a controlled visual system, and accessibility guidance requires that contrast and non-color cues remain sufficient. For this project, use color only on structural elements such as tabs, folder spines, active divider lines, and small membership indicators. Do not tint sheets or let color vary by movement, region, or individual record.</w:t>
      </w:r>
      <w:r>
        <w:t xml:space="preserve"> </w:t>
      </w:r>
      <w:hyperlink r:id="rId55">
        <w:r>
          <w:rPr>
            <w:rStyle w:val="Hyperlink"/>
          </w:rPr>
          <w:t xml:space="preserve">[27]</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Folder type</w:t>
            </w:r>
          </w:p>
        </w:tc>
        <w:tc>
          <w:tcPr/>
          <w:p>
            <w:pPr>
              <w:pStyle w:val="Compact"/>
            </w:pPr>
            <w:r>
              <w:t xml:space="preserve">Suggested accent</w:t>
            </w:r>
          </w:p>
        </w:tc>
        <w:tc>
          <w:tcPr/>
          <w:p>
            <w:pPr>
              <w:pStyle w:val="Compact"/>
            </w:pPr>
            <w:r>
              <w:t xml:space="preserve">Tab geometry</w:t>
            </w:r>
          </w:p>
        </w:tc>
        <w:tc>
          <w:tcPr/>
          <w:p>
            <w:pPr>
              <w:pStyle w:val="Compact"/>
            </w:pPr>
            <w:r>
              <w:t xml:space="preserve">Code</w:t>
            </w:r>
          </w:p>
        </w:tc>
        <w:tc>
          <w:tcPr/>
          <w:p>
            <w:pPr>
              <w:pStyle w:val="Compact"/>
            </w:pPr>
            <w:r>
              <w:t xml:space="preserve">Usage limit</w:t>
            </w:r>
          </w:p>
        </w:tc>
      </w:tr>
      <w:tr>
        <w:tc>
          <w:tcPr/>
          <w:p>
            <w:pPr>
              <w:pStyle w:val="Compact"/>
            </w:pPr>
            <w:r>
              <w:t xml:space="preserve">Region</w:t>
            </w:r>
          </w:p>
        </w:tc>
        <w:tc>
          <w:tcPr/>
          <w:p>
            <w:pPr>
              <w:pStyle w:val="Compact"/>
            </w:pPr>
            <w:r>
              <w:t xml:space="preserve">Blue</w:t>
            </w:r>
          </w:p>
        </w:tc>
        <w:tc>
          <w:tcPr/>
          <w:p>
            <w:pPr>
              <w:pStyle w:val="Compact"/>
            </w:pPr>
            <w:r>
              <w:t xml:space="preserve">Left-cut tab</w:t>
            </w:r>
          </w:p>
        </w:tc>
        <w:tc>
          <w:tcPr/>
          <w:p>
            <w:pPr>
              <w:pStyle w:val="Compact"/>
            </w:pPr>
            <w:r>
              <w:t xml:space="preserve">RG</w:t>
            </w:r>
          </w:p>
        </w:tc>
        <w:tc>
          <w:tcPr/>
          <w:p>
            <w:pPr>
              <w:pStyle w:val="Compact"/>
            </w:pPr>
            <w:r>
              <w:t xml:space="preserve">Tab, spine chip, active divider line</w:t>
            </w:r>
          </w:p>
        </w:tc>
      </w:tr>
      <w:tr>
        <w:tc>
          <w:tcPr/>
          <w:p>
            <w:pPr>
              <w:pStyle w:val="Compact"/>
            </w:pPr>
            <w:r>
              <w:t xml:space="preserve">Theme</w:t>
            </w:r>
          </w:p>
        </w:tc>
        <w:tc>
          <w:tcPr/>
          <w:p>
            <w:pPr>
              <w:pStyle w:val="Compact"/>
            </w:pPr>
            <w:r>
              <w:t xml:space="preserve">Ochre</w:t>
            </w:r>
          </w:p>
        </w:tc>
        <w:tc>
          <w:tcPr/>
          <w:p>
            <w:pPr>
              <w:pStyle w:val="Compact"/>
            </w:pPr>
            <w:r>
              <w:t xml:space="preserve">Center-cut tab</w:t>
            </w:r>
          </w:p>
        </w:tc>
        <w:tc>
          <w:tcPr/>
          <w:p>
            <w:pPr>
              <w:pStyle w:val="Compact"/>
            </w:pPr>
            <w:r>
              <w:t xml:space="preserve">TH</w:t>
            </w:r>
          </w:p>
        </w:tc>
        <w:tc>
          <w:tcPr/>
          <w:p>
            <w:pPr>
              <w:pStyle w:val="Compact"/>
            </w:pPr>
            <w:r>
              <w:t xml:space="preserve">Tab, spine chip, active divider line</w:t>
            </w:r>
          </w:p>
        </w:tc>
      </w:tr>
      <w:tr>
        <w:tc>
          <w:tcPr/>
          <w:p>
            <w:pPr>
              <w:pStyle w:val="Compact"/>
            </w:pPr>
            <w:r>
              <w:t xml:space="preserve">Medium</w:t>
            </w:r>
          </w:p>
        </w:tc>
        <w:tc>
          <w:tcPr/>
          <w:p>
            <w:pPr>
              <w:pStyle w:val="Compact"/>
            </w:pPr>
            <w:r>
              <w:t xml:space="preserve">Green</w:t>
            </w:r>
          </w:p>
        </w:tc>
        <w:tc>
          <w:tcPr/>
          <w:p>
            <w:pPr>
              <w:pStyle w:val="Compact"/>
            </w:pPr>
            <w:r>
              <w:t xml:space="preserve">Right-cut tab</w:t>
            </w:r>
          </w:p>
        </w:tc>
        <w:tc>
          <w:tcPr/>
          <w:p>
            <w:pPr>
              <w:pStyle w:val="Compact"/>
            </w:pPr>
            <w:r>
              <w:t xml:space="preserve">MD</w:t>
            </w:r>
          </w:p>
        </w:tc>
        <w:tc>
          <w:tcPr/>
          <w:p>
            <w:pPr>
              <w:pStyle w:val="Compact"/>
            </w:pPr>
            <w:r>
              <w:t xml:space="preserve">Tab, spine chip, active divider line</w:t>
            </w:r>
          </w:p>
        </w:tc>
      </w:tr>
      <w:tr>
        <w:tc>
          <w:tcPr/>
          <w:p>
            <w:pPr>
              <w:pStyle w:val="Compact"/>
            </w:pPr>
            <w:r>
              <w:t xml:space="preserve">Movement</w:t>
            </w:r>
          </w:p>
        </w:tc>
        <w:tc>
          <w:tcPr/>
          <w:p>
            <w:pPr>
              <w:pStyle w:val="Compact"/>
            </w:pPr>
            <w:r>
              <w:t xml:space="preserve">Red</w:t>
            </w:r>
          </w:p>
        </w:tc>
        <w:tc>
          <w:tcPr/>
          <w:p>
            <w:pPr>
              <w:pStyle w:val="Compact"/>
            </w:pPr>
            <w:r>
              <w:t xml:space="preserve">Full-height side tab or double-notch tab</w:t>
            </w:r>
          </w:p>
        </w:tc>
        <w:tc>
          <w:tcPr/>
          <w:p>
            <w:pPr>
              <w:pStyle w:val="Compact"/>
            </w:pPr>
            <w:r>
              <w:t xml:space="preserve">MV</w:t>
            </w:r>
          </w:p>
        </w:tc>
        <w:tc>
          <w:tcPr/>
          <w:p>
            <w:pPr>
              <w:pStyle w:val="Compact"/>
            </w:pPr>
            <w:r>
              <w:t xml:space="preserve">Tab, spine chip, active divider line</w:t>
            </w:r>
          </w:p>
        </w:tc>
      </w:tr>
    </w:tbl>
    <w:p>
      <w:pPr>
        <w:pStyle w:val="BodyText"/>
      </w:pPr>
      <w:r>
        <w:t xml:space="preserve">The exact hues matter less than the rule set: high contrast, tested accessibility, and at least one non-color cue such as tab geometry or two-letter code. That keeps the system readable in grayscale, low vision, monochrome printouts, and the 1-bit base you want.</w:t>
      </w:r>
      <w:r>
        <w:t xml:space="preserve"> </w:t>
      </w:r>
      <w:hyperlink r:id="rId56">
        <w:r>
          <w:rPr>
            <w:rStyle w:val="Hyperlink"/>
          </w:rPr>
          <w:t xml:space="preserve">[28]</w:t>
        </w:r>
      </w:hyperlink>
    </w:p>
    <w:bookmarkEnd w:id="57"/>
    <w:bookmarkStart w:id="59" w:name="user-experience-flow"/>
    <w:p>
      <w:pPr>
        <w:pStyle w:val="Heading3"/>
      </w:pPr>
      <w:r>
        <w:t xml:space="preserve">User experience flow</w:t>
      </w:r>
    </w:p>
    <w:p>
      <w:pPr>
        <w:pStyle w:val="FirstParagraph"/>
      </w:pPr>
      <w:r>
        <w:t xml:space="preserve">The user flow should be linear, legible, and source-oriented:</w:t>
      </w:r>
      <w:r>
        <w:t xml:space="preserve"> </w:t>
      </w:r>
      <w:r>
        <w:rPr>
          <w:b/>
          <w:bCs/>
        </w:rPr>
        <w:t xml:space="preserve">Box → Folder type → Folder cover/index → Chronological stream of sheets/cards/stubs → Canonical sheet → Appendix → Source/IIIF provider</w:t>
      </w:r>
      <w:r>
        <w:t xml:space="preserve">. That mirrors how archival finding aids lead from collection overview to arranged contents, and how Europeana and IIIF preserve a path back to the providing institution’s own page or viewer. It also ensures that cross-folder movement lands on the same sheet instance rather than a redesigned page.</w:t>
      </w:r>
      <w:r>
        <w:t xml:space="preserve"> </w:t>
      </w:r>
      <w:hyperlink r:id="rId31">
        <w:r>
          <w:rPr>
            <w:rStyle w:val="Hyperlink"/>
          </w:rPr>
          <w:t xml:space="preserve">[29]</w:t>
        </w:r>
      </w:hyperlink>
    </w:p>
    <w:p>
      <w:pPr>
        <w:pStyle w:val="BodyText"/>
      </w:pPr>
      <w:r>
        <w:t xml:space="preserve">Inside a folder, chronology should use divider strips, not nested folders. When exact years are known, sort by year; when only rough spans are known, sort by decade or bracketed range; undated items should sit under a late-stream “Undated / inferred chronology” divider with an uncertainty strip. This follows the archival distinction between chronological filing order and separate calendar finding aids, and it respects DACS/LoC date practices for approximation and uncertainty.</w:t>
      </w:r>
      <w:r>
        <w:t xml:space="preserve"> </w:t>
      </w:r>
      <w:hyperlink r:id="rId23">
        <w:r>
          <w:rPr>
            <w:rStyle w:val="Hyperlink"/>
          </w:rPr>
          <w:t xml:space="preserve">[30]</w:t>
        </w:r>
      </w:hyperlink>
    </w:p>
    <w:p>
      <w:pPr>
        <w:pStyle w:val="BodyText"/>
      </w:pPr>
      <w:r>
        <w:t xml:space="preserve">The main interaction hierarchy should be stable across surfaces. The first action is always</w:t>
      </w:r>
      <w:r>
        <w:t xml:space="preserve"> </w:t>
      </w:r>
      <w:r>
        <w:rPr>
          <w:b/>
          <w:bCs/>
        </w:rPr>
        <w:t xml:space="preserve">View at source</w:t>
      </w:r>
      <w:r>
        <w:t xml:space="preserve">. The second action is</w:t>
      </w:r>
      <w:r>
        <w:t xml:space="preserve"> </w:t>
      </w:r>
      <w:r>
        <w:rPr>
          <w:b/>
          <w:bCs/>
        </w:rPr>
        <w:t xml:space="preserve">Open viewer / manifest</w:t>
      </w:r>
      <w:r>
        <w:t xml:space="preserve"> </w:t>
      </w:r>
      <w:r>
        <w:t xml:space="preserve">when IIIF or a hosted viewer exists. The third action is</w:t>
      </w:r>
      <w:r>
        <w:t xml:space="preserve"> </w:t>
      </w:r>
      <w:r>
        <w:rPr>
          <w:b/>
          <w:bCs/>
        </w:rPr>
        <w:t xml:space="preserve">Copy citation / bookmark</w:t>
      </w:r>
      <w:r>
        <w:t xml:space="preserve">. Any local expansion—appendix, relation table, transcript—should sit below these, because the archive-index exists to expose and connect records, not to replace source repositories.</w:t>
      </w:r>
      <w:r>
        <w:t xml:space="preserve"> </w:t>
      </w:r>
      <w:hyperlink r:id="rId58">
        <w:r>
          <w:rPr>
            <w:rStyle w:val="Hyperlink"/>
          </w:rPr>
          <w:t xml:space="preserve">[31]</w:t>
        </w:r>
      </w:hyperlink>
    </w:p>
    <w:bookmarkEnd w:id="59"/>
    <w:bookmarkEnd w:id="60"/>
    <w:bookmarkStart w:id="64" w:name="Xb13dc016d0ed70fa35684fbfbac08dfc24d2c10"/>
    <w:p>
      <w:pPr>
        <w:pStyle w:val="Heading2"/>
      </w:pPr>
      <w:r>
        <w:t xml:space="preserve">Wireframes, fixed templates, and anti-patterns</w:t>
      </w:r>
    </w:p>
    <w:p>
      <w:pPr>
        <w:pStyle w:val="FirstParagraph"/>
      </w:pPr>
      <w:r>
        <w:t xml:space="preserve">Fixed templates are the right default because both archival description standards and design systems value consistency over reinvention. DACS is output-neutral but standardizes what description must contain; Queensland and Australian government guidance describe reusable components, templates, and style systems that create a consistent experience. In this project, the layout should therefore be fixed at the structural level and variable only in content density.</w:t>
      </w:r>
      <w:r>
        <w:t xml:space="preserve"> </w:t>
      </w:r>
      <w:hyperlink r:id="rId21">
        <w:r>
          <w:rPr>
            <w:rStyle w:val="Hyperlink"/>
          </w:rPr>
          <w:t xml:space="preserve">[32]</w:t>
        </w:r>
      </w:hyperlink>
    </w:p>
    <w:bookmarkStart w:id="61" w:name="fixed-versus-variable"/>
    <w:p>
      <w:pPr>
        <w:pStyle w:val="Heading3"/>
      </w:pPr>
      <w:r>
        <w:t xml:space="preserve">Fixed versus variable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Fixed template parts</w:t>
            </w:r>
          </w:p>
        </w:tc>
        <w:tc>
          <w:tcPr/>
          <w:p>
            <w:pPr>
              <w:pStyle w:val="Compact"/>
            </w:pPr>
            <w:r>
              <w:t xml:space="preserve">Variable content parts</w:t>
            </w:r>
          </w:p>
        </w:tc>
      </w:tr>
      <w:tr>
        <w:tc>
          <w:tcPr/>
          <w:p>
            <w:pPr>
              <w:pStyle w:val="Compact"/>
            </w:pPr>
            <w:r>
              <w:t xml:space="preserve">Box shell, folder-type rail, and shell navigation</w:t>
            </w:r>
          </w:p>
        </w:tc>
        <w:tc>
          <w:tcPr/>
          <w:p>
            <w:pPr>
              <w:pStyle w:val="Compact"/>
            </w:pPr>
            <w:r>
              <w:t xml:space="preserve">Which folders and counts appear</w:t>
            </w:r>
          </w:p>
        </w:tc>
      </w:tr>
      <w:tr>
        <w:tc>
          <w:tcPr/>
          <w:p>
            <w:pPr>
              <w:pStyle w:val="Compact"/>
            </w:pPr>
            <w:r>
              <w:t xml:space="preserve">Folder-tab shapes, color ownership, and cover grid</w:t>
            </w:r>
          </w:p>
        </w:tc>
        <w:tc>
          <w:tcPr/>
          <w:p>
            <w:pPr>
              <w:pStyle w:val="Compact"/>
            </w:pPr>
            <w:r>
              <w:t xml:space="preserve">Folder title, scope note, chronology table, distributions</w:t>
            </w:r>
          </w:p>
        </w:tc>
      </w:tr>
      <w:tr>
        <w:tc>
          <w:tcPr/>
          <w:p>
            <w:pPr>
              <w:pStyle w:val="Compact"/>
            </w:pPr>
            <w:r>
              <w:t xml:space="preserve">Main-sheet grid, ID corner position, rights-stamp position, action order, IMG bay position</w:t>
            </w:r>
          </w:p>
        </w:tc>
        <w:tc>
          <w:tcPr/>
          <w:p>
            <w:pPr>
              <w:pStyle w:val="Compact"/>
            </w:pPr>
            <w:r>
              <w:t xml:space="preserve">Title length, people/places rows, note length, relation rows</w:t>
            </w:r>
          </w:p>
        </w:tc>
      </w:tr>
      <w:tr>
        <w:tc>
          <w:tcPr/>
          <w:p>
            <w:pPr>
              <w:pStyle w:val="Compact"/>
            </w:pPr>
            <w:r>
              <w:t xml:space="preserve">Appendix code system and evidence modules</w:t>
            </w:r>
          </w:p>
        </w:tc>
        <w:tc>
          <w:tcPr/>
          <w:p>
            <w:pPr>
              <w:pStyle w:val="Compact"/>
            </w:pPr>
            <w:r>
              <w:t xml:space="preserve">Which appendix pages exist and how many</w:t>
            </w:r>
          </w:p>
        </w:tc>
      </w:tr>
      <w:tr>
        <w:tc>
          <w:tcPr/>
          <w:p>
            <w:pPr>
              <w:pStyle w:val="Compact"/>
            </w:pPr>
            <w:r>
              <w:t xml:space="preserve">Card and stub geometry</w:t>
            </w:r>
          </w:p>
        </w:tc>
        <w:tc>
          <w:tcPr/>
          <w:p>
            <w:pPr>
              <w:pStyle w:val="Compact"/>
            </w:pPr>
            <w:r>
              <w:t xml:space="preserve">Labels, reason strings, evidence notes</w:t>
            </w:r>
          </w:p>
        </w:tc>
      </w:tr>
      <w:tr>
        <w:tc>
          <w:tcPr/>
          <w:p>
            <w:pPr>
              <w:pStyle w:val="Compact"/>
            </w:pPr>
            <w:r>
              <w:t xml:space="preserve">Footer placement for citation, status, and verification</w:t>
            </w:r>
          </w:p>
        </w:tc>
        <w:tc>
          <w:tcPr/>
          <w:p>
            <w:pPr>
              <w:pStyle w:val="Compact"/>
            </w:pPr>
            <w:r>
              <w:t xml:space="preserve">Actual citation text and log entries</w:t>
            </w:r>
          </w:p>
        </w:tc>
      </w:tr>
    </w:tbl>
    <w:bookmarkEnd w:id="61"/>
    <w:bookmarkStart w:id="62" w:name="text-wireframes"/>
    <w:p>
      <w:pPr>
        <w:pStyle w:val="Heading3"/>
      </w:pPr>
      <w:r>
        <w:t xml:space="preserve">Text wireframes</w:t>
      </w:r>
    </w:p>
    <w:p>
      <w:pPr>
        <w:pStyle w:val="FirstParagraph"/>
      </w:pPr>
      <w:r>
        <w:t xml:space="preserve">The following wireframes keep IDs, rights, and source in stable positions while letting evidence overflow into appendices. They combine the header logic of card catalogs, the tombstone discipline of object records, and the continuation logic of finding aids and catalogue raisonnés.</w:t>
      </w:r>
      <w:r>
        <w:t xml:space="preserve"> </w:t>
      </w:r>
      <w:hyperlink r:id="rId40">
        <w:r>
          <w:rPr>
            <w:rStyle w:val="Hyperlink"/>
          </w:rPr>
          <w:t xml:space="preserve">[33]</w:t>
        </w:r>
      </w:hyperlink>
    </w:p>
    <w:p>
      <w:pPr>
        <w:pStyle w:val="SourceCode"/>
      </w:pPr>
      <w:r>
        <w:rPr>
          <w:rStyle w:val="VerbatimChar"/>
        </w:rPr>
        <w:t xml:space="preserve">FOLDER COVER</w:t>
      </w:r>
      <w:r>
        <w:br/>
      </w:r>
      <w:r>
        <w:br/>
      </w:r>
      <w:r>
        <w:rPr>
          <w:rStyle w:val="VerbatimChar"/>
        </w:rPr>
        <w:t xml:space="preserve">┌──────────────────────────────────────────────────────────────────────┐</w:t>
      </w:r>
      <w:r>
        <w:br/>
      </w:r>
      <w:r>
        <w:rPr>
          <w:rStyle w:val="VerbatimChar"/>
        </w:rPr>
        <w:t xml:space="preserve">│ [TAB RG | Region]                                                   │</w:t>
      </w:r>
      <w:r>
        <w:br/>
      </w:r>
      <w:r>
        <w:rPr>
          <w:rStyle w:val="VerbatimChar"/>
        </w:rPr>
        <w:t xml:space="preserve">│ Folder title                                                        │</w:t>
      </w:r>
      <w:r>
        <w:br/>
      </w:r>
      <w:r>
        <w:rPr>
          <w:rStyle w:val="VerbatimChar"/>
        </w:rPr>
        <w:t xml:space="preserve">│ Date span                    Total records   Main / Card / Stub     │</w:t>
      </w:r>
      <w:r>
        <w:br/>
      </w:r>
      <w:r>
        <w:rPr>
          <w:rStyle w:val="VerbatimChar"/>
        </w:rPr>
        <w:t xml:space="preserve">│                              IMG00 IMG01 IMG02 IMG03 IMG04          │</w:t>
      </w:r>
      <w:r>
        <w:br/>
      </w:r>
      <w:r>
        <w:rPr>
          <w:rStyle w:val="VerbatimChar"/>
        </w:rPr>
        <w:t xml:space="preserve">│                              Distinct sources                       │</w:t>
      </w:r>
      <w:r>
        <w:br/>
      </w:r>
      <w:r>
        <w:rPr>
          <w:rStyle w:val="VerbatimChar"/>
        </w:rPr>
        <w:t xml:space="preserve">├──────────────────────────────────────────────────────────────────────┤</w:t>
      </w:r>
      <w:r>
        <w:br/>
      </w:r>
      <w:r>
        <w:rPr>
          <w:rStyle w:val="VerbatimChar"/>
        </w:rPr>
        <w:t xml:space="preserve">│ Scope note                                                           │</w:t>
      </w:r>
      <w:r>
        <w:br/>
      </w:r>
      <w:r>
        <w:rPr>
          <w:rStyle w:val="VerbatimChar"/>
        </w:rPr>
        <w:t xml:space="preserve">│ Short statement of what this folder aggregates, how inclusion works,│</w:t>
      </w:r>
      <w:r>
        <w:br/>
      </w:r>
      <w:r>
        <w:rPr>
          <w:rStyle w:val="VerbatimChar"/>
        </w:rPr>
        <w:t xml:space="preserve">│ and what kinds of records appear here.                              │</w:t>
      </w:r>
      <w:r>
        <w:br/>
      </w:r>
      <w:r>
        <w:rPr>
          <w:rStyle w:val="VerbatimChar"/>
        </w:rPr>
        <w:t xml:space="preserve">├──────────────────────────────────────────────────────────────────────┤</w:t>
      </w:r>
      <w:r>
        <w:br/>
      </w:r>
      <w:r>
        <w:rPr>
          <w:rStyle w:val="VerbatimChar"/>
        </w:rPr>
        <w:t xml:space="preserve">│ Chronological index                                                  │</w:t>
      </w:r>
      <w:r>
        <w:br/>
      </w:r>
      <w:r>
        <w:rPr>
          <w:rStyle w:val="VerbatimChar"/>
        </w:rPr>
        <w:t xml:space="preserve">│ 1920s   14 records   6 sheets   5 cards   3 stubs                   │</w:t>
      </w:r>
      <w:r>
        <w:br/>
      </w:r>
      <w:r>
        <w:rPr>
          <w:rStyle w:val="VerbatimChar"/>
        </w:rPr>
        <w:t xml:space="preserve">│ 1930s   22 records   9 sheets   8 cards   5 stubs                   │</w:t>
      </w:r>
      <w:r>
        <w:br/>
      </w:r>
      <w:r>
        <w:rPr>
          <w:rStyle w:val="VerbatimChar"/>
        </w:rPr>
        <w:t xml:space="preserve">│ 1940s   11 records   4 sheets   4 cards   3 stubs                   │</w:t>
      </w:r>
      <w:r>
        <w:br/>
      </w:r>
      <w:r>
        <w:rPr>
          <w:rStyle w:val="VerbatimChar"/>
        </w:rPr>
        <w:t xml:space="preserve">│ Undated / inferred   7 records                                      │</w:t>
      </w:r>
      <w:r>
        <w:br/>
      </w:r>
      <w:r>
        <w:rPr>
          <w:rStyle w:val="VerbatimChar"/>
        </w:rPr>
        <w:t xml:space="preserve">├──────────────────────────────────────────────────────────────────────┤</w:t>
      </w:r>
      <w:r>
        <w:br/>
      </w:r>
      <w:r>
        <w:rPr>
          <w:rStyle w:val="VerbatimChar"/>
        </w:rPr>
        <w:t xml:space="preserve">│ Related folders      Last verified      Bookmark / reading guide     │</w:t>
      </w:r>
      <w:r>
        <w:br/>
      </w:r>
      <w:r>
        <w:rPr>
          <w:rStyle w:val="VerbatimChar"/>
        </w:rPr>
        <w:t xml:space="preserve">└──────────────────────────────────────────────────────────────────────┘</w:t>
      </w:r>
      <w:r>
        <w:br/>
      </w:r>
      <w:r>
        <w:br/>
      </w:r>
      <w:r>
        <w:br/>
      </w:r>
      <w:r>
        <w:rPr>
          <w:rStyle w:val="VerbatimChar"/>
        </w:rPr>
        <w:t xml:space="preserve">MAIN LOOSE-LEAF SHEET</w:t>
      </w:r>
      <w:r>
        <w:br/>
      </w:r>
      <w:r>
        <w:br/>
      </w:r>
      <w:r>
        <w:rPr>
          <w:rStyle w:val="VerbatimChar"/>
        </w:rPr>
        <w:t xml:space="preserve">┌──────────────────────────────────────────────────────────────────────┐</w:t>
      </w:r>
      <w:r>
        <w:br/>
      </w:r>
      <w:r>
        <w:rPr>
          <w:rStyle w:val="VerbatimChar"/>
        </w:rPr>
        <w:t xml:space="preserve">│ Display ID AX-000241        Media rights: In Copyright              │</w:t>
      </w:r>
      <w:r>
        <w:br/>
      </w:r>
      <w:r>
        <w:rPr>
          <w:rStyle w:val="VerbatimChar"/>
        </w:rPr>
        <w:t xml:space="preserve">│ Internal ID ark:/...        Record rights: CC BY                    │</w:t>
      </w:r>
      <w:r>
        <w:br/>
      </w:r>
      <w:r>
        <w:rPr>
          <w:rStyle w:val="VerbatimChar"/>
        </w:rPr>
        <w:t xml:space="preserve">│ Title                                                            [A3]│</w:t>
      </w:r>
      <w:r>
        <w:br/>
      </w:r>
      <w:r>
        <w:rPr>
          <w:rStyle w:val="VerbatimChar"/>
        </w:rPr>
        <w:t xml:space="preserve">│ Date / range                  Source name         [View at source]   │</w:t>
      </w:r>
      <w:r>
        <w:br/>
      </w:r>
      <w:r>
        <w:rPr>
          <w:rStyle w:val="VerbatimChar"/>
        </w:rPr>
        <w:t xml:space="preserve">│ Record type / category        Status              Last verified       │</w:t>
      </w:r>
      <w:r>
        <w:br/>
      </w:r>
      <w:r>
        <w:rPr>
          <w:rStyle w:val="VerbatimChar"/>
        </w:rPr>
        <w:t xml:space="preserve">│ Appears in: Region | Theme | Medium | Movement                      │</w:t>
      </w:r>
      <w:r>
        <w:br/>
      </w:r>
      <w:r>
        <w:rPr>
          <w:rStyle w:val="VerbatimChar"/>
        </w:rPr>
        <w:t xml:space="preserve">├───────────────────────────────┬──────────────────────────────────────┤</w:t>
      </w:r>
      <w:r>
        <w:br/>
      </w:r>
      <w:r>
        <w:rPr>
          <w:rStyle w:val="VerbatimChar"/>
        </w:rPr>
        <w:t xml:space="preserve">│ IMG zone                      │ Metadata table                       │</w:t>
      </w:r>
      <w:r>
        <w:br/>
      </w:r>
      <w:r>
        <w:rPr>
          <w:rStyle w:val="VerbatimChar"/>
        </w:rPr>
        <w:t xml:space="preserve">│ IMG00 / 01 / 02 / 03          │ People / institutions               │</w:t>
      </w:r>
      <w:r>
        <w:br/>
      </w:r>
      <w:r>
        <w:rPr>
          <w:rStyle w:val="VerbatimChar"/>
        </w:rPr>
        <w:t xml:space="preserve">│ or removed in IMG04           │ Place / region                      │</w:t>
      </w:r>
      <w:r>
        <w:br/>
      </w:r>
      <w:r>
        <w:rPr>
          <w:rStyle w:val="VerbatimChar"/>
        </w:rPr>
        <w:t xml:space="preserve">│                               │ Physical facts / language           │</w:t>
      </w:r>
      <w:r>
        <w:br/>
      </w:r>
      <w:r>
        <w:rPr>
          <w:rStyle w:val="VerbatimChar"/>
        </w:rPr>
        <w:t xml:space="preserve">├───────────────────────────────┴──────────────────────────────────────┤</w:t>
      </w:r>
      <w:r>
        <w:br/>
      </w:r>
      <w:r>
        <w:rPr>
          <w:rStyle w:val="VerbatimChar"/>
        </w:rPr>
        <w:t xml:space="preserve">│ Short description / scope note                                      │</w:t>
      </w:r>
      <w:r>
        <w:br/>
      </w:r>
      <w:r>
        <w:rPr>
          <w:rStyle w:val="VerbatimChar"/>
        </w:rPr>
        <w:t xml:space="preserve">├──────────────────────────────────────────────────────────────────────┤</w:t>
      </w:r>
      <w:r>
        <w:br/>
      </w:r>
      <w:r>
        <w:rPr>
          <w:rStyle w:val="VerbatimChar"/>
        </w:rPr>
        <w:t xml:space="preserve">│ Classification table          Relation preview                      │</w:t>
      </w:r>
      <w:r>
        <w:br/>
      </w:r>
      <w:r>
        <w:rPr>
          <w:rStyle w:val="VerbatimChar"/>
        </w:rPr>
        <w:t xml:space="preserve">│ Controlled terms              Parent / child / related works        │</w:t>
      </w:r>
      <w:r>
        <w:br/>
      </w:r>
      <w:r>
        <w:rPr>
          <w:rStyle w:val="VerbatimChar"/>
        </w:rPr>
        <w:t xml:space="preserve">├──────────────────────────────────────────────────────────────────────┤</w:t>
      </w:r>
      <w:r>
        <w:br/>
      </w:r>
      <w:r>
        <w:rPr>
          <w:rStyle w:val="VerbatimChar"/>
        </w:rPr>
        <w:t xml:space="preserve">│ Citation block                Uncertainty strip if needed           │</w:t>
      </w:r>
      <w:r>
        <w:br/>
      </w:r>
      <w:r>
        <w:rPr>
          <w:rStyle w:val="VerbatimChar"/>
        </w:rPr>
        <w:t xml:space="preserve">│ Bookmark                      Appendix markers A1 A2 A3            │</w:t>
      </w:r>
      <w:r>
        <w:br/>
      </w:r>
      <w:r>
        <w:rPr>
          <w:rStyle w:val="VerbatimChar"/>
        </w:rPr>
        <w:t xml:space="preserve">└──────────────────────────────────────────────────────────────────────┘</w:t>
      </w:r>
      <w:r>
        <w:br/>
      </w:r>
      <w:r>
        <w:br/>
      </w:r>
      <w:r>
        <w:br/>
      </w:r>
      <w:r>
        <w:rPr>
          <w:rStyle w:val="VerbatimChar"/>
        </w:rPr>
        <w:t xml:space="preserve">CARD</w:t>
      </w:r>
      <w:r>
        <w:br/>
      </w:r>
      <w:r>
        <w:br/>
      </w:r>
      <w:r>
        <w:rPr>
          <w:rStyle w:val="VerbatimChar"/>
        </w:rPr>
        <w:t xml:space="preserve">┌──────────────────────────────────────────────────────────────┐</w:t>
      </w:r>
      <w:r>
        <w:br/>
      </w:r>
      <w:r>
        <w:rPr>
          <w:rStyle w:val="VerbatimChar"/>
        </w:rPr>
        <w:t xml:space="preserve">│ AX-000241  [IMG01]  [Provisional]                           │</w:t>
      </w:r>
      <w:r>
        <w:br/>
      </w:r>
      <w:r>
        <w:rPr>
          <w:rStyle w:val="VerbatimChar"/>
        </w:rPr>
        <w:t xml:space="preserve">│ Short title or supplied label                               │</w:t>
      </w:r>
      <w:r>
        <w:br/>
      </w:r>
      <w:r>
        <w:rPr>
          <w:rStyle w:val="VerbatimChar"/>
        </w:rPr>
        <w:t xml:space="preserve">│ Date if known        Source                                 │</w:t>
      </w:r>
      <w:r>
        <w:br/>
      </w:r>
      <w:r>
        <w:rPr>
          <w:rStyle w:val="VerbatimChar"/>
        </w:rPr>
        <w:t xml:space="preserve">│ Folders: Region | Medium                                    │</w:t>
      </w:r>
      <w:r>
        <w:br/>
      </w:r>
      <w:r>
        <w:rPr>
          <w:rStyle w:val="VerbatimChar"/>
        </w:rPr>
        <w:t xml:space="preserve">│ Reason this is a card: insufficient chronology evidence      │</w:t>
      </w:r>
      <w:r>
        <w:br/>
      </w:r>
      <w:r>
        <w:rPr>
          <w:rStyle w:val="VerbatimChar"/>
        </w:rPr>
        <w:t xml:space="preserve">│ Parent: Compound sheet AX-000200                            │</w:t>
      </w:r>
      <w:r>
        <w:br/>
      </w:r>
      <w:r>
        <w:rPr>
          <w:rStyle w:val="VerbatimChar"/>
        </w:rPr>
        <w:t xml:space="preserve">│ [View at source]                                            │</w:t>
      </w:r>
      <w:r>
        <w:br/>
      </w:r>
      <w:r>
        <w:rPr>
          <w:rStyle w:val="VerbatimChar"/>
        </w:rPr>
        <w:t xml:space="preserve">└──────────────────────────────────────────────────────────────┘</w:t>
      </w:r>
      <w:r>
        <w:br/>
      </w:r>
      <w:r>
        <w:br/>
      </w:r>
      <w:r>
        <w:br/>
      </w:r>
      <w:r>
        <w:rPr>
          <w:rStyle w:val="VerbatimChar"/>
        </w:rPr>
        <w:t xml:space="preserve">FALLBACK STUB / UNASSIGNED ITEM</w:t>
      </w:r>
      <w:r>
        <w:br/>
      </w:r>
      <w:r>
        <w:br/>
      </w:r>
      <w:r>
        <w:rPr>
          <w:rStyle w:val="VerbatimChar"/>
        </w:rPr>
        <w:t xml:space="preserve">┌──────────────────────────────────────────────────────────────┐</w:t>
      </w:r>
      <w:r>
        <w:br/>
      </w:r>
      <w:r>
        <w:rPr>
          <w:rStyle w:val="VerbatimChar"/>
        </w:rPr>
        <w:t xml:space="preserve">│ AX-000241  [Research item]                                  │</w:t>
      </w:r>
      <w:r>
        <w:br/>
      </w:r>
      <w:r>
        <w:rPr>
          <w:rStyle w:val="VerbatimChar"/>
        </w:rPr>
        <w:t xml:space="preserve">│ Provisional label or source label                           │</w:t>
      </w:r>
      <w:r>
        <w:br/>
      </w:r>
      <w:r>
        <w:rPr>
          <w:rStyle w:val="VerbatimChar"/>
        </w:rPr>
        <w:t xml:space="preserve">│ Date clue: undated / c. 1960s                               │</w:t>
      </w:r>
      <w:r>
        <w:br/>
      </w:r>
      <w:r>
        <w:rPr>
          <w:rStyle w:val="VerbatimChar"/>
        </w:rPr>
        <w:t xml:space="preserve">│ Source clue: repository / bibliography / provider           │</w:t>
      </w:r>
      <w:r>
        <w:br/>
      </w:r>
      <w:r>
        <w:rPr>
          <w:rStyle w:val="VerbatimChar"/>
        </w:rPr>
        <w:t xml:space="preserve">│ Why visible: identified but below threshold                 │</w:t>
      </w:r>
      <w:r>
        <w:br/>
      </w:r>
      <w:r>
        <w:rPr>
          <w:rStyle w:val="VerbatimChar"/>
        </w:rPr>
        <w:t xml:space="preserve">│ Proposed placement: Movement &gt; International Style          │</w:t>
      </w:r>
      <w:r>
        <w:br/>
      </w:r>
      <w:r>
        <w:rPr>
          <w:rStyle w:val="VerbatimChar"/>
        </w:rPr>
        <w:t xml:space="preserve">│ Next action: verify creator; assess rights                  │</w:t>
      </w:r>
      <w:r>
        <w:br/>
      </w:r>
      <w:r>
        <w:rPr>
          <w:rStyle w:val="VerbatimChar"/>
        </w:rPr>
        <w:t xml:space="preserve">│ [View at source]                                            │</w:t>
      </w:r>
      <w:r>
        <w:br/>
      </w:r>
      <w:r>
        <w:rPr>
          <w:rStyle w:val="VerbatimChar"/>
        </w:rPr>
        <w:t xml:space="preserve">└──────────────────────────────────────────────────────────────┘</w:t>
      </w:r>
    </w:p>
    <w:bookmarkEnd w:id="62"/>
    <w:bookmarkStart w:id="63" w:name="anti-patterns-to-avoid"/>
    <w:p>
      <w:pPr>
        <w:pStyle w:val="Heading3"/>
      </w:pPr>
      <w:r>
        <w:t xml:space="preserve">Anti-patterns to avoid</w:t>
      </w:r>
    </w:p>
    <w:p>
      <w:pPr>
        <w:pStyle w:val="FirstParagraph"/>
      </w:pPr>
      <w:r>
        <w:t xml:space="preserve">These anti-patterns all push the interface back toward a gallery, a textbook, or an under-documented database. They run against archival description practice, rights-labeling guidance, object-record structure, and reusable design-system logic.</w:t>
      </w:r>
      <w:r>
        <w:t xml:space="preserve"> </w:t>
      </w:r>
      <w:hyperlink r:id="rId24">
        <w:r>
          <w:rPr>
            <w:rStyle w:val="Hyperlink"/>
          </w:rPr>
          <w:t xml:space="preserve">[34]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Anti-pattern</w:t>
            </w:r>
          </w:p>
        </w:tc>
        <w:tc>
          <w:tcPr/>
          <w:p>
            <w:pPr>
              <w:pStyle w:val="Compact"/>
            </w:pPr>
            <w:r>
              <w:t xml:space="preserve">Why it fails</w:t>
            </w:r>
          </w:p>
        </w:tc>
        <w:tc>
          <w:tcPr/>
          <w:p>
            <w:pPr>
              <w:pStyle w:val="Compact"/>
            </w:pPr>
            <w:r>
              <w:t xml:space="preserve">Corrective rule</w:t>
            </w:r>
          </w:p>
        </w:tc>
      </w:tr>
      <w:tr>
        <w:tc>
          <w:tcPr/>
          <w:p>
            <w:pPr>
              <w:pStyle w:val="Compact"/>
            </w:pPr>
            <w:r>
              <w:t xml:space="preserve">Treating timeline as a container</w:t>
            </w:r>
          </w:p>
        </w:tc>
        <w:tc>
          <w:tcPr/>
          <w:p>
            <w:pPr>
              <w:pStyle w:val="Compact"/>
            </w:pPr>
            <w:r>
              <w:t xml:space="preserve">Conflates filing order with intellectual structure</w:t>
            </w:r>
          </w:p>
        </w:tc>
        <w:tc>
          <w:tcPr/>
          <w:p>
            <w:pPr>
              <w:pStyle w:val="Compact"/>
            </w:pPr>
            <w:r>
              <w:t xml:space="preserve">Keep time as divider logic inside every folder</w:t>
            </w:r>
          </w:p>
        </w:tc>
      </w:tr>
      <w:tr>
        <w:tc>
          <w:tcPr/>
          <w:p>
            <w:pPr>
              <w:pStyle w:val="Compact"/>
            </w:pPr>
            <w:r>
              <w:t xml:space="preserve">Redesigning record pages by folder</w:t>
            </w:r>
          </w:p>
        </w:tc>
        <w:tc>
          <w:tcPr/>
          <w:p>
            <w:pPr>
              <w:pStyle w:val="Compact"/>
            </w:pPr>
            <w:r>
              <w:t xml:space="preserve">Breaks canonical record identity</w:t>
            </w:r>
          </w:p>
        </w:tc>
        <w:tc>
          <w:tcPr/>
          <w:p>
            <w:pPr>
              <w:pStyle w:val="Compact"/>
            </w:pPr>
            <w:r>
              <w:t xml:space="preserve">One record, one page, many folder entries</w:t>
            </w:r>
          </w:p>
        </w:tc>
      </w:tr>
      <w:tr>
        <w:tc>
          <w:tcPr/>
          <w:p>
            <w:pPr>
              <w:pStyle w:val="Compact"/>
            </w:pPr>
            <w:r>
              <w:t xml:space="preserve">Hiding incomplete records</w:t>
            </w:r>
          </w:p>
        </w:tc>
        <w:tc>
          <w:tcPr/>
          <w:p>
            <w:pPr>
              <w:pStyle w:val="Compact"/>
            </w:pPr>
            <w:r>
              <w:t xml:space="preserve">Makes archival absence indistinguishable from editorial omission</w:t>
            </w:r>
          </w:p>
        </w:tc>
        <w:tc>
          <w:tcPr/>
          <w:p>
            <w:pPr>
              <w:pStyle w:val="Compact"/>
            </w:pPr>
            <w:r>
              <w:t xml:space="preserve">Show cards, stubs, and proposed items explicitly</w:t>
            </w:r>
          </w:p>
        </w:tc>
      </w:tr>
      <w:tr>
        <w:tc>
          <w:tcPr/>
          <w:p>
            <w:pPr>
              <w:pStyle w:val="Compact"/>
            </w:pPr>
            <w:r>
              <w:t xml:space="preserve">Turning sheets into image-led posters</w:t>
            </w:r>
          </w:p>
        </w:tc>
        <w:tc>
          <w:tcPr/>
          <w:p>
            <w:pPr>
              <w:pStyle w:val="Compact"/>
            </w:pPr>
            <w:r>
              <w:t xml:space="preserve">Pushes research fields below the fold</w:t>
            </w:r>
          </w:p>
        </w:tc>
        <w:tc>
          <w:tcPr/>
          <w:p>
            <w:pPr>
              <w:pStyle w:val="Compact"/>
            </w:pPr>
            <w:r>
              <w:t xml:space="preserve">Keep rights, IDs, source, and metadata above the fold</w:t>
            </w:r>
          </w:p>
        </w:tc>
      </w:tr>
      <w:tr>
        <w:tc>
          <w:tcPr/>
          <w:p>
            <w:pPr>
              <w:pStyle w:val="Compact"/>
            </w:pPr>
            <w:r>
              <w:t xml:space="preserve">Using movement-specific skins</w:t>
            </w:r>
          </w:p>
        </w:tc>
        <w:tc>
          <w:tcPr/>
          <w:p>
            <w:pPr>
              <w:pStyle w:val="Compact"/>
            </w:pPr>
            <w:r>
              <w:t xml:space="preserve">Turns classification into decoration</w:t>
            </w:r>
          </w:p>
        </w:tc>
        <w:tc>
          <w:tcPr/>
          <w:p>
            <w:pPr>
              <w:pStyle w:val="Compact"/>
            </w:pPr>
            <w:r>
              <w:t xml:space="preserve">Let movement live in data, not in bespoke page art direction</w:t>
            </w:r>
          </w:p>
        </w:tc>
      </w:tr>
      <w:tr>
        <w:tc>
          <w:tcPr/>
          <w:p>
            <w:pPr>
              <w:pStyle w:val="Compact"/>
            </w:pPr>
            <w:r>
              <w:t xml:space="preserve">Burying rights/source in tiny footnotes</w:t>
            </w:r>
          </w:p>
        </w:tc>
        <w:tc>
          <w:tcPr/>
          <w:p>
            <w:pPr>
              <w:pStyle w:val="Compact"/>
            </w:pPr>
            <w:r>
              <w:t xml:space="preserve">Conflicts with rights-aware collection practice</w:t>
            </w:r>
          </w:p>
        </w:tc>
        <w:tc>
          <w:tcPr/>
          <w:p>
            <w:pPr>
              <w:pStyle w:val="Compact"/>
            </w:pPr>
            <w:r>
              <w:t xml:space="preserve">Put rights stamp and source-return action in fixed header positions</w:t>
            </w:r>
          </w:p>
        </w:tc>
      </w:tr>
      <w:tr>
        <w:tc>
          <w:tcPr/>
          <w:p>
            <w:pPr>
              <w:pStyle w:val="Compact"/>
            </w:pPr>
            <w:r>
              <w:t xml:space="preserve">Inferring “open” from age or low resolution</w:t>
            </w:r>
          </w:p>
        </w:tc>
        <w:tc>
          <w:tcPr/>
          <w:p>
            <w:pPr>
              <w:pStyle w:val="Compact"/>
            </w:pPr>
            <w:r>
              <w:t xml:space="preserve">Creates legal and scholarly risk</w:t>
            </w:r>
          </w:p>
        </w:tc>
        <w:tc>
          <w:tcPr/>
          <w:p>
            <w:pPr>
              <w:pStyle w:val="Compact"/>
            </w:pPr>
            <w:r>
              <w:t xml:space="preserve">Require explicit evidence for IMG03</w:t>
            </w:r>
          </w:p>
        </w:tc>
      </w:tr>
      <w:tr>
        <w:tc>
          <w:tcPr/>
          <w:p>
            <w:pPr>
              <w:pStyle w:val="Compact"/>
            </w:pPr>
            <w:r>
              <w:t xml:space="preserve">Overwriting source metadata with normalization only</w:t>
            </w:r>
          </w:p>
        </w:tc>
        <w:tc>
          <w:tcPr/>
          <w:p>
            <w:pPr>
              <w:pStyle w:val="Compact"/>
            </w:pPr>
            <w:r>
              <w:t xml:space="preserve">Hides editorial intervention</w:t>
            </w:r>
          </w:p>
        </w:tc>
        <w:tc>
          <w:tcPr/>
          <w:p>
            <w:pPr>
              <w:pStyle w:val="Compact"/>
            </w:pPr>
            <w:r>
              <w:t xml:space="preserve">Preserve raw-source and normalized tables separately</w:t>
            </w:r>
          </w:p>
        </w:tc>
      </w:tr>
      <w:tr>
        <w:tc>
          <w:tcPr/>
          <w:p>
            <w:pPr>
              <w:pStyle w:val="Compact"/>
            </w:pPr>
            <w:r>
              <w:t xml:space="preserve">Encoding folder type only by color</w:t>
            </w:r>
          </w:p>
        </w:tc>
        <w:tc>
          <w:tcPr/>
          <w:p>
            <w:pPr>
              <w:pStyle w:val="Compact"/>
            </w:pPr>
            <w:r>
              <w:t xml:space="preserve">Fails accessibility and monochrome use</w:t>
            </w:r>
          </w:p>
        </w:tc>
        <w:tc>
          <w:tcPr/>
          <w:p>
            <w:pPr>
              <w:pStyle w:val="Compact"/>
            </w:pPr>
            <w:r>
              <w:t xml:space="preserve">Pair color with text code and tab shape</w:t>
            </w:r>
          </w:p>
        </w:tc>
      </w:tr>
      <w:tr>
        <w:tc>
          <w:tcPr/>
          <w:p>
            <w:pPr>
              <w:pStyle w:val="Compact"/>
            </w:pPr>
            <w:r>
              <w:t xml:space="preserve">Building semantic IDs from folder/date</w:t>
            </w:r>
          </w:p>
        </w:tc>
        <w:tc>
          <w:tcPr/>
          <w:p>
            <w:pPr>
              <w:pStyle w:val="Compact"/>
            </w:pPr>
            <w:r>
              <w:t xml:space="preserve">Reclassification would break stability</w:t>
            </w:r>
          </w:p>
        </w:tc>
        <w:tc>
          <w:tcPr/>
          <w:p>
            <w:pPr>
              <w:pStyle w:val="Compact"/>
            </w:pPr>
            <w:r>
              <w:t xml:space="preserve">Keep display IDs and internal IDs folder-neutral and persistent</w:t>
            </w:r>
          </w:p>
        </w:tc>
      </w:tr>
    </w:tbl>
    <w:p>
      <w:pPr>
        <w:pStyle w:val="BodyText"/>
      </w:pPr>
      <w:r>
        <w:t xml:space="preserve">The practical result of all these rules is a system that reads like a well-made archive box: clear tabs, stable sheets, visible rights, source-first navigation, and a chronology stream that helps research instead of aestheticizing it.</w:t>
      </w:r>
      <w:r>
        <w:t xml:space="preserve"> </w:t>
      </w:r>
      <w:hyperlink r:id="rId31">
        <w:r>
          <w:rPr>
            <w:rStyle w:val="Hyperlink"/>
          </w:rPr>
          <w:t xml:space="preserve">[35]</w:t>
        </w:r>
      </w:hyperlink>
    </w:p>
    <w:bookmarkEnd w:id="63"/>
    <w:bookmarkEnd w:id="64"/>
    <w:bookmarkEnd w:id="65"/>
    <w:bookmarkEnd w:id="66"/>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1">
        <w:r>
          <w:rPr>
            <w:rStyle w:val="Hyperlink"/>
          </w:rPr>
          <w:t xml:space="preserve">[32]</w:t>
        </w:r>
      </w:hyperlink>
      <w:r>
        <w:t xml:space="preserve"> </w:t>
      </w:r>
      <w:r>
        <w:t xml:space="preserve">https://saa-ts-dacs.github.io/</w:t>
      </w:r>
    </w:p>
    <w:p>
      <w:pPr>
        <w:pStyle w:val="BodyText"/>
      </w:pPr>
      <w:hyperlink r:id="rId21">
        <w:r>
          <w:rPr>
            <w:rStyle w:val="Hyperlink"/>
          </w:rPr>
          <w:t xml:space="preserve">https://saa-ts-dacs.github.io/</w:t>
        </w:r>
      </w:hyperlink>
    </w:p>
    <w:p>
      <w:pPr>
        <w:pStyle w:val="BodyText"/>
      </w:pPr>
      <w:hyperlink r:id="rId22">
        <w:r>
          <w:rPr>
            <w:rStyle w:val="Hyperlink"/>
          </w:rPr>
          <w:t xml:space="preserve">[2]</w:t>
        </w:r>
      </w:hyperlink>
      <w:r>
        <w:t xml:space="preserve"> </w:t>
      </w:r>
      <w:r>
        <w:t xml:space="preserve">https://linked.art/model/base/</w:t>
      </w:r>
    </w:p>
    <w:p>
      <w:pPr>
        <w:pStyle w:val="BodyText"/>
      </w:pPr>
      <w:hyperlink r:id="rId22">
        <w:r>
          <w:rPr>
            <w:rStyle w:val="Hyperlink"/>
          </w:rPr>
          <w:t xml:space="preserve">https://linked.art/model/base/</w:t>
        </w:r>
      </w:hyperlink>
    </w:p>
    <w:p>
      <w:pPr>
        <w:pStyle w:val="BodyText"/>
      </w:pPr>
      <w:hyperlink r:id="rId23">
        <w:r>
          <w:rPr>
            <w:rStyle w:val="Hyperlink"/>
          </w:rPr>
          <w:t xml:space="preserve">[3]</w:t>
        </w:r>
      </w:hyperlink>
      <w:r>
        <w:t xml:space="preserve"> </w:t>
      </w:r>
      <w:hyperlink r:id="rId23">
        <w:r>
          <w:rPr>
            <w:rStyle w:val="Hyperlink"/>
          </w:rPr>
          <w:t xml:space="preserve">[30]</w:t>
        </w:r>
      </w:hyperlink>
      <w:r>
        <w:t xml:space="preserve"> </w:t>
      </w:r>
      <w:r>
        <w:t xml:space="preserve">https://www.loc.gov/ead/tglib/elements/arrangement.html</w:t>
      </w:r>
    </w:p>
    <w:p>
      <w:pPr>
        <w:pStyle w:val="BodyText"/>
      </w:pPr>
      <w:hyperlink r:id="rId23">
        <w:r>
          <w:rPr>
            <w:rStyle w:val="Hyperlink"/>
          </w:rPr>
          <w:t xml:space="preserve">https://www.loc.gov/ead/tglib/elements/arrangement.html</w:t>
        </w:r>
      </w:hyperlink>
    </w:p>
    <w:p>
      <w:pPr>
        <w:pStyle w:val="BodyText"/>
      </w:pPr>
      <w:hyperlink r:id="rId24">
        <w:r>
          <w:rPr>
            <w:rStyle w:val="Hyperlink"/>
          </w:rPr>
          <w:t xml:space="preserve">[4]</w:t>
        </w:r>
      </w:hyperlink>
      <w:r>
        <w:t xml:space="preserve"> </w:t>
      </w:r>
      <w:hyperlink r:id="rId24">
        <w:r>
          <w:rPr>
            <w:rStyle w:val="Hyperlink"/>
          </w:rPr>
          <w:t xml:space="preserve">[10]</w:t>
        </w:r>
      </w:hyperlink>
      <w:r>
        <w:t xml:space="preserve"> </w:t>
      </w:r>
      <w:hyperlink r:id="rId24">
        <w:r>
          <w:rPr>
            <w:rStyle w:val="Hyperlink"/>
          </w:rPr>
          <w:t xml:space="preserve">[13]</w:t>
        </w:r>
      </w:hyperlink>
      <w:r>
        <w:t xml:space="preserve"> </w:t>
      </w:r>
      <w:hyperlink r:id="rId24">
        <w:r>
          <w:rPr>
            <w:rStyle w:val="Hyperlink"/>
          </w:rPr>
          <w:t xml:space="preserve">[20]</w:t>
        </w:r>
      </w:hyperlink>
      <w:r>
        <w:t xml:space="preserve"> </w:t>
      </w:r>
      <w:hyperlink r:id="rId24">
        <w:r>
          <w:rPr>
            <w:rStyle w:val="Hyperlink"/>
          </w:rPr>
          <w:t xml:space="preserve">[22]</w:t>
        </w:r>
      </w:hyperlink>
      <w:r>
        <w:t xml:space="preserve"> </w:t>
      </w:r>
      <w:hyperlink r:id="rId24">
        <w:r>
          <w:rPr>
            <w:rStyle w:val="Hyperlink"/>
          </w:rPr>
          <w:t xml:space="preserve">[23]</w:t>
        </w:r>
      </w:hyperlink>
      <w:r>
        <w:t xml:space="preserve"> </w:t>
      </w:r>
      <w:hyperlink r:id="rId24">
        <w:r>
          <w:rPr>
            <w:rStyle w:val="Hyperlink"/>
          </w:rPr>
          <w:t xml:space="preserve">[34]</w:t>
        </w:r>
      </w:hyperlink>
      <w:r>
        <w:t xml:space="preserve"> </w:t>
      </w:r>
      <w:r>
        <w:t xml:space="preserve">https://saa-ts-dacs.github.io/dacs/06_part_I/02_chapter_01.html</w:t>
      </w:r>
    </w:p>
    <w:p>
      <w:pPr>
        <w:pStyle w:val="BodyText"/>
      </w:pPr>
      <w:hyperlink r:id="rId24">
        <w:r>
          <w:rPr>
            <w:rStyle w:val="Hyperlink"/>
          </w:rPr>
          <w:t xml:space="preserve">https://saa-ts-dacs.github.io/dacs/06_part_I/02_chapter_01.html</w:t>
        </w:r>
      </w:hyperlink>
    </w:p>
    <w:p>
      <w:pPr>
        <w:pStyle w:val="BodyText"/>
      </w:pPr>
      <w:hyperlink r:id="rId25">
        <w:r>
          <w:rPr>
            <w:rStyle w:val="Hyperlink"/>
          </w:rPr>
          <w:t xml:space="preserve">[5]</w:t>
        </w:r>
      </w:hyperlink>
      <w:r>
        <w:t xml:space="preserve"> </w:t>
      </w:r>
      <w:hyperlink r:id="rId25">
        <w:r>
          <w:rPr>
            <w:rStyle w:val="Hyperlink"/>
          </w:rPr>
          <w:t xml:space="preserve">[17]</w:t>
        </w:r>
      </w:hyperlink>
      <w:r>
        <w:t xml:space="preserve"> </w:t>
      </w:r>
      <w:r>
        <w:t xml:space="preserve">https://www.loc.gov/pictures/static/data/cwp/resources/cataloging.html</w:t>
      </w:r>
    </w:p>
    <w:p>
      <w:pPr>
        <w:pStyle w:val="BodyText"/>
      </w:pPr>
      <w:hyperlink r:id="rId25">
        <w:r>
          <w:rPr>
            <w:rStyle w:val="Hyperlink"/>
          </w:rPr>
          <w:t xml:space="preserve">https://www.loc.gov/pictures/static/data/cwp/resources/cataloging.html</w:t>
        </w:r>
      </w:hyperlink>
    </w:p>
    <w:p>
      <w:pPr>
        <w:pStyle w:val="BodyText"/>
      </w:pPr>
      <w:hyperlink r:id="rId26">
        <w:r>
          <w:rPr>
            <w:rStyle w:val="Hyperlink"/>
          </w:rPr>
          <w:t xml:space="preserve">[6]</w:t>
        </w:r>
      </w:hyperlink>
      <w:r>
        <w:t xml:space="preserve"> </w:t>
      </w:r>
      <w:r>
        <w:t xml:space="preserve">https://www.getty.edu/research/tools/vocabularies/</w:t>
      </w:r>
    </w:p>
    <w:p>
      <w:pPr>
        <w:pStyle w:val="BodyText"/>
      </w:pPr>
      <w:hyperlink r:id="rId26">
        <w:r>
          <w:rPr>
            <w:rStyle w:val="Hyperlink"/>
          </w:rPr>
          <w:t xml:space="preserve">https://www.getty.edu/research/tools/vocabularies/</w:t>
        </w:r>
      </w:hyperlink>
    </w:p>
    <w:p>
      <w:pPr>
        <w:pStyle w:val="BodyText"/>
      </w:pPr>
      <w:hyperlink r:id="rId28">
        <w:r>
          <w:rPr>
            <w:rStyle w:val="Hyperlink"/>
          </w:rPr>
          <w:t xml:space="preserve">[7]</w:t>
        </w:r>
      </w:hyperlink>
      <w:r>
        <w:t xml:space="preserve"> </w:t>
      </w:r>
      <w:r>
        <w:t xml:space="preserve">https://www.pmc.gov.au/resources/australian-government-branding-guidelines</w:t>
      </w:r>
    </w:p>
    <w:p>
      <w:pPr>
        <w:pStyle w:val="BodyText"/>
      </w:pPr>
      <w:hyperlink r:id="rId28">
        <w:r>
          <w:rPr>
            <w:rStyle w:val="Hyperlink"/>
          </w:rPr>
          <w:t xml:space="preserve">https://www.pmc.gov.au/resources/australian-government-branding-guidelines</w:t>
        </w:r>
      </w:hyperlink>
    </w:p>
    <w:p>
      <w:pPr>
        <w:pStyle w:val="BodyText"/>
      </w:pPr>
      <w:hyperlink r:id="rId29">
        <w:r>
          <w:rPr>
            <w:rStyle w:val="Hyperlink"/>
          </w:rPr>
          <w:t xml:space="preserve">[8]</w:t>
        </w:r>
      </w:hyperlink>
      <w:r>
        <w:t xml:space="preserve"> </w:t>
      </w:r>
      <w:r>
        <w:t xml:space="preserve">https://saa-ts-dacs.github.io/dacs/06_part_I/09_chapter_08/02_rights_statements_archival_description.html</w:t>
      </w:r>
    </w:p>
    <w:p>
      <w:pPr>
        <w:pStyle w:val="BodyText"/>
      </w:pPr>
      <w:hyperlink r:id="rId29">
        <w:r>
          <w:rPr>
            <w:rStyle w:val="Hyperlink"/>
          </w:rPr>
          <w:t xml:space="preserve">https://saa-ts-dacs.github.io/dacs/06_part_I/09_chapter_08/02_rights_statements_archival_description.html</w:t>
        </w:r>
      </w:hyperlink>
    </w:p>
    <w:p>
      <w:pPr>
        <w:pStyle w:val="BodyText"/>
      </w:pPr>
      <w:hyperlink r:id="rId31">
        <w:r>
          <w:rPr>
            <w:rStyle w:val="Hyperlink"/>
          </w:rPr>
          <w:t xml:space="preserve">[9]</w:t>
        </w:r>
      </w:hyperlink>
      <w:r>
        <w:t xml:space="preserve"> </w:t>
      </w:r>
      <w:hyperlink r:id="rId31">
        <w:r>
          <w:rPr>
            <w:rStyle w:val="Hyperlink"/>
          </w:rPr>
          <w:t xml:space="preserve">[11]</w:t>
        </w:r>
      </w:hyperlink>
      <w:r>
        <w:t xml:space="preserve"> </w:t>
      </w:r>
      <w:hyperlink r:id="rId31">
        <w:r>
          <w:rPr>
            <w:rStyle w:val="Hyperlink"/>
          </w:rPr>
          <w:t xml:space="preserve">[29]</w:t>
        </w:r>
      </w:hyperlink>
      <w:r>
        <w:t xml:space="preserve"> </w:t>
      </w:r>
      <w:hyperlink r:id="rId31">
        <w:r>
          <w:rPr>
            <w:rStyle w:val="Hyperlink"/>
          </w:rPr>
          <w:t xml:space="preserve">[35]</w:t>
        </w:r>
      </w:hyperlink>
      <w:r>
        <w:t xml:space="preserve"> </w:t>
      </w:r>
      <w:r>
        <w:t xml:space="preserve">https://www.loc.gov/research-centers/manuscript/researcher-resources/finding-aids/</w:t>
      </w:r>
    </w:p>
    <w:p>
      <w:pPr>
        <w:pStyle w:val="BodyText"/>
      </w:pPr>
      <w:hyperlink r:id="rId31">
        <w:r>
          <w:rPr>
            <w:rStyle w:val="Hyperlink"/>
          </w:rPr>
          <w:t xml:space="preserve">https://www.loc.gov/research-centers/manuscript/researcher-resources/finding-aids/</w:t>
        </w:r>
      </w:hyperlink>
    </w:p>
    <w:p>
      <w:pPr>
        <w:pStyle w:val="BodyText"/>
      </w:pPr>
      <w:hyperlink r:id="rId35">
        <w:r>
          <w:rPr>
            <w:rStyle w:val="Hyperlink"/>
          </w:rPr>
          <w:t xml:space="preserve">[12]</w:t>
        </w:r>
      </w:hyperlink>
      <w:r>
        <w:t xml:space="preserve"> </w:t>
      </w:r>
      <w:hyperlink r:id="rId35">
        <w:r>
          <w:rPr>
            <w:rStyle w:val="Hyperlink"/>
          </w:rPr>
          <w:t xml:space="preserve">[14]</w:t>
        </w:r>
      </w:hyperlink>
      <w:r>
        <w:t xml:space="preserve"> </w:t>
      </w:r>
      <w:hyperlink r:id="rId35">
        <w:r>
          <w:rPr>
            <w:rStyle w:val="Hyperlink"/>
          </w:rPr>
          <w:t xml:space="preserve">[18]</w:t>
        </w:r>
      </w:hyperlink>
      <w:r>
        <w:t xml:space="preserve"> </w:t>
      </w:r>
      <w:r>
        <w:t xml:space="preserve">https://www.archives.gov/research/catalog/lcdrg/authority-lists/finding-aid-type</w:t>
      </w:r>
    </w:p>
    <w:p>
      <w:pPr>
        <w:pStyle w:val="BodyText"/>
      </w:pPr>
      <w:hyperlink r:id="rId35">
        <w:r>
          <w:rPr>
            <w:rStyle w:val="Hyperlink"/>
          </w:rPr>
          <w:t xml:space="preserve">https://www.archives.gov/research/catalog/lcdrg/authority-lists/finding-aid-type</w:t>
        </w:r>
      </w:hyperlink>
    </w:p>
    <w:p>
      <w:pPr>
        <w:pStyle w:val="BodyText"/>
      </w:pPr>
      <w:hyperlink r:id="rId38">
        <w:r>
          <w:rPr>
            <w:rStyle w:val="Hyperlink"/>
          </w:rPr>
          <w:t xml:space="preserve">[15]</w:t>
        </w:r>
      </w:hyperlink>
      <w:r>
        <w:t xml:space="preserve"> </w:t>
      </w:r>
      <w:r>
        <w:t xml:space="preserve">https://linked.art/model/</w:t>
      </w:r>
    </w:p>
    <w:p>
      <w:pPr>
        <w:pStyle w:val="BodyText"/>
      </w:pPr>
      <w:hyperlink r:id="rId38">
        <w:r>
          <w:rPr>
            <w:rStyle w:val="Hyperlink"/>
          </w:rPr>
          <w:t xml:space="preserve">https://linked.art/model/</w:t>
        </w:r>
      </w:hyperlink>
    </w:p>
    <w:p>
      <w:pPr>
        <w:pStyle w:val="BodyText"/>
      </w:pPr>
      <w:hyperlink r:id="rId40">
        <w:r>
          <w:rPr>
            <w:rStyle w:val="Hyperlink"/>
          </w:rPr>
          <w:t xml:space="preserve">[16]</w:t>
        </w:r>
      </w:hyperlink>
      <w:r>
        <w:t xml:space="preserve"> </w:t>
      </w:r>
      <w:hyperlink r:id="rId40">
        <w:r>
          <w:rPr>
            <w:rStyle w:val="Hyperlink"/>
          </w:rPr>
          <w:t xml:space="preserve">[33]</w:t>
        </w:r>
      </w:hyperlink>
      <w:r>
        <w:t xml:space="preserve"> </w:t>
      </w:r>
      <w:r>
        <w:t xml:space="preserve">https://www.copyright.gov/historic-records/card-layouts.pdf</w:t>
      </w:r>
    </w:p>
    <w:p>
      <w:pPr>
        <w:pStyle w:val="BodyText"/>
      </w:pPr>
      <w:hyperlink r:id="rId40">
        <w:r>
          <w:rPr>
            <w:rStyle w:val="Hyperlink"/>
          </w:rPr>
          <w:t xml:space="preserve">https://www.copyright.gov/historic-records/card-layouts.pdf</w:t>
        </w:r>
      </w:hyperlink>
    </w:p>
    <w:p>
      <w:pPr>
        <w:pStyle w:val="BodyText"/>
      </w:pPr>
      <w:hyperlink r:id="rId42">
        <w:r>
          <w:rPr>
            <w:rStyle w:val="Hyperlink"/>
          </w:rPr>
          <w:t xml:space="preserve">[19]</w:t>
        </w:r>
      </w:hyperlink>
      <w:r>
        <w:t xml:space="preserve"> </w:t>
      </w:r>
      <w:r>
        <w:t xml:space="preserve">https://pls.sl.nsw.gov.au/managing-my-library/standards-and-guidelines/digital-practice-guidelines/cataloguing-and-metadata</w:t>
      </w:r>
    </w:p>
    <w:p>
      <w:pPr>
        <w:pStyle w:val="BodyText"/>
      </w:pPr>
      <w:hyperlink r:id="rId42">
        <w:r>
          <w:rPr>
            <w:rStyle w:val="Hyperlink"/>
          </w:rPr>
          <w:t xml:space="preserve">https://pls.sl.nsw.gov.au/managing-my-library/standards-and-guidelines/digital-practice-guidelines/cataloguing-and-metadata</w:t>
        </w:r>
      </w:hyperlink>
    </w:p>
    <w:p>
      <w:pPr>
        <w:pStyle w:val="BodyText"/>
      </w:pPr>
      <w:hyperlink r:id="rId46">
        <w:r>
          <w:rPr>
            <w:rStyle w:val="Hyperlink"/>
          </w:rPr>
          <w:t xml:space="preserve">[21]</w:t>
        </w:r>
      </w:hyperlink>
      <w:r>
        <w:t xml:space="preserve"> </w:t>
      </w:r>
      <w:r>
        <w:t xml:space="preserve">https://www.loc.gov/research-centers/prints-and-photographs/researcher-resources/copyright-and-rights-and-restrictions-information/</w:t>
      </w:r>
    </w:p>
    <w:p>
      <w:pPr>
        <w:pStyle w:val="BodyText"/>
      </w:pPr>
      <w:hyperlink r:id="rId46">
        <w:r>
          <w:rPr>
            <w:rStyle w:val="Hyperlink"/>
          </w:rPr>
          <w:t xml:space="preserve">https://www.loc.gov/research-centers/prints-and-photographs/researcher-resources/copyright-and-rights-and-restrictions-information/</w:t>
        </w:r>
      </w:hyperlink>
    </w:p>
    <w:p>
      <w:pPr>
        <w:pStyle w:val="BodyText"/>
      </w:pPr>
      <w:hyperlink r:id="rId51">
        <w:r>
          <w:rPr>
            <w:rStyle w:val="Hyperlink"/>
          </w:rPr>
          <w:t xml:space="preserve">[24]</w:t>
        </w:r>
      </w:hyperlink>
      <w:r>
        <w:t xml:space="preserve"> </w:t>
      </w:r>
      <w:r>
        <w:t xml:space="preserve">https://www.europeana.eu/en/item/2058601/object_CUT_18990694</w:t>
      </w:r>
    </w:p>
    <w:p>
      <w:pPr>
        <w:pStyle w:val="BodyText"/>
      </w:pPr>
      <w:hyperlink r:id="rId51">
        <w:r>
          <w:rPr>
            <w:rStyle w:val="Hyperlink"/>
          </w:rPr>
          <w:t xml:space="preserve">https://www.europeana.eu/en/item/2058601/object_CUT_18990694</w:t>
        </w:r>
      </w:hyperlink>
    </w:p>
    <w:p>
      <w:pPr>
        <w:pStyle w:val="BodyText"/>
      </w:pPr>
      <w:hyperlink r:id="rId52">
        <w:r>
          <w:rPr>
            <w:rStyle w:val="Hyperlink"/>
          </w:rPr>
          <w:t xml:space="preserve">[25]</w:t>
        </w:r>
      </w:hyperlink>
      <w:r>
        <w:t xml:space="preserve"> </w:t>
      </w:r>
      <w:r>
        <w:t xml:space="preserve">https://www.europeana.eu/en/item/2058601/object_CUT_18989801</w:t>
      </w:r>
    </w:p>
    <w:p>
      <w:pPr>
        <w:pStyle w:val="BodyText"/>
      </w:pPr>
      <w:hyperlink r:id="rId52">
        <w:r>
          <w:rPr>
            <w:rStyle w:val="Hyperlink"/>
          </w:rPr>
          <w:t xml:space="preserve">https://www.europeana.eu/en/item/2058601/object_CUT_18989801</w:t>
        </w:r>
      </w:hyperlink>
    </w:p>
    <w:p>
      <w:pPr>
        <w:pStyle w:val="BodyText"/>
      </w:pPr>
      <w:hyperlink r:id="rId53">
        <w:r>
          <w:rPr>
            <w:rStyle w:val="Hyperlink"/>
          </w:rPr>
          <w:t xml:space="preserve">[26]</w:t>
        </w:r>
      </w:hyperlink>
      <w:r>
        <w:t xml:space="preserve"> </w:t>
      </w:r>
      <w:r>
        <w:t xml:space="preserve">https://www.si.edu/openaccess/faq</w:t>
      </w:r>
    </w:p>
    <w:p>
      <w:pPr>
        <w:pStyle w:val="BodyText"/>
      </w:pPr>
      <w:hyperlink r:id="rId53">
        <w:r>
          <w:rPr>
            <w:rStyle w:val="Hyperlink"/>
          </w:rPr>
          <w:t xml:space="preserve">https://www.si.edu/openaccess/faq</w:t>
        </w:r>
      </w:hyperlink>
    </w:p>
    <w:p>
      <w:pPr>
        <w:pStyle w:val="BodyText"/>
      </w:pPr>
      <w:hyperlink r:id="rId55">
        <w:r>
          <w:rPr>
            <w:rStyle w:val="Hyperlink"/>
          </w:rPr>
          <w:t xml:space="preserve">[27]</w:t>
        </w:r>
      </w:hyperlink>
      <w:r>
        <w:t xml:space="preserve"> </w:t>
      </w:r>
      <w:r>
        <w:t xml:space="preserve">https://www.designsystem.qld.gov.au/styles</w:t>
      </w:r>
    </w:p>
    <w:p>
      <w:pPr>
        <w:pStyle w:val="BodyText"/>
      </w:pPr>
      <w:hyperlink r:id="rId55">
        <w:r>
          <w:rPr>
            <w:rStyle w:val="Hyperlink"/>
          </w:rPr>
          <w:t xml:space="preserve">https://www.designsystem.qld.gov.au/styles</w:t>
        </w:r>
      </w:hyperlink>
    </w:p>
    <w:p>
      <w:pPr>
        <w:pStyle w:val="BodyText"/>
      </w:pPr>
      <w:hyperlink r:id="rId56">
        <w:r>
          <w:rPr>
            <w:rStyle w:val="Hyperlink"/>
          </w:rPr>
          <w:t xml:space="preserve">[28]</w:t>
        </w:r>
      </w:hyperlink>
      <w:r>
        <w:t xml:space="preserve"> </w:t>
      </w:r>
      <w:r>
        <w:t xml:space="preserve">https://www.digital.nsw.gov.au/delivery/accessibility-and-inclusivity-toolkit/design/colour-contrast</w:t>
      </w:r>
    </w:p>
    <w:p>
      <w:pPr>
        <w:pStyle w:val="BodyText"/>
      </w:pPr>
      <w:hyperlink r:id="rId56">
        <w:r>
          <w:rPr>
            <w:rStyle w:val="Hyperlink"/>
          </w:rPr>
          <w:t xml:space="preserve">https://www.digital.nsw.gov.au/delivery/accessibility-and-inclusivity-toolkit/design/colour-contrast</w:t>
        </w:r>
      </w:hyperlink>
    </w:p>
    <w:p>
      <w:pPr>
        <w:pStyle w:val="BodyText"/>
      </w:pPr>
      <w:hyperlink r:id="rId58">
        <w:r>
          <w:rPr>
            <w:rStyle w:val="Hyperlink"/>
          </w:rPr>
          <w:t xml:space="preserve">[31]</w:t>
        </w:r>
      </w:hyperlink>
      <w:r>
        <w:t xml:space="preserve"> </w:t>
      </w:r>
      <w:r>
        <w:t xml:space="preserve">https://iiif.io/api/cookbook/recipe/0047-homepage/</w:t>
      </w:r>
    </w:p>
    <w:p>
      <w:pPr>
        <w:pStyle w:val="BodyText"/>
      </w:pPr>
      <w:hyperlink r:id="rId58">
        <w:r>
          <w:rPr>
            <w:rStyle w:val="Hyperlink"/>
          </w:rPr>
          <w:t xml:space="preserve">https://iiif.io/api/cookbook/recipe/0047-homepage/</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iiif.io/api/cookbook/recipe/0047-homepage/" TargetMode="External" /><Relationship Type="http://schemas.openxmlformats.org/officeDocument/2006/relationships/hyperlink" Id="rId38" Target="https://linked.art/model/" TargetMode="External" /><Relationship Type="http://schemas.openxmlformats.org/officeDocument/2006/relationships/hyperlink" Id="rId22" Target="https://linked.art/model/base/" TargetMode="External" /><Relationship Type="http://schemas.openxmlformats.org/officeDocument/2006/relationships/hyperlink" Id="rId42" Target="https://pls.sl.nsw.gov.au/managing-my-library/standards-and-guidelines/digital-practice-guidelines/cataloguing-and-metadata" TargetMode="External" /><Relationship Type="http://schemas.openxmlformats.org/officeDocument/2006/relationships/hyperlink" Id="rId21" Target="https://saa-ts-dacs.github.io/" TargetMode="External" /><Relationship Type="http://schemas.openxmlformats.org/officeDocument/2006/relationships/hyperlink" Id="rId24" Target="https://saa-ts-dacs.github.io/dacs/06_part_I/02_chapter_01.html" TargetMode="External" /><Relationship Type="http://schemas.openxmlformats.org/officeDocument/2006/relationships/hyperlink" Id="rId29" Target="https://saa-ts-dacs.github.io/dacs/06_part_I/09_chapter_08/02_rights_statements_archival_description.html" TargetMode="External" /><Relationship Type="http://schemas.openxmlformats.org/officeDocument/2006/relationships/hyperlink" Id="rId35" Target="https://www.archives.gov/research/catalog/lcdrg/authority-lists/finding-aid-type" TargetMode="External" /><Relationship Type="http://schemas.openxmlformats.org/officeDocument/2006/relationships/hyperlink" Id="rId40" Target="https://www.copyright.gov/historic-records/card-layouts.pdf" TargetMode="External" /><Relationship Type="http://schemas.openxmlformats.org/officeDocument/2006/relationships/hyperlink" Id="rId55" Target="https://www.designsystem.qld.gov.au/styles" TargetMode="External" /><Relationship Type="http://schemas.openxmlformats.org/officeDocument/2006/relationships/hyperlink" Id="rId56" Target="https://www.digital.nsw.gov.au/delivery/accessibility-and-inclusivity-toolkit/design/colour-contrast" TargetMode="External" /><Relationship Type="http://schemas.openxmlformats.org/officeDocument/2006/relationships/hyperlink" Id="rId52" Target="https://www.europeana.eu/en/item/2058601/object_CUT_18989801" TargetMode="External" /><Relationship Type="http://schemas.openxmlformats.org/officeDocument/2006/relationships/hyperlink" Id="rId51" Target="https://www.europeana.eu/en/item/2058601/object_CUT_18990694" TargetMode="External" /><Relationship Type="http://schemas.openxmlformats.org/officeDocument/2006/relationships/hyperlink" Id="rId26" Target="https://www.getty.edu/research/tools/vocabularies/" TargetMode="External" /><Relationship Type="http://schemas.openxmlformats.org/officeDocument/2006/relationships/hyperlink" Id="rId23" Target="https://www.loc.gov/ead/tglib/elements/arrangement.html" TargetMode="External" /><Relationship Type="http://schemas.openxmlformats.org/officeDocument/2006/relationships/hyperlink" Id="rId25" Target="https://www.loc.gov/pictures/static/data/cwp/resources/cataloging.html" TargetMode="External" /><Relationship Type="http://schemas.openxmlformats.org/officeDocument/2006/relationships/hyperlink" Id="rId31" Target="https://www.loc.gov/research-centers/manuscript/researcher-resources/finding-aids/" TargetMode="External" /><Relationship Type="http://schemas.openxmlformats.org/officeDocument/2006/relationships/hyperlink" Id="rId46" Target="https://www.loc.gov/research-centers/prints-and-photographs/researcher-resources/copyright-and-rights-and-restrictions-information/" TargetMode="External" /><Relationship Type="http://schemas.openxmlformats.org/officeDocument/2006/relationships/hyperlink" Id="rId28" Target="https://www.pmc.gov.au/resources/australian-government-branding-guidelines" TargetMode="External" /><Relationship Type="http://schemas.openxmlformats.org/officeDocument/2006/relationships/hyperlink" Id="rId53" Target="https://www.si.edu/openaccess/faq" TargetMode="External" /></Relationships>
</file>

<file path=word/_rels/footnotes.xml.rels><?xml version="1.0" encoding="UTF-8"?><Relationships xmlns="http://schemas.openxmlformats.org/package/2006/relationships"><Relationship Type="http://schemas.openxmlformats.org/officeDocument/2006/relationships/hyperlink" Id="rId58" Target="https://iiif.io/api/cookbook/recipe/0047-homepage/" TargetMode="External" /><Relationship Type="http://schemas.openxmlformats.org/officeDocument/2006/relationships/hyperlink" Id="rId38" Target="https://linked.art/model/" TargetMode="External" /><Relationship Type="http://schemas.openxmlformats.org/officeDocument/2006/relationships/hyperlink" Id="rId22" Target="https://linked.art/model/base/" TargetMode="External" /><Relationship Type="http://schemas.openxmlformats.org/officeDocument/2006/relationships/hyperlink" Id="rId42" Target="https://pls.sl.nsw.gov.au/managing-my-library/standards-and-guidelines/digital-practice-guidelines/cataloguing-and-metadata" TargetMode="External" /><Relationship Type="http://schemas.openxmlformats.org/officeDocument/2006/relationships/hyperlink" Id="rId21" Target="https://saa-ts-dacs.github.io/" TargetMode="External" /><Relationship Type="http://schemas.openxmlformats.org/officeDocument/2006/relationships/hyperlink" Id="rId24" Target="https://saa-ts-dacs.github.io/dacs/06_part_I/02_chapter_01.html" TargetMode="External" /><Relationship Type="http://schemas.openxmlformats.org/officeDocument/2006/relationships/hyperlink" Id="rId29" Target="https://saa-ts-dacs.github.io/dacs/06_part_I/09_chapter_08/02_rights_statements_archival_description.html" TargetMode="External" /><Relationship Type="http://schemas.openxmlformats.org/officeDocument/2006/relationships/hyperlink" Id="rId35" Target="https://www.archives.gov/research/catalog/lcdrg/authority-lists/finding-aid-type" TargetMode="External" /><Relationship Type="http://schemas.openxmlformats.org/officeDocument/2006/relationships/hyperlink" Id="rId40" Target="https://www.copyright.gov/historic-records/card-layouts.pdf" TargetMode="External" /><Relationship Type="http://schemas.openxmlformats.org/officeDocument/2006/relationships/hyperlink" Id="rId55" Target="https://www.designsystem.qld.gov.au/styles" TargetMode="External" /><Relationship Type="http://schemas.openxmlformats.org/officeDocument/2006/relationships/hyperlink" Id="rId56" Target="https://www.digital.nsw.gov.au/delivery/accessibility-and-inclusivity-toolkit/design/colour-contrast" TargetMode="External" /><Relationship Type="http://schemas.openxmlformats.org/officeDocument/2006/relationships/hyperlink" Id="rId52" Target="https://www.europeana.eu/en/item/2058601/object_CUT_18989801" TargetMode="External" /><Relationship Type="http://schemas.openxmlformats.org/officeDocument/2006/relationships/hyperlink" Id="rId51" Target="https://www.europeana.eu/en/item/2058601/object_CUT_18990694" TargetMode="External" /><Relationship Type="http://schemas.openxmlformats.org/officeDocument/2006/relationships/hyperlink" Id="rId26" Target="https://www.getty.edu/research/tools/vocabularies/" TargetMode="External" /><Relationship Type="http://schemas.openxmlformats.org/officeDocument/2006/relationships/hyperlink" Id="rId23" Target="https://www.loc.gov/ead/tglib/elements/arrangement.html" TargetMode="External" /><Relationship Type="http://schemas.openxmlformats.org/officeDocument/2006/relationships/hyperlink" Id="rId25" Target="https://www.loc.gov/pictures/static/data/cwp/resources/cataloging.html" TargetMode="External" /><Relationship Type="http://schemas.openxmlformats.org/officeDocument/2006/relationships/hyperlink" Id="rId31" Target="https://www.loc.gov/research-centers/manuscript/researcher-resources/finding-aids/" TargetMode="External" /><Relationship Type="http://schemas.openxmlformats.org/officeDocument/2006/relationships/hyperlink" Id="rId46" Target="https://www.loc.gov/research-centers/prints-and-photographs/researcher-resources/copyright-and-rights-and-restrictions-information/" TargetMode="External" /><Relationship Type="http://schemas.openxmlformats.org/officeDocument/2006/relationships/hyperlink" Id="rId28" Target="https://www.pmc.gov.au/resources/australian-government-branding-guidelines" TargetMode="External" /><Relationship Type="http://schemas.openxmlformats.org/officeDocument/2006/relationships/hyperlink" Id="rId53" Target="https://www.si.edu/openaccess/fa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2026-05-30T03:57:37Z</dcterms:created>
  <dcterms:modified xsi:type="dcterms:W3CDTF">2026-05-30T03:57:37Z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