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36" w:name="content"/>
    <w:bookmarkStart w:id="35" w:name="X5e957ed27cbb973579fe02e4eee910079177a7c"/>
    <w:p>
      <w:pPr>
        <w:pStyle w:val="Heading1"/>
      </w:pPr>
      <w:r>
        <w:t xml:space="preserve">Rights-Aware Remediation of Unresolved Graphic Design Archive Targets</w:t>
      </w:r>
    </w:p>
    <w:bookmarkStart w:id="21" w:name="scope-and-decision-rules"/>
    <w:p>
      <w:pPr>
        <w:pStyle w:val="Heading2"/>
      </w:pPr>
      <w:r>
        <w:t xml:space="preserve">Scope and decision rules</w:t>
      </w:r>
    </w:p>
    <w:p>
      <w:pPr>
        <w:pStyle w:val="FirstParagraph"/>
      </w:pPr>
      <w:r>
        <w:t xml:space="preserve">The ingest notes name source families and path types, but they do not supply every literal previously failed URL. In the table below,</w:t>
      </w:r>
      <w:r>
        <w:t xml:space="preserve"> </w:t>
      </w:r>
      <w:r>
        <w:rPr>
          <w:b/>
          <w:bCs/>
        </w:rPr>
        <w:t xml:space="preserve">original source</w:t>
      </w:r>
      <w:r>
        <w:t xml:space="preserve"> </w:t>
      </w:r>
      <w:r>
        <w:t xml:space="preserve">therefore refers to the source family or path type named in the ingest notes. Where the literal legacy URL was not provided, the accessibility judgment in the</w:t>
      </w:r>
      <w:r>
        <w:t xml:space="preserve"> </w:t>
      </w:r>
      <w:r>
        <w:rPr>
          <w:b/>
          <w:bCs/>
        </w:rPr>
        <w:t xml:space="preserve">reason</w:t>
      </w:r>
      <w:r>
        <w:t xml:space="preserve"> </w:t>
      </w:r>
      <w:r>
        <w:t xml:space="preserve">field reflects the named family or search path that could be checked in this pass.</w:t>
      </w:r>
    </w:p>
    <w:p>
      <w:pPr>
        <w:pStyle w:val="BodyText"/>
      </w:pPr>
      <w:r>
        <w:t xml:space="preserve">I use</w:t>
      </w:r>
      <w:r>
        <w:t xml:space="preserve"> </w:t>
      </w:r>
      <w:r>
        <w:rPr>
          <w:b/>
          <w:bCs/>
        </w:rPr>
        <w:t xml:space="preserve">IMG00</w:t>
      </w:r>
      <w:r>
        <w:t xml:space="preserve"> </w:t>
      </w:r>
      <w:r>
        <w:t xml:space="preserve">for records where an image-bearing source exists but should remain externally viewed because rights are restricted, unclear, or institutionally viewer-bound. I use</w:t>
      </w:r>
      <w:r>
        <w:t xml:space="preserve"> </w:t>
      </w:r>
      <w:r>
        <w:rPr>
          <w:b/>
          <w:bCs/>
        </w:rPr>
        <w:t xml:space="preserve">IMG04</w:t>
      </w:r>
      <w:r>
        <w:t xml:space="preserve"> </w:t>
      </w:r>
      <w:r>
        <w:t xml:space="preserve">for bibliographic, authority, textual, or structurally fragile web-archive records where a local image slot would over-promise. “Source viewer link” means the public UI should point users to the exact record page. “Search-at-source link” means the UI should also expose the institution’s broader search or collection entry point because the source family is distributed, unstable, or only partially exact.</w:t>
      </w:r>
    </w:p>
    <w:bookmarkEnd w:id="21"/>
    <w:bookmarkStart w:id="31" w:name="findings-table"/>
    <w:p>
      <w:pPr>
        <w:pStyle w:val="Heading2"/>
      </w:pPr>
      <w:r>
        <w:t xml:space="preserve">Findings table</w:t>
      </w:r>
    </w:p>
    <w:p>
      <w:pPr>
        <w:pStyle w:val="FirstParagraph"/>
      </w:pPr>
      <w:r>
        <w:t xml:space="preserve">&lt;table&gt;</w:t>
      </w:r>
      <w:r>
        <w:t xml:space="preserve"> </w:t>
      </w:r>
      <w:r>
        <w:t xml:space="preserve">&lt;thead&gt;</w:t>
      </w:r>
      <w:r>
        <w:t xml:space="preserve"> </w:t>
      </w:r>
      <w:r>
        <w:t xml:space="preserve">&lt;tr&gt;</w:t>
      </w:r>
      <w:r>
        <w:t xml:space="preserve"> </w:t>
      </w:r>
      <w:r>
        <w:t xml:space="preserve">&lt;th&gt;failed target ID&lt;/th&gt;</w:t>
      </w:r>
      <w:r>
        <w:t xml:space="preserve"> </w:t>
      </w:r>
      <w:r>
        <w:t xml:space="preserve">&lt;th&gt;original target label&lt;/th&gt;</w:t>
      </w:r>
      <w:r>
        <w:t xml:space="preserve"> </w:t>
      </w:r>
      <w:r>
        <w:t xml:space="preserve">&lt;th&gt;original source&lt;/th&gt;</w:t>
      </w:r>
      <w:r>
        <w:t xml:space="preserve"> </w:t>
      </w:r>
      <w:r>
        <w:t xml:space="preserve">&lt;th&gt;failure type&lt;/th&gt;</w:t>
      </w:r>
      <w:r>
        <w:t xml:space="preserve"> </w:t>
      </w:r>
      <w:r>
        <w:t xml:space="preserve">&lt;th&gt;confirmed exact URL if found&lt;/th&gt;</w:t>
      </w:r>
      <w:r>
        <w:t xml:space="preserve"> </w:t>
      </w:r>
      <w:r>
        <w:t xml:space="preserve">&lt;th&gt;replacement URL if better&lt;/th&gt;</w:t>
      </w:r>
      <w:r>
        <w:t xml:space="preserve"> </w:t>
      </w:r>
      <w:r>
        <w:t xml:space="preserve">&lt;th&gt;source title&lt;/th&gt;</w:t>
      </w:r>
      <w:r>
        <w:t xml:space="preserve"> </w:t>
      </w:r>
      <w:r>
        <w:t xml:space="preserve">&lt;th&gt;creator/institution&lt;/th&gt;</w:t>
      </w:r>
      <w:r>
        <w:t xml:space="preserve"> </w:t>
      </w:r>
      <w:r>
        <w:t xml:space="preserve">&lt;th&gt;date&lt;/th&gt;</w:t>
      </w:r>
      <w:r>
        <w:t xml:space="preserve"> </w:t>
      </w:r>
      <w:r>
        <w:t xml:space="preserve">&lt;th&gt;record family&lt;/th&gt;</w:t>
      </w:r>
      <w:r>
        <w:t xml:space="preserve"> </w:t>
      </w:r>
      <w:r>
        <w:t xml:space="preserve">&lt;th&gt;rights note&lt;/th&gt;</w:t>
      </w:r>
      <w:r>
        <w:t xml:space="preserve"> </w:t>
      </w:r>
      <w:r>
        <w:t xml:space="preserve">&lt;th&gt;recommended IMG00-IMG04&lt;/th&gt;</w:t>
      </w:r>
      <w:r>
        <w:t xml:space="preserve"> </w:t>
      </w:r>
      <w:r>
        <w:t xml:space="preserve">&lt;th&gt;recommended status&lt;/th&gt;</w:t>
      </w:r>
      <w:r>
        <w:t xml:space="preserve"> </w:t>
      </w:r>
      <w:r>
        <w:t xml:space="preserve">&lt;th&gt;reason&lt;/th&gt;</w:t>
      </w:r>
      <w:r>
        <w:t xml:space="preserve"> </w:t>
      </w:r>
      <w:r>
        <w:t xml:space="preserve">&lt;/tr&gt;</w:t>
      </w:r>
      <w:r>
        <w:t xml:space="preserve"> </w:t>
      </w:r>
      <w:r>
        <w:t xml:space="preserve">&lt;/thead&gt;</w:t>
      </w:r>
      <w:r>
        <w:t xml:space="preserve"> </w:t>
      </w:r>
      <w:r>
        <w:t xml:space="preserve">&lt;tbody&gt;</w:t>
      </w:r>
      <w:r>
        <w:t xml:space="preserve"> </w:t>
      </w:r>
      <w:r>
        <w:t xml:space="preserve">&lt;tr&gt;</w:t>
      </w:r>
      <w:r>
        <w:t xml:space="preserve"> </w:t>
      </w:r>
      <w:r>
        <w:t xml:space="preserve">&lt;td&gt;C05&lt;/td&gt;</w:t>
      </w:r>
      <w:r>
        <w:t xml:space="preserve"> </w:t>
      </w:r>
      <w:r>
        <w:t xml:space="preserve">&lt;td&gt;Brigadas Ramona Parra / Chile&lt;/td&gt;</w:t>
      </w:r>
      <w:r>
        <w:t xml:space="preserve"> </w:t>
      </w:r>
      <w:r>
        <w:t xml:space="preserve">&lt;td&gt;Biblioteca Nacional Digital de Chile search paths; MMDH context page&lt;/td&gt;</w:t>
      </w:r>
      <w:r>
        <w:t xml:space="preserve"> </w:t>
      </w:r>
      <w:r>
        <w:t xml:space="preserve">&lt;td&gt;Original BND paths were not exact records; MMDH context was not a stable exact object&lt;/td&gt;</w:t>
      </w:r>
      <w:r>
        <w:t xml:space="preserve"> </w:t>
      </w:r>
      <w:r>
        <w:t xml:space="preserve">&lt;td&gt;&lt;code&gt;https://www.bibliotecanacionaldigital.gob.cl/visor/BND%3A605531&lt;/code&gt;&lt;/td&gt;</w:t>
      </w:r>
      <w:r>
        <w:t xml:space="preserve"> </w:t>
      </w:r>
      <w:r>
        <w:t xml:space="preserve">&lt;td&gt;&lt;code&gt;https://www.bibliotecanacionaldigital.gob.cl/visor/BND%3A163996&lt;/code&gt;&lt;/td&gt;</w:t>
      </w:r>
      <w:r>
        <w:t xml:space="preserve"> </w:t>
      </w:r>
      <w:r>
        <w:t xml:space="preserve">&lt;td&gt;&lt;em&gt;Contra la dictadura ... pintaremos hasta el cielo!!&lt;/em&gt;&lt;/td&gt;</w:t>
      </w:r>
      <w:r>
        <w:t xml:space="preserve"> </w:t>
      </w:r>
      <w:r>
        <w:t xml:space="preserve">&lt;td&gt;Brigada Ramona Parra; Biblioteca Nacional de Chile&lt;/td&gt;</w:t>
      </w:r>
      <w:r>
        <w:t xml:space="preserve"> </w:t>
      </w:r>
      <w:r>
        <w:t xml:space="preserve">&lt;td&gt;[198-?]&lt;/td&gt;</w:t>
      </w:r>
      <w:r>
        <w:t xml:space="preserve"> </w:t>
      </w:r>
      <w:r>
        <w:t xml:space="preserve">&lt;td&gt;National library poster record&lt;/td&gt;</w:t>
      </w:r>
      <w:r>
        <w:t xml:space="preserve"> </w:t>
      </w:r>
      <w:r>
        <w:t xml:space="preserve">&lt;td&gt;BND marks the poster for online access but states “Uso exclusivo para investigadores acreditados”; related BRP records in BND include protected book-derived plates and photographs, so metadata-plus-link treatment is safest.&lt;/td&gt;</w:t>
      </w:r>
      <w:r>
        <w:t xml:space="preserve"> </w:t>
      </w:r>
      <w:r>
        <w:t xml:space="preserve">&lt;td&gt;IMG00&lt;/td&gt;</w:t>
      </w:r>
      <w:r>
        <w:t xml:space="preserve"> </w:t>
      </w:r>
      <w:r>
        <w:t xml:space="preserve">&lt;td&gt;replace_target&lt;/td&gt;</w:t>
      </w:r>
      <w:r>
        <w:t xml:space="preserve"> </w:t>
      </w:r>
      <w:r>
        <w:t xml:space="preserve">&lt;td&gt;The original BND family is accessible, but the useful exact remediation is a concrete item record: BND 605531 is a BRP poster record with creator, subject, and collection metadata, and BND 163996 is an exact historical BRP photograph record. Public UI should show a source viewer link and also keep a search-at-source link because BRP evidence is split across multiple BND collections.</w:t>
      </w:r>
      <w:r>
        <w:t xml:space="preserve"> </w:t>
      </w:r>
      <w:hyperlink r:id="rId22">
        <w:r>
          <w:rPr>
            <w:rStyle w:val="Hyperlink"/>
          </w:rPr>
          <w:t xml:space="preserve">[1]</w:t>
        </w:r>
      </w:hyperlink>
      <w:r>
        <w:t xml:space="preserve">&lt;/td&gt;</w:t>
      </w:r>
      <w:r>
        <w:t xml:space="preserve"> </w:t>
      </w:r>
      <w:r>
        <w:t xml:space="preserve">&lt;/tr&gt;</w:t>
      </w:r>
      <w:r>
        <w:t xml:space="preserve"> </w:t>
      </w:r>
      <w:r>
        <w:t xml:space="preserve">&lt;tr&gt;</w:t>
      </w:r>
      <w:r>
        <w:t xml:space="preserve"> </w:t>
      </w:r>
      <w:r>
        <w:t xml:space="preserve">&lt;td&gt;C06&lt;/td&gt;</w:t>
      </w:r>
      <w:r>
        <w:t xml:space="preserve"> </w:t>
      </w:r>
      <w:r>
        <w:t xml:space="preserve">&lt;td&gt;World Design Conference / Japan&lt;/td&gt;</w:t>
      </w:r>
      <w:r>
        <w:t xml:space="preserve"> </w:t>
      </w:r>
      <w:r>
        <w:t xml:space="preserve">&lt;td&gt;NDL search results and related bibliographic/event references&lt;/td&gt;</w:t>
      </w:r>
      <w:r>
        <w:t xml:space="preserve"> </w:t>
      </w:r>
      <w:r>
        <w:t xml:space="preserve">&lt;td&gt;Needed exact stable NDL or alternative bibliographic/event URLs&lt;/td&gt;</w:t>
      </w:r>
      <w:r>
        <w:t xml:space="preserve"> </w:t>
      </w:r>
      <w:r>
        <w:t xml:space="preserve">&lt;td&gt;&lt;code&gt;https://ndlsearch.ndl.go.jp/en/books/R100000002-I000001036466&lt;/code&gt;&lt;/td&gt;</w:t>
      </w:r>
      <w:r>
        <w:t xml:space="preserve"> </w:t>
      </w:r>
      <w:r>
        <w:t xml:space="preserve">&lt;td&gt;&lt;code&gt;https://id.ndl.go.jp/auth/ndlna/00638273&lt;/code&gt;&lt;/td&gt;</w:t>
      </w:r>
      <w:r>
        <w:t xml:space="preserve"> </w:t>
      </w:r>
      <w:r>
        <w:rPr>
          <w:rFonts w:hint="eastAsia"/>
        </w:rPr>
        <w:t xml:space="preserve">&lt;td&gt;&lt;em&gt;世界デザイン会議議事録&lt;/em&gt;&lt;/td&gt;</w:t>
      </w:r>
      <w:r>
        <w:t xml:space="preserve"> </w:t>
      </w:r>
      <w:r>
        <w:rPr>
          <w:rFonts w:hint="eastAsia"/>
        </w:rPr>
        <w:t xml:space="preserve">&lt;td&gt;世界デザイン会議議事録編集委員会;</w:t>
      </w:r>
      <w:r>
        <w:t xml:space="preserve"> </w:t>
      </w:r>
      <w:r>
        <w:rPr>
          <w:rFonts w:hint="eastAsia"/>
        </w:rPr>
        <w:t xml:space="preserve">美術出版社;</w:t>
      </w:r>
      <w:r>
        <w:t xml:space="preserve"> National Diet Library&lt;/td&gt;</w:t>
      </w:r>
      <w:r>
        <w:t xml:space="preserve"> </w:t>
      </w:r>
      <w:r>
        <w:t xml:space="preserve">&lt;td&gt;1961&lt;/td&gt;</w:t>
      </w:r>
      <w:r>
        <w:t xml:space="preserve"> </w:t>
      </w:r>
      <w:r>
        <w:t xml:space="preserve">&lt;td&gt;National library bibliographic record plus event authority record&lt;/td&gt;</w:t>
      </w:r>
      <w:r>
        <w:t xml:space="preserve"> </w:t>
      </w:r>
      <w:r>
        <w:t xml:space="preserve">&lt;td&gt;Public bibliographic metadata is stable; reuse rights for any digital page images were not verified in this pass, so index metadata and outbound links only.&lt;/td&gt;</w:t>
      </w:r>
      <w:r>
        <w:t xml:space="preserve"> </w:t>
      </w:r>
      <w:r>
        <w:t xml:space="preserve">&lt;td&gt;IMG04&lt;/td&gt;</w:t>
      </w:r>
      <w:r>
        <w:t xml:space="preserve"> </w:t>
      </w:r>
      <w:r>
        <w:t xml:space="preserve">&lt;td&gt;promote_to_candidate&lt;/td&gt;</w:t>
      </w:r>
      <w:r>
        <w:t xml:space="preserve"> </w:t>
      </w:r>
      <w:r>
        <w:t xml:space="preserve">&lt;td&gt;The NDL record is now exact and stable: it exposes an NDL bibliographic ID, a persistent PID, publication data, and a controlled subject heading that links to a dedicated authority record for the World Design Conference. A related 1959 article record also survives with stable NDL and PID links, but the proceedings plus authority pair is strong enough to promote. Source viewer link is enough; search-at-source is optional.</w:t>
      </w:r>
      <w:r>
        <w:t xml:space="preserve"> </w:t>
      </w:r>
      <w:hyperlink r:id="rId23">
        <w:r>
          <w:rPr>
            <w:rStyle w:val="Hyperlink"/>
          </w:rPr>
          <w:t xml:space="preserve">[2]</w:t>
        </w:r>
      </w:hyperlink>
      <w:r>
        <w:t xml:space="preserve">&lt;/td&gt;</w:t>
      </w:r>
      <w:r>
        <w:t xml:space="preserve"> </w:t>
      </w:r>
      <w:r>
        <w:t xml:space="preserve">&lt;/tr&gt;</w:t>
      </w:r>
      <w:r>
        <w:t xml:space="preserve"> </w:t>
      </w:r>
      <w:r>
        <w:t xml:space="preserve">&lt;tr&gt;</w:t>
      </w:r>
      <w:r>
        <w:t xml:space="preserve"> </w:t>
      </w:r>
      <w:r>
        <w:t xml:space="preserve">&lt;td&gt;C07&lt;/td&gt;</w:t>
      </w:r>
      <w:r>
        <w:t xml:space="preserve"> </w:t>
      </w:r>
      <w:r>
        <w:t xml:space="preserve">&lt;td&gt;Shanghai Sketch / yuefenpai&lt;/td&gt;</w:t>
      </w:r>
      <w:r>
        <w:t xml:space="preserve"> </w:t>
      </w:r>
      <w:r>
        <w:t xml:space="preserve">&lt;td&gt;Internet Archive issue page; broader periodical/catalog discovery&lt;/td&gt;</w:t>
      </w:r>
      <w:r>
        <w:t xml:space="preserve"> </w:t>
      </w:r>
      <w:r>
        <w:t xml:space="preserve">&lt;td&gt;Issue existed but page-level locator needed confirmation; additional exact object/periodical records needed&lt;/td&gt;</w:t>
      </w:r>
      <w:r>
        <w:t xml:space="preserve"> </w:t>
      </w:r>
      <w:r>
        <w:t xml:space="preserve">&lt;td&gt;&lt;code&gt;https://archive.org/details/shmh-1928.11.17&lt;/code&gt;&lt;/td&gt;</w:t>
      </w:r>
      <w:r>
        <w:t xml:space="preserve"> </w:t>
      </w:r>
      <w:r>
        <w:t xml:space="preserve">&lt;td&gt;&lt;code&gt;https://www.britishmuseum.org/collection/object/A_1993-0813-0-1&lt;/code&gt;&lt;/td&gt;</w:t>
      </w:r>
      <w:r>
        <w:t xml:space="preserve"> </w:t>
      </w:r>
      <w:r>
        <w:rPr>
          <w:rFonts w:hint="eastAsia"/>
        </w:rPr>
        <w:t xml:space="preserve">&lt;td&gt;&lt;em&gt;上海漫畫</w:t>
      </w:r>
      <w:r>
        <w:t xml:space="preserve"> 1928.11.17 </w:t>
      </w:r>
      <w:r>
        <w:rPr>
          <w:rFonts w:hint="eastAsia"/>
        </w:rPr>
        <w:t xml:space="preserve">第三十一期&lt;/em&gt;&lt;/td&gt;</w:t>
      </w:r>
      <w:r>
        <w:t xml:space="preserve"> </w:t>
      </w:r>
      <w:r>
        <w:rPr>
          <w:rFonts w:hint="eastAsia"/>
        </w:rPr>
        <w:t xml:space="preserve">&lt;td&gt;上海漫畫</w:t>
      </w:r>
      <w:r>
        <w:t xml:space="preserve"> / Internet Archive; replacement object at the British Museum&lt;/td&gt;</w:t>
      </w:r>
      <w:r>
        <w:t xml:space="preserve"> </w:t>
      </w:r>
      <w:r>
        <w:t xml:space="preserve">&lt;td&gt;1928-11-17; replacement object 1930&lt;/td&gt;</w:t>
      </w:r>
      <w:r>
        <w:t xml:space="preserve"> </w:t>
      </w:r>
      <w:r>
        <w:t xml:space="preserve">&lt;td&gt;Digital periodical issue plus museum object record&lt;/td&gt;</w:t>
      </w:r>
      <w:r>
        <w:t xml:space="preserve"> </w:t>
      </w:r>
      <w:r>
        <w:t xml:space="preserve">&lt;td&gt;The IA issue is publicly viewable, but explicit rights clearance for reuse was not established on the cited item page; the British Museum object gives firm object metadata for a yuefenpai example, but image-use rights still need separate handling.&lt;/td&gt;</w:t>
      </w:r>
      <w:r>
        <w:t xml:space="preserve"> </w:t>
      </w:r>
      <w:r>
        <w:t xml:space="preserve">&lt;td&gt;IMG00&lt;/td&gt;</w:t>
      </w:r>
      <w:r>
        <w:t xml:space="preserve"> </w:t>
      </w:r>
      <w:r>
        <w:t xml:space="preserve">&lt;td&gt;browser_recheck_only&lt;/td&gt;</w:t>
      </w:r>
      <w:r>
        <w:t xml:space="preserve"> </w:t>
      </w:r>
      <w:r>
        <w:t xml:space="preserve">&lt;td&gt;An exact Shanghai &lt;em&gt;Manhua&lt;/em&gt; issue record exists at Internet Archive, and the yuefenpai side can be grounded with an exact British Museum object record for a 1930 calendar poster by Hu Boxiang. What is still missing is confirmation of the intended page-level locator inside the exact IA issue. Use a source viewer link plus a search-at-source link, and recheck the target in a browser before promotion.</w:t>
      </w:r>
      <w:r>
        <w:t xml:space="preserve"> </w:t>
      </w:r>
      <w:hyperlink r:id="rId24">
        <w:r>
          <w:rPr>
            <w:rStyle w:val="Hyperlink"/>
          </w:rPr>
          <w:t xml:space="preserve">[3]</w:t>
        </w:r>
      </w:hyperlink>
      <w:r>
        <w:t xml:space="preserve">&lt;/td&gt;</w:t>
      </w:r>
      <w:r>
        <w:t xml:space="preserve"> </w:t>
      </w:r>
      <w:r>
        <w:t xml:space="preserve">&lt;/tr&gt;</w:t>
      </w:r>
      <w:r>
        <w:t xml:space="preserve"> </w:t>
      </w:r>
      <w:r>
        <w:t xml:space="preserve">&lt;tr&gt;</w:t>
      </w:r>
      <w:r>
        <w:t xml:space="preserve"> </w:t>
      </w:r>
      <w:r>
        <w:t xml:space="preserve">&lt;td&gt;C08&lt;/td&gt;</w:t>
      </w:r>
      <w:r>
        <w:t xml:space="preserve"> </w:t>
      </w:r>
      <w:r>
        <w:t xml:space="preserve">&lt;td&gt;Minjung / Kwangju / Korea&lt;/td&gt;</w:t>
      </w:r>
      <w:r>
        <w:t xml:space="preserve"> </w:t>
      </w:r>
      <w:r>
        <w:t xml:space="preserve">&lt;td&gt;OpenArchive/Kdemo search paths; suggested Seoul Museum of Art replacement&lt;/td&gt;</w:t>
      </w:r>
      <w:r>
        <w:t xml:space="preserve"> </w:t>
      </w:r>
      <w:r>
        <w:t xml:space="preserve">&lt;td&gt;OpenArchive/Kdemo records unstable or unconfirmed; needed exact records for Minjung print/poster culture and Hong Sung-dam context&lt;/td&gt;</w:t>
      </w:r>
      <w:r>
        <w:t xml:space="preserve"> </w:t>
      </w:r>
      <w:r>
        <w:t xml:space="preserve">&lt;td&gt;&lt;code&gt;https://archives.kdemo.or.kr/isad/view/01015850&lt;/code&gt;&lt;/td&gt;</w:t>
      </w:r>
      <w:r>
        <w:t xml:space="preserve"> </w:t>
      </w:r>
      <w:r>
        <w:t xml:space="preserve">&lt;td&gt;&lt;code&gt;https://sema.seoul.go.kr/en/knowledge_research/collection/collection_detail?artSeq=WORK_0000000568&lt;/code&gt;&lt;/td&gt;</w:t>
      </w:r>
      <w:r>
        <w:t xml:space="preserve"> </w:t>
      </w:r>
      <w:r>
        <w:t xml:space="preserve">&lt;td&gt;&lt;em&gt;홍성담 5월 판화전 '사람이 사람을 부른다' 포스터&lt;/em&gt;&lt;/td&gt;</w:t>
      </w:r>
      <w:r>
        <w:t xml:space="preserve"> </w:t>
      </w:r>
      <w:r>
        <w:t xml:space="preserve">&lt;td&gt;홍성담판화전실행위원회 / Open Archives, Korea Democracy Foundation; replacement collection record at Seoul Museum of Art&lt;/td&gt;</w:t>
      </w:r>
      <w:r>
        <w:t xml:space="preserve"> </w:t>
      </w:r>
      <w:r>
        <w:t xml:space="preserve">&lt;td&gt;[2012]; replacement work 1983&lt;/td&gt;</w:t>
      </w:r>
      <w:r>
        <w:t xml:space="preserve"> </w:t>
      </w:r>
      <w:r>
        <w:t xml:space="preserve">&lt;td&gt;Archival poster item plus museum collection object&lt;/td&gt;</w:t>
      </w:r>
      <w:r>
        <w:t xml:space="preserve"> </w:t>
      </w:r>
      <w:r>
        <w:t xml:space="preserve">&lt;td&gt;OpenArchive explicitly warns that use/reproduction outside the service requires permission and may trigger legal liability; SeMA collection pages are stable but no permissive reuse statement was verified in this pass.&lt;/td&gt;</w:t>
      </w:r>
      <w:r>
        <w:t xml:space="preserve"> </w:t>
      </w:r>
      <w:r>
        <w:t xml:space="preserve">&lt;td&gt;IMG00&lt;/td&gt;</w:t>
      </w:r>
      <w:r>
        <w:t xml:space="preserve"> </w:t>
      </w:r>
      <w:r>
        <w:t xml:space="preserve">&lt;td&gt;replace_target&lt;/td&gt;</w:t>
      </w:r>
      <w:r>
        <w:t xml:space="preserve"> </w:t>
      </w:r>
      <w:r>
        <w:t xml:space="preserve">&lt;td&gt;The unstable Kdemo path can be normalized to stable session-free URLs. Exact OpenArchive records now exist for a Hong Sung-dam poster and for a woodcut collection record, while SeMA provides exact collection pages for Hong Sung-dam’s &lt;em&gt;May-1&lt;/em&gt; and other works. OpenArchive’s oral-history record also directly anchors Hong Sung-dam’s Minjung-art biography, the Gwangju propaganda role, and the &lt;em&gt;새벽&lt;/em&gt; print series. Use source viewer links; keep a search-at-source link because the theme spans archive, oral history, and museum collections.</w:t>
      </w:r>
      <w:r>
        <w:t xml:space="preserve"> </w:t>
      </w:r>
      <w:hyperlink r:id="rId25">
        <w:r>
          <w:rPr>
            <w:rStyle w:val="Hyperlink"/>
          </w:rPr>
          <w:t xml:space="preserve">[4]</w:t>
        </w:r>
      </w:hyperlink>
      <w:r>
        <w:t xml:space="preserve">&lt;/td&gt;</w:t>
      </w:r>
      <w:r>
        <w:t xml:space="preserve"> </w:t>
      </w:r>
      <w:r>
        <w:t xml:space="preserve">&lt;/tr&gt;</w:t>
      </w:r>
      <w:r>
        <w:t xml:space="preserve"> </w:t>
      </w:r>
      <w:r>
        <w:t xml:space="preserve">&lt;tr&gt;</w:t>
      </w:r>
      <w:r>
        <w:t xml:space="preserve"> </w:t>
      </w:r>
      <w:r>
        <w:t xml:space="preserve">&lt;td&gt;C09&lt;/td&gt;</w:t>
      </w:r>
      <w:r>
        <w:t xml:space="preserve"> </w:t>
      </w:r>
      <w:r>
        <w:t xml:space="preserve">&lt;td&gt;Singapore multilingual signs/logos&lt;/td&gt;</w:t>
      </w:r>
      <w:r>
        <w:t xml:space="preserve"> </w:t>
      </w:r>
      <w:r>
        <w:t xml:space="preserve">&lt;td&gt;NAS viewer records&lt;/td&gt;</w:t>
      </w:r>
      <w:r>
        <w:t xml:space="preserve"> </w:t>
      </w:r>
      <w:r>
        <w:t xml:space="preserve">&lt;td&gt;NAS records may require browser verification and viewer-only treatment; needed additional stable catalogue/archive sources&lt;/td&gt;</w:t>
      </w:r>
      <w:r>
        <w:t xml:space="preserve"> </w:t>
      </w:r>
      <w:r>
        <w:t xml:space="preserve">&lt;td&gt;&lt;code&gt;https://www.nas.gov.sg/archivesonline/speeches/record-details/7ba7112c-115d-11e3-83d5-0050568939ad&lt;/code&gt;&lt;/td&gt;</w:t>
      </w:r>
      <w:r>
        <w:t xml:space="preserve"> </w:t>
      </w:r>
      <w:r>
        <w:t xml:space="preserve">&lt;td&gt;&lt;code&gt;https://www.nlb.gov.sg/main/article-detail?cmsuuid=52075cdb-44d7-417c-a38f-d9f248a416fb&lt;/code&gt;&lt;/td&gt;</w:t>
      </w:r>
      <w:r>
        <w:t xml:space="preserve"> </w:t>
      </w:r>
      <w:r>
        <w:t xml:space="preserve">&lt;td&gt;&lt;em&gt;NEW LOGO FOR PUB&lt;/em&gt;&lt;/td&gt;</w:t>
      </w:r>
      <w:r>
        <w:t xml:space="preserve"> </w:t>
      </w:r>
      <w:r>
        <w:t xml:space="preserve">&lt;td&gt;Singapore Public Utilities Board / National Archives of Singapore; replacement contextual source from National Library Board&lt;/td&gt;</w:t>
      </w:r>
      <w:r>
        <w:t xml:space="preserve"> </w:t>
      </w:r>
      <w:r>
        <w:t xml:space="preserve">&lt;td&gt;1977-03-21; contextual sign history centered on 1991–1992&lt;/td&gt;</w:t>
      </w:r>
      <w:r>
        <w:t xml:space="preserve"> </w:t>
      </w:r>
      <w:r>
        <w:t xml:space="preserve">&lt;td&gt;Government press release plus reference article; supplementary object record available at Roots&lt;/td&gt;</w:t>
      </w:r>
      <w:r>
        <w:t xml:space="preserve"> </w:t>
      </w:r>
      <w:r>
        <w:t xml:space="preserve">&lt;td&gt;NAS explicitly says “Viewing permitted. Use and reproduction only with permission.” The NLB article and Roots object record are stable context/catalogue substitutes, but they do not by themselves create broader image rights.&lt;/td&gt;</w:t>
      </w:r>
      <w:r>
        <w:t xml:space="preserve"> </w:t>
      </w:r>
      <w:r>
        <w:t xml:space="preserve">&lt;td&gt;IMG00&lt;/td&gt;</w:t>
      </w:r>
      <w:r>
        <w:t xml:space="preserve"> </w:t>
      </w:r>
      <w:r>
        <w:t xml:space="preserve">&lt;td&gt;replace_target&lt;/td&gt;</w:t>
      </w:r>
      <w:r>
        <w:t xml:space="preserve"> </w:t>
      </w:r>
      <w:r>
        <w:t xml:space="preserve">&lt;td&gt;The NAS exact record for a state logo change is accessible and clearly viewer-only. For multilingual signage, NLB’s &lt;em&gt;Tamil Road Signs&lt;/em&gt; article gives a stable, citable account of the 1991 proposal and 1992 implementation in Little India, and NAS also preserves audiovisual evidence of bilingual street signage in historic footage. A Roots object record for a Singapore street sign is another stable catalogue supplement. Public UI should show source viewer links and also a search-at-source link because this theme is best represented as a small source bundle rather than a single NAS viewer page.</w:t>
      </w:r>
      <w:r>
        <w:t xml:space="preserve"> </w:t>
      </w:r>
      <w:hyperlink r:id="rId26">
        <w:r>
          <w:rPr>
            <w:rStyle w:val="Hyperlink"/>
          </w:rPr>
          <w:t xml:space="preserve">[5]</w:t>
        </w:r>
      </w:hyperlink>
      <w:r>
        <w:t xml:space="preserve">&lt;/td&gt;</w:t>
      </w:r>
      <w:r>
        <w:t xml:space="preserve"> </w:t>
      </w:r>
      <w:r>
        <w:t xml:space="preserve">&lt;/tr&gt;</w:t>
      </w:r>
      <w:r>
        <w:t xml:space="preserve"> </w:t>
      </w:r>
      <w:r>
        <w:t xml:space="preserve">&lt;tr&gt;</w:t>
      </w:r>
      <w:r>
        <w:t xml:space="preserve"> </w:t>
      </w:r>
      <w:r>
        <w:t xml:space="preserve">&lt;td&gt;C10&lt;/td&gt;</w:t>
      </w:r>
      <w:r>
        <w:t xml:space="preserve"> </w:t>
      </w:r>
      <w:r>
        <w:t xml:space="preserve">&lt;td&gt;NID India&lt;/td&gt;</w:t>
      </w:r>
      <w:r>
        <w:t xml:space="preserve"> </w:t>
      </w:r>
      <w:r>
        <w:t xml:space="preserve">&lt;td&gt;Legacy NID Young Designers page that failed automated fetch&lt;/td&gt;</w:t>
      </w:r>
      <w:r>
        <w:t xml:space="preserve"> </w:t>
      </w:r>
      <w:r>
        <w:t xml:space="preserve">&lt;td&gt;Needed stable NID/publication/design education records&lt;/td&gt;</w:t>
      </w:r>
      <w:r>
        <w:t xml:space="preserve"> </w:t>
      </w:r>
      <w:r>
        <w:t xml:space="preserve">&lt;td&gt;&lt;code&gt;https://www.nid.edu/about/history-of-nid&lt;/code&gt;&lt;/td&gt;</w:t>
      </w:r>
      <w:r>
        <w:t xml:space="preserve"> </w:t>
      </w:r>
      <w:r>
        <w:t xml:space="preserve">&lt;td&gt;&lt;code&gt;https://youngdesigners.nid.edu/archive/yd11/List.php?abr=GD&lt;/code&gt;&lt;/td&gt;</w:t>
      </w:r>
      <w:r>
        <w:t xml:space="preserve"> </w:t>
      </w:r>
      <w:r>
        <w:t xml:space="preserve">&lt;td&gt;&lt;em&gt;History of NID&lt;/em&gt;&lt;/td&gt;</w:t>
      </w:r>
      <w:r>
        <w:t xml:space="preserve"> </w:t>
      </w:r>
      <w:r>
        <w:t xml:space="preserve">&lt;td&gt;National Institute of Design&lt;/td&gt;</w:t>
      </w:r>
      <w:r>
        <w:t xml:space="preserve"> </w:t>
      </w:r>
      <w:r>
        <w:t xml:space="preserve">&lt;td&gt;1961 foundation context; archival Young Designers page 2011&lt;/td&gt;</w:t>
      </w:r>
      <w:r>
        <w:t xml:space="preserve"> </w:t>
      </w:r>
      <w:r>
        <w:t xml:space="preserve">&lt;td&gt;Official institutional history page plus official student-archive page&lt;/td&gt;</w:t>
      </w:r>
      <w:r>
        <w:t xml:space="preserve"> </w:t>
      </w:r>
      <w:r>
        <w:t xml:space="preserve">&lt;td&gt;NID’s current site states “ALL RIGHTS RESERVED,” so the archive should index metadata, citations, and external links rather than attempt local hosting without permission.&lt;/td&gt;</w:t>
      </w:r>
      <w:r>
        <w:t xml:space="preserve"> </w:t>
      </w:r>
      <w:r>
        <w:t xml:space="preserve">&lt;td&gt;IMG04&lt;/td&gt;</w:t>
      </w:r>
      <w:r>
        <w:t xml:space="preserve"> </w:t>
      </w:r>
      <w:r>
        <w:t xml:space="preserve">&lt;td&gt;replace_target&lt;/td&gt;</w:t>
      </w:r>
      <w:r>
        <w:t xml:space="preserve"> </w:t>
      </w:r>
      <w:r>
        <w:t xml:space="preserve">&lt;td&gt;The failed Young Designers page does not leave the target stranded: NID’s official history page now gives a stable institutional record tying the school to the 1958 India Report and the 1961 founding, the current Young Designers site is live, and official archive pages for earlier cohorts still resolve. This is a strong case for replacing a brittle page-level target with current official history plus archive URLs. Source viewer link is enough; a search-at-source link is optional.</w:t>
      </w:r>
      <w:r>
        <w:t xml:space="preserve"> </w:t>
      </w:r>
      <w:hyperlink r:id="rId27">
        <w:r>
          <w:rPr>
            <w:rStyle w:val="Hyperlink"/>
          </w:rPr>
          <w:t xml:space="preserve">[6]</w:t>
        </w:r>
      </w:hyperlink>
      <w:r>
        <w:t xml:space="preserve">&lt;/td&gt;</w:t>
      </w:r>
      <w:r>
        <w:t xml:space="preserve"> </w:t>
      </w:r>
      <w:r>
        <w:t xml:space="preserve">&lt;/tr&gt;</w:t>
      </w:r>
      <w:r>
        <w:t xml:space="preserve"> </w:t>
      </w:r>
      <w:r>
        <w:t xml:space="preserve">&lt;tr&gt;</w:t>
      </w:r>
      <w:r>
        <w:t xml:space="preserve"> </w:t>
      </w:r>
      <w:r>
        <w:t xml:space="preserve">&lt;td&gt;C11&lt;/td&gt;</w:t>
      </w:r>
      <w:r>
        <w:t xml:space="preserve"> </w:t>
      </w:r>
      <w:r>
        <w:t xml:space="preserve">&lt;td&gt;Iranian poster design&lt;/td&gt;</w:t>
      </w:r>
      <w:r>
        <w:t xml:space="preserve"> </w:t>
      </w:r>
      <w:r>
        <w:t xml:space="preserve">&lt;td&gt;PGDA collection path&lt;/td&gt;</w:t>
      </w:r>
      <w:r>
        <w:t xml:space="preserve"> </w:t>
      </w:r>
      <w:r>
        <w:t xml:space="preserve">&lt;td&gt;PGDA path was not an exact item; needed exact poster, authority, exhibition, or collection records&lt;/td&gt;</w:t>
      </w:r>
      <w:r>
        <w:t xml:space="preserve"> </w:t>
      </w:r>
      <w:r>
        <w:t xml:space="preserve">&lt;td&gt;&lt;code&gt;https://library.posterhouse.org/book/graphic-design-iran-1-the-first-selected-works-of-iranian-graphic-designers-iranian-graphic-designers-society-igds/&lt;/code&gt;&lt;/td&gt;</w:t>
      </w:r>
      <w:r>
        <w:t xml:space="preserve"> </w:t>
      </w:r>
      <w:r>
        <w:t xml:space="preserve">&lt;td&gt;&lt;code&gt;https://www.theicod.org/resources/news-archive/persianissimo-an-iranian-contemporary-poster-exhibition-presents-works-selected-by-majid-abbasi&lt;/code&gt;&lt;/td&gt;</w:t>
      </w:r>
      <w:r>
        <w:t xml:space="preserve"> </w:t>
      </w:r>
      <w:r>
        <w:t xml:space="preserve">&lt;td&gt;&lt;em&gt;Graphic Design Iran 1; The first selected works of Iranian graphic designers&lt;/em&gt;&lt;/td&gt;</w:t>
      </w:r>
      <w:r>
        <w:t xml:space="preserve"> </w:t>
      </w:r>
      <w:r>
        <w:t xml:space="preserve">&lt;td&gt;Iranian Graphic Designers Society; Poster House Research Library; replacement exhibition record at ICoD&lt;/td&gt;</w:t>
      </w:r>
      <w:r>
        <w:t xml:space="preserve"> </w:t>
      </w:r>
      <w:r>
        <w:t xml:space="preserve">&lt;td&gt;2001; replacement exhibition 2009/2010 context&lt;/td&gt;</w:t>
      </w:r>
      <w:r>
        <w:t xml:space="preserve"> </w:t>
      </w:r>
      <w:r>
        <w:t xml:space="preserve">&lt;td&gt;Bibliographic collection record plus professional-design exhibition record&lt;/td&gt;</w:t>
      </w:r>
      <w:r>
        <w:t xml:space="preserve"> </w:t>
      </w:r>
      <w:r>
        <w:t xml:space="preserve">&lt;td&gt;No poster-image reuse rights were verified for these records; they are excellent metadata and authority substitutes, so text-first treatment is safest.&lt;/td&gt;</w:t>
      </w:r>
      <w:r>
        <w:t xml:space="preserve"> </w:t>
      </w:r>
      <w:r>
        <w:t xml:space="preserve">&lt;td&gt;IMG04&lt;/td&gt;</w:t>
      </w:r>
      <w:r>
        <w:t xml:space="preserve"> </w:t>
      </w:r>
      <w:r>
        <w:t xml:space="preserve">&lt;td&gt;replace_target&lt;/td&gt;</w:t>
      </w:r>
      <w:r>
        <w:t xml:space="preserve"> </w:t>
      </w:r>
      <w:r>
        <w:t xml:space="preserve">&lt;td&gt;No exact PGDA item was confirmed in this pass, but stable replacements do exist: the Poster House Research Library carries an exact bibliographic record for an IGDS-selected collection, while ICoD preserves exact records for the &lt;em&gt;Persianissimo&lt;/em&gt; exhibition, the Tehran International Poster Biennial, and Morteza Momayez’s standing in Iranian graphic design. These are good rights-aware substitutes for a non-exact collection path. Show a source viewer link and keep a search-at-source link for further item hunting.</w:t>
      </w:r>
      <w:r>
        <w:t xml:space="preserve"> </w:t>
      </w:r>
      <w:hyperlink r:id="rId28">
        <w:r>
          <w:rPr>
            <w:rStyle w:val="Hyperlink"/>
          </w:rPr>
          <w:t xml:space="preserve">[7]</w:t>
        </w:r>
      </w:hyperlink>
      <w:r>
        <w:t xml:space="preserve">&lt;/td&gt;</w:t>
      </w:r>
      <w:r>
        <w:t xml:space="preserve"> </w:t>
      </w:r>
      <w:r>
        <w:t xml:space="preserve">&lt;/tr&gt;</w:t>
      </w:r>
      <w:r>
        <w:t xml:space="preserve"> </w:t>
      </w:r>
      <w:r>
        <w:t xml:space="preserve">&lt;tr&gt;</w:t>
      </w:r>
      <w:r>
        <w:t xml:space="preserve"> </w:t>
      </w:r>
      <w:r>
        <w:t xml:space="preserve">&lt;td&gt;C12&lt;/td&gt;</w:t>
      </w:r>
      <w:r>
        <w:t xml:space="preserve"> </w:t>
      </w:r>
      <w:r>
        <w:t xml:space="preserve">&lt;td&gt;Medu / South Africa&lt;/td&gt;</w:t>
      </w:r>
      <w:r>
        <w:t xml:space="preserve"> </w:t>
      </w:r>
      <w:r>
        <w:t xml:space="preserve">&lt;td&gt;SAHA exact item that previously failed automated fetch&lt;/td&gt;</w:t>
      </w:r>
      <w:r>
        <w:t xml:space="preserve"> </w:t>
      </w:r>
      <w:r>
        <w:t xml:space="preserve">&lt;td&gt;Needed exact poster/item/collection alternatives&lt;/td&gt;</w:t>
      </w:r>
      <w:r>
        <w:t xml:space="preserve"> </w:t>
      </w:r>
      <w:r>
        <w:t xml:space="preserve">&lt;td&gt;&lt;code&gt;https://www.saha.org.za/collections/AL2446/2619_2.htm&lt;/code&gt;&lt;/td&gt;</w:t>
      </w:r>
      <w:r>
        <w:t xml:space="preserve"> </w:t>
      </w:r>
      <w:r>
        <w:t xml:space="preserve">&lt;td&gt;&lt;code&gt;https://www.saha.org.za/collections/AL2446/4930.htm&lt;/code&gt;&lt;/td&gt;</w:t>
      </w:r>
      <w:r>
        <w:t xml:space="preserve"> </w:t>
      </w:r>
      <w:r>
        <w:t xml:space="preserve">&lt;td&gt;&lt;em&gt;THERE SHALL BE WORK AND SECURITY ALL SHALL ENJOY EQUAL HUMAN RIGHTS AFRICA MAYIBUYE THE PEOPLE SHALL GOVERN&lt;/em&gt;&lt;/td&gt;</w:t>
      </w:r>
      <w:r>
        <w:t xml:space="preserve"> </w:t>
      </w:r>
      <w:r>
        <w:t xml:space="preserve">&lt;td&gt;Judy Seidman / Medu Art Ensemble; South African History Archive&lt;/td&gt;</w:t>
      </w:r>
      <w:r>
        <w:t xml:space="preserve"> </w:t>
      </w:r>
      <w:r>
        <w:t xml:space="preserve">&lt;td&gt;1982&lt;/td&gt;</w:t>
      </w:r>
      <w:r>
        <w:t xml:space="preserve"> </w:t>
      </w:r>
      <w:r>
        <w:t xml:space="preserve">&lt;td&gt;Archival poster item record&lt;/td&gt;</w:t>
      </w:r>
      <w:r>
        <w:t xml:space="preserve"> </w:t>
      </w:r>
      <w:r>
        <w:t xml:space="preserve">&lt;td&gt;SAHA warns that copyright in some materials is held by individual postermakers or organisations and that restrictions may apply, so external viewing is appropriate.&lt;/td&gt;</w:t>
      </w:r>
      <w:r>
        <w:t xml:space="preserve"> </w:t>
      </w:r>
      <w:r>
        <w:t xml:space="preserve">&lt;td&gt;IMG00&lt;/td&gt;</w:t>
      </w:r>
      <w:r>
        <w:t xml:space="preserve"> </w:t>
      </w:r>
      <w:r>
        <w:t xml:space="preserve">&lt;td&gt;promote_to_candidate&lt;/td&gt;</w:t>
      </w:r>
      <w:r>
        <w:t xml:space="preserve"> </w:t>
      </w:r>
      <w:r>
        <w:t xml:space="preserve">&lt;td&gt;The SAHA exact-item problem appears materially improved: exact poster pages for Medu items now resolve and expose call numbers, identifiers, dates, creators, descriptions, and access-image formats. A general Medu selection page and multiple individual poster records are live, so this target can move beyond fallback. Public UI should show a source viewer link; a search-at-source link is useful but not essential.</w:t>
      </w:r>
      <w:r>
        <w:t xml:space="preserve"> </w:t>
      </w:r>
      <w:hyperlink r:id="rId29">
        <w:r>
          <w:rPr>
            <w:rStyle w:val="Hyperlink"/>
          </w:rPr>
          <w:t xml:space="preserve">[8]</w:t>
        </w:r>
      </w:hyperlink>
      <w:r>
        <w:t xml:space="preserve">&lt;/td&gt;</w:t>
      </w:r>
      <w:r>
        <w:t xml:space="preserve"> </w:t>
      </w:r>
      <w:r>
        <w:t xml:space="preserve">&lt;/tr&gt;</w:t>
      </w:r>
      <w:r>
        <w:t xml:space="preserve"> </w:t>
      </w:r>
      <w:r>
        <w:t xml:space="preserve">&lt;tr&gt;</w:t>
      </w:r>
      <w:r>
        <w:t xml:space="preserve"> </w:t>
      </w:r>
      <w:r>
        <w:t xml:space="preserve">&lt;td&gt;C15&lt;/td&gt;</w:t>
      </w:r>
      <w:r>
        <w:t xml:space="preserve"> </w:t>
      </w:r>
      <w:r>
        <w:t xml:space="preserve">&lt;td&gt;Early web / CSS / GeoCities&lt;/td&gt;</w:t>
      </w:r>
      <w:r>
        <w:t xml:space="preserve"> </w:t>
      </w:r>
      <w:r>
        <w:t xml:space="preserve">&lt;td&gt;OoCities/Wayback target&lt;/td&gt;</w:t>
      </w:r>
      <w:r>
        <w:t xml:space="preserve"> </w:t>
      </w:r>
      <w:r>
        <w:t xml:space="preserve">&lt;td&gt;Original preserved-page target failed automated fetch; needed exact preserved page, capture date, and source chain&lt;/td&gt;</w:t>
      </w:r>
      <w:r>
        <w:t xml:space="preserve"> </w:t>
      </w:r>
      <w:r>
        <w:t xml:space="preserve">&lt;td&gt;—&lt;/td&gt;</w:t>
      </w:r>
      <w:r>
        <w:t xml:space="preserve"> </w:t>
      </w:r>
      <w:r>
        <w:t xml:space="preserve">&lt;td&gt;&lt;code&gt;https://archive.org/web/geocities.php&lt;/code&gt;&lt;/td&gt;</w:t>
      </w:r>
      <w:r>
        <w:t xml:space="preserve"> </w:t>
      </w:r>
      <w:r>
        <w:t xml:space="preserve">&lt;td&gt;&lt;em&gt;GeoCities Special Collection 2009&lt;/em&gt;&lt;/td&gt;</w:t>
      </w:r>
      <w:r>
        <w:t xml:space="preserve"> </w:t>
      </w:r>
      <w:r>
        <w:t xml:space="preserve">&lt;td&gt;Internet Archive; supplementary mirror/index sources at OoCities and Geocities.ws&lt;/td&gt;</w:t>
      </w:r>
      <w:r>
        <w:t xml:space="preserve"> </w:t>
      </w:r>
      <w:r>
        <w:t xml:space="preserve">&lt;td&gt;2009&lt;/td&gt;</w:t>
      </w:r>
      <w:r>
        <w:t xml:space="preserve"> </w:t>
      </w:r>
      <w:r>
        <w:t xml:space="preserve">&lt;td&gt;Web-archive collection page plus mirror/index infrastructure&lt;/td&gt;</w:t>
      </w:r>
      <w:r>
        <w:t xml:space="preserve"> </w:t>
      </w:r>
      <w:r>
        <w:t xml:space="preserve">&lt;td&gt;Preserved content sits on top of third-party pages with non-harmonized rights and inconsistent technical behavior; treat as metadata-only unless a specific page and rights status are later confirmed.&lt;/td&gt;</w:t>
      </w:r>
      <w:r>
        <w:t xml:space="preserve"> </w:t>
      </w:r>
      <w:r>
        <w:t xml:space="preserve">&lt;td&gt;IMG04&lt;/td&gt;</w:t>
      </w:r>
      <w:r>
        <w:t xml:space="preserve"> </w:t>
      </w:r>
      <w:r>
        <w:t xml:space="preserve">&lt;td&gt;keep_fallback_stub&lt;/td&gt;</w:t>
      </w:r>
      <w:r>
        <w:t xml:space="preserve"> </w:t>
      </w:r>
      <w:r>
        <w:t xml:space="preserve">&lt;td&gt;This is the most fragile target family. Internet Archive documents the special GeoCities collection and the 2009 shutdown, OoCities documents its own October 2009 mirror effort, Geocities.ws exposes a large archive index, and the Wayback Machine still preserves GeoCities platform captures. But those sources do not yet yield a confirmed exact page-and-capture chain for the unresolved target itself. Keep a fallback stub, show both a source viewer link and a search-at-source link, and do not promote until a human browser check pins down the exact preserved page.</w:t>
      </w:r>
      <w:r>
        <w:t xml:space="preserve"> </w:t>
      </w:r>
      <w:hyperlink r:id="rId30">
        <w:r>
          <w:rPr>
            <w:rStyle w:val="Hyperlink"/>
          </w:rPr>
          <w:t xml:space="preserve">[9]</w:t>
        </w:r>
      </w:hyperlink>
      <w:r>
        <w:t xml:space="preserve">&lt;/td&gt;</w:t>
      </w:r>
      <w:r>
        <w:t xml:space="preserve"> </w:t>
      </w:r>
      <w:r>
        <w:t xml:space="preserve">&lt;/tr&gt;</w:t>
      </w:r>
      <w:r>
        <w:t xml:space="preserve"> </w:t>
      </w:r>
      <w:r>
        <w:t xml:space="preserve">&lt;/tbody&gt;</w:t>
      </w:r>
      <w:r>
        <w:t xml:space="preserve"> </w:t>
      </w:r>
      <w:r>
        <w:t xml:space="preserve">&lt;/table&gt;</w:t>
      </w:r>
    </w:p>
    <w:bookmarkEnd w:id="31"/>
    <w:bookmarkStart w:id="32" w:name="structurally-fragile-source-families"/>
    <w:p>
      <w:pPr>
        <w:pStyle w:val="Heading2"/>
      </w:pPr>
      <w:r>
        <w:t xml:space="preserve">Structurally fragile source families</w:t>
      </w:r>
    </w:p>
    <w:p>
      <w:pPr>
        <w:pStyle w:val="FirstParagraph"/>
      </w:pPr>
      <w:r>
        <w:t xml:space="preserve">The most fragile source family is the</w:t>
      </w:r>
      <w:r>
        <w:t xml:space="preserve"> </w:t>
      </w:r>
      <w:r>
        <w:rPr>
          <w:b/>
          <w:bCs/>
        </w:rPr>
        <w:t xml:space="preserve">early-web preservation stack</w:t>
      </w:r>
      <w:r>
        <w:t xml:space="preserve">. GeoCities preservation is dispersed across the Internet Archive’s special collection and Wayback infrastructure, independent rescue efforts such as ArchiveTeam, and mirrors such as OoCities and Geocities.ws. That gives good ecosystem-level survivability, but weak canonicality for any single page unless an exact legacy URL and a specific archival capture are pinned down. For a rights-aware index, that combination strongly favors</w:t>
      </w:r>
      <w:r>
        <w:t xml:space="preserve"> </w:t>
      </w:r>
      <w:r>
        <w:rPr>
          <w:b/>
          <w:bCs/>
        </w:rPr>
        <w:t xml:space="preserve">fallback stubs plus outbound source/search links</w:t>
      </w:r>
      <w:r>
        <w:t xml:space="preserve"> </w:t>
      </w:r>
      <w:r>
        <w:t xml:space="preserve">over any attempt to treat such pages as stable candidate objects.</w:t>
      </w:r>
      <w:r>
        <w:t xml:space="preserve"> </w:t>
      </w:r>
      <w:hyperlink r:id="rId30">
        <w:r>
          <w:rPr>
            <w:rStyle w:val="Hyperlink"/>
          </w:rPr>
          <w:t xml:space="preserve">[10]</w:t>
        </w:r>
      </w:hyperlink>
    </w:p>
    <w:p>
      <w:pPr>
        <w:pStyle w:val="BodyText"/>
      </w:pPr>
      <w:r>
        <w:t xml:space="preserve">A second fragile class is the</w:t>
      </w:r>
      <w:r>
        <w:t xml:space="preserve"> </w:t>
      </w:r>
      <w:r>
        <w:rPr>
          <w:b/>
          <w:bCs/>
        </w:rPr>
        <w:t xml:space="preserve">viewer-only institutional archive</w:t>
      </w:r>
      <w:r>
        <w:t xml:space="preserve">. NAS explicitly labels at least some exact records as viewable only with reproduction by permission, and OpenArchive warns that reuse outside the service requires permission and can create legal exposure. Those are not dead ends—the records are valuable and exact—but they are better represented through</w:t>
      </w:r>
      <w:r>
        <w:t xml:space="preserve"> </w:t>
      </w:r>
      <w:r>
        <w:rPr>
          <w:b/>
          <w:bCs/>
        </w:rPr>
        <w:t xml:space="preserve">IMG00 placeholders and source viewer links</w:t>
      </w:r>
      <w:r>
        <w:t xml:space="preserve"> </w:t>
      </w:r>
      <w:r>
        <w:t xml:space="preserve">than through any ingest path that implies image portability.</w:t>
      </w:r>
      <w:r>
        <w:t xml:space="preserve"> </w:t>
      </w:r>
      <w:hyperlink r:id="rId26">
        <w:r>
          <w:rPr>
            <w:rStyle w:val="Hyperlink"/>
          </w:rPr>
          <w:t xml:space="preserve">[11]</w:t>
        </w:r>
      </w:hyperlink>
    </w:p>
    <w:p>
      <w:pPr>
        <w:pStyle w:val="BodyText"/>
      </w:pPr>
      <w:r>
        <w:t xml:space="preserve">A third fragile class is the</w:t>
      </w:r>
      <w:r>
        <w:t xml:space="preserve"> </w:t>
      </w:r>
      <w:r>
        <w:rPr>
          <w:b/>
          <w:bCs/>
        </w:rPr>
        <w:t xml:space="preserve">association or exhibition literature path without object-level itemization</w:t>
      </w:r>
      <w:r>
        <w:t xml:space="preserve">. That is most obvious in the Iranian-poster row, where stable authority, exhibition, and library bibliography records exist, but openly accessible object-level museum records remain comparatively thin in the evidence gathered here. In those cases, the archive should index exact metadata sources, not pretend that the object layer is solved.</w:t>
      </w:r>
      <w:r>
        <w:t xml:space="preserve"> </w:t>
      </w:r>
      <w:hyperlink r:id="rId28">
        <w:r>
          <w:rPr>
            <w:rStyle w:val="Hyperlink"/>
          </w:rPr>
          <w:t xml:space="preserve">[12]</w:t>
        </w:r>
      </w:hyperlink>
    </w:p>
    <w:bookmarkEnd w:id="32"/>
    <w:bookmarkStart w:id="33" w:name="regions-that-need-source-diversification"/>
    <w:p>
      <w:pPr>
        <w:pStyle w:val="Heading2"/>
      </w:pPr>
      <w:r>
        <w:t xml:space="preserve">Regions that need source diversification</w:t>
      </w:r>
    </w:p>
    <w:p>
      <w:pPr>
        <w:pStyle w:val="FirstParagraph"/>
      </w:pPr>
      <w:r>
        <w:t xml:space="preserve">The regions that most clearly need</w:t>
      </w:r>
      <w:r>
        <w:t xml:space="preserve"> </w:t>
      </w:r>
      <w:r>
        <w:rPr>
          <w:b/>
          <w:bCs/>
        </w:rPr>
        <w:t xml:space="preserve">source diversification</w:t>
      </w:r>
      <w:r>
        <w:t xml:space="preserve"> </w:t>
      </w:r>
      <w:r>
        <w:t xml:space="preserve">are</w:t>
      </w:r>
      <w:r>
        <w:t xml:space="preserve"> </w:t>
      </w:r>
      <w:r>
        <w:rPr>
          <w:b/>
          <w:bCs/>
        </w:rPr>
        <w:t xml:space="preserve">Iran, Korea, Singapore, and early-web transnational material</w:t>
      </w:r>
      <w:r>
        <w:t xml:space="preserve">. Iran is overly dependent on professional-design bodies, exhibition notices, and research-library bibliography rather than open museum object databases. Korea is better anchored than it first appeared, but Minjung documentation is spread across museum collections, oral history, and democracy archives, which means a single-source strategy will remain brittle. Singapore’s signage/logo history likewise benefits from combining NAS viewer records with NLB interpretation and NHB/Roots catalogue objects, because no single public interface neatly covers the whole theme. The early-web row requires diversification almost by definition, because preservation is federated rather than canonical.</w:t>
      </w:r>
      <w:r>
        <w:t xml:space="preserve"> </w:t>
      </w:r>
      <w:hyperlink r:id="rId28">
        <w:r>
          <w:rPr>
            <w:rStyle w:val="Hyperlink"/>
          </w:rPr>
          <w:t xml:space="preserve">[13]</w:t>
        </w:r>
      </w:hyperlink>
    </w:p>
    <w:p>
      <w:pPr>
        <w:pStyle w:val="BodyText"/>
      </w:pPr>
      <w:r>
        <w:t xml:space="preserve">By contrast,</w:t>
      </w:r>
      <w:r>
        <w:t xml:space="preserve"> </w:t>
      </w:r>
      <w:r>
        <w:rPr>
          <w:b/>
          <w:bCs/>
        </w:rPr>
        <w:t xml:space="preserve">Japan, India, Chile, and South Africa</w:t>
      </w:r>
      <w:r>
        <w:t xml:space="preserve"> </w:t>
      </w:r>
      <w:r>
        <w:t xml:space="preserve">are in better shape when the archive pivots to their strongest institutional layers: NDL bibliographic/authority records for Japan, official NID history and archive pages for India, exact BND item pages for Chile, and exact SAHA poster pages for Medu/South Africa. Those regions still have rights constraints, but their problem is less “absence of records” than “choosing the right exact record and representing it conservatively.”</w:t>
      </w:r>
      <w:r>
        <w:t xml:space="preserve"> </w:t>
      </w:r>
      <w:hyperlink r:id="rId23">
        <w:r>
          <w:rPr>
            <w:rStyle w:val="Hyperlink"/>
          </w:rPr>
          <w:t xml:space="preserve">[14]</w:t>
        </w:r>
      </w:hyperlink>
    </w:p>
    <w:bookmarkEnd w:id="33"/>
    <w:bookmarkStart w:id="34" w:name="implementation-implications"/>
    <w:p>
      <w:pPr>
        <w:pStyle w:val="Heading2"/>
      </w:pPr>
      <w:r>
        <w:t xml:space="preserve">Implementation implications</w:t>
      </w:r>
    </w:p>
    <w:p>
      <w:pPr>
        <w:pStyle w:val="FirstParagraph"/>
      </w:pPr>
      <w:r>
        <w:t xml:space="preserve">For this ingest round, the cleanest operational split is:</w:t>
      </w:r>
    </w:p>
    <w:p>
      <w:pPr>
        <w:pStyle w:val="Compact"/>
        <w:numPr>
          <w:ilvl w:val="0"/>
          <w:numId w:val="1001"/>
        </w:numPr>
      </w:pPr>
      <w:r>
        <w:rPr>
          <w:b/>
          <w:bCs/>
        </w:rPr>
        <w:t xml:space="preserve">Promote or replace where exact item/bibliographic URLs now exist</w:t>
      </w:r>
      <w:r>
        <w:t xml:space="preserve">: C05, C06, C08, C09, C10, C11, C12.</w:t>
      </w:r>
    </w:p>
    <w:p>
      <w:pPr>
        <w:pStyle w:val="Compact"/>
        <w:numPr>
          <w:ilvl w:val="0"/>
          <w:numId w:val="1001"/>
        </w:numPr>
      </w:pPr>
      <w:r>
        <w:rPr>
          <w:b/>
          <w:bCs/>
        </w:rPr>
        <w:t xml:space="preserve">Require browser recheck where issue-level exactness exists but page-level exactness is still unresolved</w:t>
      </w:r>
      <w:r>
        <w:t xml:space="preserve">: C07.</w:t>
      </w:r>
    </w:p>
    <w:p>
      <w:pPr>
        <w:pStyle w:val="Compact"/>
        <w:numPr>
          <w:ilvl w:val="0"/>
          <w:numId w:val="1001"/>
        </w:numPr>
      </w:pPr>
      <w:r>
        <w:rPr>
          <w:b/>
          <w:bCs/>
        </w:rPr>
        <w:t xml:space="preserve">Keep as fallback stubs where the source chain itself is still structurally unstable or under-specified</w:t>
      </w:r>
      <w:r>
        <w:t xml:space="preserve">: C15.</w:t>
      </w:r>
    </w:p>
    <w:p>
      <w:pPr>
        <w:pStyle w:val="FirstParagraph"/>
      </w:pPr>
      <w:r>
        <w:t xml:space="preserve">That produces a practical policy outcome. Use</w:t>
      </w:r>
      <w:r>
        <w:t xml:space="preserve"> </w:t>
      </w:r>
      <w:r>
        <w:rPr>
          <w:b/>
          <w:bCs/>
        </w:rPr>
        <w:t xml:space="preserve">IMG00 plus source viewer links</w:t>
      </w:r>
      <w:r>
        <w:t xml:space="preserve"> </w:t>
      </w:r>
      <w:r>
        <w:t xml:space="preserve">for Chile, Korea, Singapore, and South Africa, because those rows now have exact image-bearing records but their rights posture still argues against local hosting. Use</w:t>
      </w:r>
      <w:r>
        <w:t xml:space="preserve"> </w:t>
      </w:r>
      <w:r>
        <w:rPr>
          <w:b/>
          <w:bCs/>
        </w:rPr>
        <w:t xml:space="preserve">IMG04</w:t>
      </w:r>
      <w:r>
        <w:t xml:space="preserve"> </w:t>
      </w:r>
      <w:r>
        <w:t xml:space="preserve">for Japan, India, Iran, and early-web preservation records, because those rows are primarily bibliographic, institutional, authority-based, or too fragmentary to imply stable local imagery. This keeps the public UI honest while materially improving exactness and citation quality across the unresolved set.</w:t>
      </w:r>
      <w:r>
        <w:t xml:space="preserve"> </w:t>
      </w:r>
      <w:hyperlink r:id="rId22">
        <w:r>
          <w:rPr>
            <w:rStyle w:val="Hyperlink"/>
          </w:rPr>
          <w:t xml:space="preserve">[15]</w:t>
        </w:r>
      </w:hyperlink>
    </w:p>
    <w:bookmarkEnd w:id="34"/>
    <w:bookmarkEnd w:id="35"/>
    <w:bookmarkEnd w:id="36"/>
    <w:p>
      <w:r>
        <w:pict>
          <v:rect style="width:0;height:1.5pt" o:hralign="center" o:hrstd="t" o:hr="t"/>
        </w:pict>
      </w:r>
    </w:p>
    <w:bookmarkStart w:id="37" w:name="citations"/>
    <w:p>
      <w:pPr>
        <w:pStyle w:val="FirstParagraph"/>
      </w:pPr>
      <w:hyperlink r:id="rId22">
        <w:r>
          <w:rPr>
            <w:rStyle w:val="Hyperlink"/>
          </w:rPr>
          <w:t xml:space="preserve">[1]</w:t>
        </w:r>
      </w:hyperlink>
      <w:r>
        <w:t xml:space="preserve"> </w:t>
      </w:r>
      <w:hyperlink r:id="rId22">
        <w:r>
          <w:rPr>
            <w:rStyle w:val="Hyperlink"/>
          </w:rPr>
          <w:t xml:space="preserve">[15]</w:t>
        </w:r>
      </w:hyperlink>
      <w:r>
        <w:t xml:space="preserve"> </w:t>
      </w:r>
      <w:r>
        <w:t xml:space="preserve">https://www.bibliotecanacionaldigital.gob.cl/visor/BND%3A605531</w:t>
      </w:r>
    </w:p>
    <w:p>
      <w:pPr>
        <w:pStyle w:val="BodyText"/>
      </w:pPr>
      <w:hyperlink r:id="rId22">
        <w:r>
          <w:rPr>
            <w:rStyle w:val="Hyperlink"/>
          </w:rPr>
          <w:t xml:space="preserve">https://www.bibliotecanacionaldigital.gob.cl/visor/BND%3A605531</w:t>
        </w:r>
      </w:hyperlink>
    </w:p>
    <w:p>
      <w:pPr>
        <w:pStyle w:val="BodyText"/>
      </w:pPr>
      <w:hyperlink r:id="rId23">
        <w:r>
          <w:rPr>
            <w:rStyle w:val="Hyperlink"/>
          </w:rPr>
          <w:t xml:space="preserve">[2]</w:t>
        </w:r>
      </w:hyperlink>
      <w:r>
        <w:t xml:space="preserve"> </w:t>
      </w:r>
      <w:hyperlink r:id="rId23">
        <w:r>
          <w:rPr>
            <w:rStyle w:val="Hyperlink"/>
          </w:rPr>
          <w:t xml:space="preserve">[14]</w:t>
        </w:r>
      </w:hyperlink>
      <w:r>
        <w:t xml:space="preserve"> </w:t>
      </w:r>
      <w:r>
        <w:t xml:space="preserve">https://ndlsearch.ndl.go.jp/en/books/R100000002-I000001036466</w:t>
      </w:r>
    </w:p>
    <w:p>
      <w:pPr>
        <w:pStyle w:val="BodyText"/>
      </w:pPr>
      <w:hyperlink r:id="rId23">
        <w:r>
          <w:rPr>
            <w:rStyle w:val="Hyperlink"/>
          </w:rPr>
          <w:t xml:space="preserve">https://ndlsearch.ndl.go.jp/en/books/R100000002-I000001036466</w:t>
        </w:r>
      </w:hyperlink>
    </w:p>
    <w:p>
      <w:pPr>
        <w:pStyle w:val="BodyText"/>
      </w:pPr>
      <w:hyperlink r:id="rId24">
        <w:r>
          <w:rPr>
            <w:rStyle w:val="Hyperlink"/>
          </w:rPr>
          <w:t xml:space="preserve">[3]</w:t>
        </w:r>
      </w:hyperlink>
      <w:r>
        <w:t xml:space="preserve"> </w:t>
      </w:r>
      <w:r>
        <w:rPr>
          <w:rFonts w:hint="eastAsia"/>
        </w:rPr>
        <w:t xml:space="preserve">上海漫畫</w:t>
      </w:r>
      <w:r>
        <w:t xml:space="preserve"> 1928.11.17 </w:t>
      </w:r>
      <w:r>
        <w:rPr>
          <w:rFonts w:hint="eastAsia"/>
        </w:rPr>
        <w:t xml:space="preserve">第三十一期</w:t>
      </w:r>
    </w:p>
    <w:p>
      <w:pPr>
        <w:pStyle w:val="BodyText"/>
      </w:pPr>
      <w:hyperlink r:id="rId24">
        <w:r>
          <w:rPr>
            <w:rStyle w:val="Hyperlink"/>
          </w:rPr>
          <w:t xml:space="preserve">https://archive.org/details/shmh-1928.11.17?utm_source=chatgpt.com</w:t>
        </w:r>
      </w:hyperlink>
    </w:p>
    <w:p>
      <w:pPr>
        <w:pStyle w:val="BodyText"/>
      </w:pPr>
      <w:hyperlink r:id="rId25">
        <w:r>
          <w:rPr>
            <w:rStyle w:val="Hyperlink"/>
          </w:rPr>
          <w:t xml:space="preserve">[4]</w:t>
        </w:r>
      </w:hyperlink>
      <w:r>
        <w:t xml:space="preserve"> </w:t>
      </w:r>
      <w:r>
        <w:t xml:space="preserve">https://archives.kdemo.or.kr/isad/view/01015850</w:t>
      </w:r>
    </w:p>
    <w:p>
      <w:pPr>
        <w:pStyle w:val="BodyText"/>
      </w:pPr>
      <w:hyperlink r:id="rId25">
        <w:r>
          <w:rPr>
            <w:rStyle w:val="Hyperlink"/>
          </w:rPr>
          <w:t xml:space="preserve">https://archives.kdemo.or.kr/isad/view/01015850</w:t>
        </w:r>
      </w:hyperlink>
    </w:p>
    <w:p>
      <w:pPr>
        <w:pStyle w:val="BodyText"/>
      </w:pPr>
      <w:hyperlink r:id="rId26">
        <w:r>
          <w:rPr>
            <w:rStyle w:val="Hyperlink"/>
          </w:rPr>
          <w:t xml:space="preserve">[5]</w:t>
        </w:r>
      </w:hyperlink>
      <w:r>
        <w:t xml:space="preserve"> </w:t>
      </w:r>
      <w:hyperlink r:id="rId26">
        <w:r>
          <w:rPr>
            <w:rStyle w:val="Hyperlink"/>
          </w:rPr>
          <w:t xml:space="preserve">[11]</w:t>
        </w:r>
      </w:hyperlink>
      <w:r>
        <w:t xml:space="preserve"> </w:t>
      </w:r>
      <w:r>
        <w:t xml:space="preserve">https://www.nas.gov.sg/archivesonline/speeches/record-details/7ba7112c-115d-11e3-83d5-0050568939ad</w:t>
      </w:r>
    </w:p>
    <w:p>
      <w:pPr>
        <w:pStyle w:val="BodyText"/>
      </w:pPr>
      <w:hyperlink r:id="rId26">
        <w:r>
          <w:rPr>
            <w:rStyle w:val="Hyperlink"/>
          </w:rPr>
          <w:t xml:space="preserve">https://www.nas.gov.sg/archivesonline/speeches/record-details/7ba7112c-115d-11e3-83d5-0050568939ad</w:t>
        </w:r>
      </w:hyperlink>
    </w:p>
    <w:p>
      <w:pPr>
        <w:pStyle w:val="BodyText"/>
      </w:pPr>
      <w:hyperlink r:id="rId27">
        <w:r>
          <w:rPr>
            <w:rStyle w:val="Hyperlink"/>
          </w:rPr>
          <w:t xml:space="preserve">[6]</w:t>
        </w:r>
      </w:hyperlink>
      <w:r>
        <w:t xml:space="preserve"> </w:t>
      </w:r>
      <w:r>
        <w:t xml:space="preserve">https://www.nid.edu/about/history-of-nid</w:t>
      </w:r>
    </w:p>
    <w:p>
      <w:pPr>
        <w:pStyle w:val="BodyText"/>
      </w:pPr>
      <w:hyperlink r:id="rId27">
        <w:r>
          <w:rPr>
            <w:rStyle w:val="Hyperlink"/>
          </w:rPr>
          <w:t xml:space="preserve">https://www.nid.edu/about/history-of-nid</w:t>
        </w:r>
      </w:hyperlink>
    </w:p>
    <w:p>
      <w:pPr>
        <w:pStyle w:val="BodyText"/>
      </w:pPr>
      <w:hyperlink r:id="rId28">
        <w:r>
          <w:rPr>
            <w:rStyle w:val="Hyperlink"/>
          </w:rPr>
          <w:t xml:space="preserve">[7]</w:t>
        </w:r>
      </w:hyperlink>
      <w:r>
        <w:t xml:space="preserve"> </w:t>
      </w:r>
      <w:hyperlink r:id="rId28">
        <w:r>
          <w:rPr>
            <w:rStyle w:val="Hyperlink"/>
          </w:rPr>
          <w:t xml:space="preserve">[12]</w:t>
        </w:r>
      </w:hyperlink>
      <w:r>
        <w:t xml:space="preserve"> </w:t>
      </w:r>
      <w:hyperlink r:id="rId28">
        <w:r>
          <w:rPr>
            <w:rStyle w:val="Hyperlink"/>
          </w:rPr>
          <w:t xml:space="preserve">[13]</w:t>
        </w:r>
      </w:hyperlink>
      <w:r>
        <w:t xml:space="preserve"> </w:t>
      </w:r>
      <w:r>
        <w:t xml:space="preserve">https://library.posterhouse.org/book/graphic-design-iran-1-the-first-selected-works-of-iranian-graphic-designers-iranian-graphic-designers-society-igds/</w:t>
      </w:r>
    </w:p>
    <w:p>
      <w:pPr>
        <w:pStyle w:val="BodyText"/>
      </w:pPr>
      <w:hyperlink r:id="rId28">
        <w:r>
          <w:rPr>
            <w:rStyle w:val="Hyperlink"/>
          </w:rPr>
          <w:t xml:space="preserve">https://library.posterhouse.org/book/graphic-design-iran-1-the-first-selected-works-of-iranian-graphic-designers-iranian-graphic-designers-society-igds/</w:t>
        </w:r>
      </w:hyperlink>
    </w:p>
    <w:p>
      <w:pPr>
        <w:pStyle w:val="BodyText"/>
      </w:pPr>
      <w:hyperlink r:id="rId29">
        <w:r>
          <w:rPr>
            <w:rStyle w:val="Hyperlink"/>
          </w:rPr>
          <w:t xml:space="preserve">[8]</w:t>
        </w:r>
      </w:hyperlink>
      <w:r>
        <w:t xml:space="preserve"> </w:t>
      </w:r>
      <w:r>
        <w:t xml:space="preserve">https://www.saha.org.za/medu_posters_images_from_exile.htm</w:t>
      </w:r>
    </w:p>
    <w:p>
      <w:pPr>
        <w:pStyle w:val="BodyText"/>
      </w:pPr>
      <w:hyperlink r:id="rId29">
        <w:r>
          <w:rPr>
            <w:rStyle w:val="Hyperlink"/>
          </w:rPr>
          <w:t xml:space="preserve">https://www.saha.org.za/medu_posters_images_from_exile.htm</w:t>
        </w:r>
      </w:hyperlink>
    </w:p>
    <w:p>
      <w:pPr>
        <w:pStyle w:val="BodyText"/>
      </w:pPr>
      <w:hyperlink r:id="rId30">
        <w:r>
          <w:rPr>
            <w:rStyle w:val="Hyperlink"/>
          </w:rPr>
          <w:t xml:space="preserve">[9]</w:t>
        </w:r>
      </w:hyperlink>
      <w:r>
        <w:t xml:space="preserve"> </w:t>
      </w:r>
      <w:hyperlink r:id="rId30">
        <w:r>
          <w:rPr>
            <w:rStyle w:val="Hyperlink"/>
          </w:rPr>
          <w:t xml:space="preserve">[10]</w:t>
        </w:r>
      </w:hyperlink>
      <w:r>
        <w:t xml:space="preserve"> </w:t>
      </w:r>
      <w:r>
        <w:t xml:space="preserve">https://archive.org/web/geocities.php</w:t>
      </w:r>
    </w:p>
    <w:p>
      <w:pPr>
        <w:pStyle w:val="BodyText"/>
      </w:pPr>
      <w:hyperlink r:id="rId30">
        <w:r>
          <w:rPr>
            <w:rStyle w:val="Hyperlink"/>
          </w:rPr>
          <w:t xml:space="preserve">https://archive.org/web/geocities.php</w:t>
        </w:r>
      </w:hyperlink>
    </w:p>
    <w:bookmarkEnd w:id="3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4" Target="https://archive.org/details/shmh-1928.11.17?utm_source=chatgpt.com" TargetMode="External" /><Relationship Type="http://schemas.openxmlformats.org/officeDocument/2006/relationships/hyperlink" Id="rId30" Target="https://archive.org/web/geocities.php" TargetMode="External" /><Relationship Type="http://schemas.openxmlformats.org/officeDocument/2006/relationships/hyperlink" Id="rId25" Target="https://archives.kdemo.or.kr/isad/view/01015850" TargetMode="External" /><Relationship Type="http://schemas.openxmlformats.org/officeDocument/2006/relationships/hyperlink" Id="rId28" Target="https://library.posterhouse.org/book/graphic-design-iran-1-the-first-selected-works-of-iranian-graphic-designers-iranian-graphic-designers-society-igds/" TargetMode="External" /><Relationship Type="http://schemas.openxmlformats.org/officeDocument/2006/relationships/hyperlink" Id="rId23" Target="https://ndlsearch.ndl.go.jp/en/books/R100000002-I000001036466" TargetMode="External" /><Relationship Type="http://schemas.openxmlformats.org/officeDocument/2006/relationships/hyperlink" Id="rId22" Target="https://www.bibliotecanacionaldigital.gob.cl/visor/BND%3A605531" TargetMode="External" /><Relationship Type="http://schemas.openxmlformats.org/officeDocument/2006/relationships/hyperlink" Id="rId26" Target="https://www.nas.gov.sg/archivesonline/speeches/record-details/7ba7112c-115d-11e3-83d5-0050568939ad" TargetMode="External" /><Relationship Type="http://schemas.openxmlformats.org/officeDocument/2006/relationships/hyperlink" Id="rId27" Target="https://www.nid.edu/about/history-of-nid" TargetMode="External" /><Relationship Type="http://schemas.openxmlformats.org/officeDocument/2006/relationships/hyperlink" Id="rId29" Target="https://www.saha.org.za/medu_posters_images_from_exile.htm" TargetMode="External" /></Relationships>
</file>

<file path=word/_rels/footnotes.xml.rels><?xml version="1.0" encoding="UTF-8"?><Relationships xmlns="http://schemas.openxmlformats.org/package/2006/relationships"><Relationship Type="http://schemas.openxmlformats.org/officeDocument/2006/relationships/hyperlink" Id="rId24" Target="https://archive.org/details/shmh-1928.11.17?utm_source=chatgpt.com" TargetMode="External" /><Relationship Type="http://schemas.openxmlformats.org/officeDocument/2006/relationships/hyperlink" Id="rId30" Target="https://archive.org/web/geocities.php" TargetMode="External" /><Relationship Type="http://schemas.openxmlformats.org/officeDocument/2006/relationships/hyperlink" Id="rId25" Target="https://archives.kdemo.or.kr/isad/view/01015850" TargetMode="External" /><Relationship Type="http://schemas.openxmlformats.org/officeDocument/2006/relationships/hyperlink" Id="rId28" Target="https://library.posterhouse.org/book/graphic-design-iran-1-the-first-selected-works-of-iranian-graphic-designers-iranian-graphic-designers-society-igds/" TargetMode="External" /><Relationship Type="http://schemas.openxmlformats.org/officeDocument/2006/relationships/hyperlink" Id="rId23" Target="https://ndlsearch.ndl.go.jp/en/books/R100000002-I000001036466" TargetMode="External" /><Relationship Type="http://schemas.openxmlformats.org/officeDocument/2006/relationships/hyperlink" Id="rId22" Target="https://www.bibliotecanacionaldigital.gob.cl/visor/BND%3A605531" TargetMode="External" /><Relationship Type="http://schemas.openxmlformats.org/officeDocument/2006/relationships/hyperlink" Id="rId26" Target="https://www.nas.gov.sg/archivesonline/speeches/record-details/7ba7112c-115d-11e3-83d5-0050568939ad" TargetMode="External" /><Relationship Type="http://schemas.openxmlformats.org/officeDocument/2006/relationships/hyperlink" Id="rId27" Target="https://www.nid.edu/about/history-of-nid" TargetMode="External" /><Relationship Type="http://schemas.openxmlformats.org/officeDocument/2006/relationships/hyperlink" Id="rId29" Target="https://www.saha.org.za/medu_posters_images_from_exile.ht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2026-05-30T01:32:18Z</dcterms:created>
  <dcterms:modified xsi:type="dcterms:W3CDTF">2026-05-30T01:32:18Z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