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49e8ee2ff96ca37faa114c47acb77f702c96387"/>
    <w:p>
      <w:pPr>
        <w:pStyle w:val="Heading1"/>
      </w:pPr>
      <w:r>
        <w:t xml:space="preserve">Surface Taxonomy Rulebook for a Rights-Aware Graphic Design History Archive</w:t>
      </w:r>
    </w:p>
    <w:bookmarkStart w:id="27" w:name="evidence-base-and-governing-principles"/>
    <w:p>
      <w:pPr>
        <w:pStyle w:val="Heading2"/>
      </w:pPr>
      <w:r>
        <w:t xml:space="preserve">Evidence base and governing principles</w:t>
      </w:r>
    </w:p>
    <w:p>
      <w:pPr>
        <w:pStyle w:val="FirstParagraph"/>
      </w:pPr>
      <w:r>
        <w:t xml:space="preserve">Archival description standards do</w:t>
      </w:r>
      <w:r>
        <w:t xml:space="preserve"> </w:t>
      </w:r>
      <w:r>
        <w:rPr>
          <w:b/>
          <w:bCs/>
        </w:rPr>
        <w:t xml:space="preserve">not</w:t>
      </w:r>
      <w:r>
        <w:t xml:space="preserve"> </w:t>
      </w:r>
      <w:r>
        <w:t xml:space="preserve">assume that every record becomes a fully described item page. The archival norm is multi-level description: record groups/collections, series, file units, and items. Finding aids are commonly described as inventories or registers, and they typically summarize collections and list box and folder headings rather than describing every item individually. The U.S. National Archives similarly states that its catalog is hierarchically organized and that</w:t>
      </w:r>
      <w:r>
        <w:t xml:space="preserve"> </w:t>
      </w:r>
      <w:r>
        <w:rPr>
          <w:b/>
          <w:bCs/>
        </w:rPr>
        <w:t xml:space="preserve">over 95%</w:t>
      </w:r>
      <w:r>
        <w:t xml:space="preserve"> </w:t>
      </w:r>
      <w:r>
        <w:t xml:space="preserve">of its holdings are described at the series level, not the item level. This is the strongest external justification for having multiple public record granularities in your system rather than forcing everything into one “full sheet” surface.</w:t>
      </w:r>
      <w:r>
        <w:t xml:space="preserve"> </w:t>
      </w:r>
      <w:hyperlink r:id="rId21">
        <w:r>
          <w:rPr>
            <w:rStyle w:val="Hyperlink"/>
          </w:rPr>
          <w:t xml:space="preserve">[1]</w:t>
        </w:r>
      </w:hyperlink>
    </w:p>
    <w:p>
      <w:pPr>
        <w:pStyle w:val="BodyText"/>
      </w:pPr>
      <w:r>
        <w:t xml:space="preserve">Museum and art-cataloging models point in the same direction. DACS minimum single-level description requires a repository, title, date, extent, creator if known, scope/content, access conditions, language, and rights statement. Getty’s CDWA core categories add object/work type, classification, titles, creation, date, materials/techniques, subject matter, current location, repository numbers, copyright/restrictions, related works, and related textual references. In other words, a robust “main sheet” in your system needs to handle object identity, chronology, rights, and linked references, not just art-historical interpretation.</w:t>
      </w:r>
      <w:r>
        <w:t xml:space="preserve"> </w:t>
      </w:r>
      <w:hyperlink r:id="rId22">
        <w:r>
          <w:rPr>
            <w:rStyle w:val="Hyperlink"/>
          </w:rPr>
          <w:t xml:space="preserve">[2]</w:t>
        </w:r>
      </w:hyperlink>
    </w:p>
    <w:p>
      <w:pPr>
        <w:pStyle w:val="BodyText"/>
      </w:pPr>
      <w:r>
        <w:t xml:space="preserve">Library cataloging also supports a tiered public surface model. OCLC distinguishes</w:t>
      </w:r>
      <w:r>
        <w:t xml:space="preserve"> </w:t>
      </w:r>
      <w:r>
        <w:rPr>
          <w:b/>
          <w:bCs/>
        </w:rPr>
        <w:t xml:space="preserve">full-level</w:t>
      </w:r>
      <w:r>
        <w:t xml:space="preserve">,</w:t>
      </w:r>
      <w:r>
        <w:t xml:space="preserve"> </w:t>
      </w:r>
      <w:r>
        <w:rPr>
          <w:b/>
          <w:bCs/>
        </w:rPr>
        <w:t xml:space="preserve">minimal-level</w:t>
      </w:r>
      <w:r>
        <w:t xml:space="preserve">, and</w:t>
      </w:r>
      <w:r>
        <w:t xml:space="preserve"> </w:t>
      </w:r>
      <w:r>
        <w:rPr>
          <w:b/>
          <w:bCs/>
        </w:rPr>
        <w:t xml:space="preserve">abbreviated-level</w:t>
      </w:r>
      <w:r>
        <w:t xml:space="preserve"> </w:t>
      </w:r>
      <w:r>
        <w:t xml:space="preserve">bibliographic records, and WorldCat Discovery distinguishes</w:t>
      </w:r>
      <w:r>
        <w:t xml:space="preserve"> </w:t>
      </w:r>
      <w:r>
        <w:rPr>
          <w:b/>
          <w:bCs/>
        </w:rPr>
        <w:t xml:space="preserve">brief item detail</w:t>
      </w:r>
      <w:r>
        <w:t xml:space="preserve"> </w:t>
      </w:r>
      <w:r>
        <w:t xml:space="preserve">from full description/detail views. That is a direct institutional precedent for separating your</w:t>
      </w:r>
      <w:r>
        <w:t xml:space="preserve"> </w:t>
      </w:r>
      <w:r>
        <w:rPr>
          <w:b/>
          <w:bCs/>
        </w:rPr>
        <w:t xml:space="preserve">main sheet</w:t>
      </w:r>
      <w:r>
        <w:t xml:space="preserve">,</w:t>
      </w:r>
      <w:r>
        <w:t xml:space="preserve"> </w:t>
      </w:r>
      <w:r>
        <w:rPr>
          <w:b/>
          <w:bCs/>
        </w:rPr>
        <w:t xml:space="preserve">card</w:t>
      </w:r>
      <w:r>
        <w:t xml:space="preserve">, and</w:t>
      </w:r>
      <w:r>
        <w:t xml:space="preserve"> </w:t>
      </w:r>
      <w:r>
        <w:rPr>
          <w:b/>
          <w:bCs/>
        </w:rPr>
        <w:t xml:space="preserve">fallback stub</w:t>
      </w:r>
      <w:r>
        <w:t xml:space="preserve">. A rights-aware archive gateway should therefore expose “brief but useful” public records instead of hiding incomplete ones until they become perfect.</w:t>
      </w:r>
      <w:r>
        <w:t xml:space="preserve"> </w:t>
      </w:r>
      <w:hyperlink r:id="rId23">
        <w:r>
          <w:rPr>
            <w:rStyle w:val="Hyperlink"/>
          </w:rPr>
          <w:t xml:space="preserve">[3]</w:t>
        </w:r>
      </w:hyperlink>
    </w:p>
    <w:p>
      <w:pPr>
        <w:pStyle w:val="BodyText"/>
      </w:pPr>
      <w:r>
        <w:t xml:space="preserve">Rights and digital delivery must be treated as a separate axis from descriptive completeness. RightsStatements.org was designed for cultural heritage institutions and aggregators, uses stable statement URIs, and recommends displaying the linked rights statement close to the object. Europeana goes further: rights statements govern the access and reuse conditions for digital objects</w:t>
      </w:r>
      <w:r>
        <w:t xml:space="preserve"> </w:t>
      </w:r>
      <w:r>
        <w:rPr>
          <w:b/>
          <w:bCs/>
        </w:rPr>
        <w:t xml:space="preserve">and their previews/thumbnails</w:t>
      </w:r>
      <w:r>
        <w:t xml:space="preserve">, and if rights information is missing, users should assume ordinary copyright law applies unless the source site gives different permissions. IIIF adds another axis: a manifest can carry thumbnails, rights, and structure, and supports source-hosted viewers, zoom, comparison, and embedding workflows. This is the basis for keeping</w:t>
      </w:r>
      <w:r>
        <w:t xml:space="preserve"> </w:t>
      </w:r>
      <w:r>
        <w:rPr>
          <w:b/>
          <w:bCs/>
        </w:rPr>
        <w:t xml:space="preserve">record state</w:t>
      </w:r>
      <w:r>
        <w:t xml:space="preserve"> </w:t>
      </w:r>
      <w:r>
        <w:t xml:space="preserve">and</w:t>
      </w:r>
      <w:r>
        <w:t xml:space="preserve"> </w:t>
      </w:r>
      <w:r>
        <w:rPr>
          <w:b/>
          <w:bCs/>
        </w:rPr>
        <w:t xml:space="preserve">image state</w:t>
      </w:r>
      <w:r>
        <w:t xml:space="preserve"> </w:t>
      </w:r>
      <w:r>
        <w:t xml:space="preserve">independent in your taxonomy.</w:t>
      </w:r>
      <w:r>
        <w:t xml:space="preserve"> </w:t>
      </w:r>
      <w:hyperlink r:id="rId24">
        <w:r>
          <w:rPr>
            <w:rStyle w:val="Hyperlink"/>
          </w:rPr>
          <w:t xml:space="preserve">[4]</w:t>
        </w:r>
      </w:hyperlink>
    </w:p>
    <w:p>
      <w:pPr>
        <w:pStyle w:val="BodyText"/>
      </w:pPr>
      <w:r>
        <w:t xml:space="preserve">Real collection interfaces confirm the need for these distinctions. Smithsonian/Cooper Hewitt records can be publicly visible while marked</w:t>
      </w:r>
      <w:r>
        <w:t xml:space="preserve"> </w:t>
      </w:r>
      <w:r>
        <w:rPr>
          <w:b/>
          <w:bCs/>
        </w:rPr>
        <w:t xml:space="preserve">“Research in Progress”</w:t>
      </w:r>
      <w:r>
        <w:t xml:space="preserve"> </w:t>
      </w:r>
      <w:r>
        <w:t xml:space="preserve">and</w:t>
      </w:r>
      <w:r>
        <w:t xml:space="preserve"> </w:t>
      </w:r>
      <w:r>
        <w:rPr>
          <w:b/>
          <w:bCs/>
        </w:rPr>
        <w:t xml:space="preserve">“Usage conditions apply.”</w:t>
      </w:r>
      <w:r>
        <w:t xml:space="preserve"> </w:t>
      </w:r>
      <w:r>
        <w:t xml:space="preserve">MoMA collection pages publicly expose object metadata, copyright notices, and separate licensing instructions. By contrast, Getty’s Open Content Program and Smithsonian Open Access examples explicitly mark many digital images as reusable under CC0. The implication for your system is clear: some records deserve full treatment even when the image must be withheld, while others justify IMG02 or IMG03 because the source provides stable viewer or reuse evidence.</w:t>
      </w:r>
      <w:r>
        <w:t xml:space="preserve"> </w:t>
      </w:r>
      <w:hyperlink r:id="rId25">
        <w:r>
          <w:rPr>
            <w:rStyle w:val="Hyperlink"/>
          </w:rPr>
          <w:t xml:space="preserve">[5]</w:t>
        </w:r>
      </w:hyperlink>
    </w:p>
    <w:p>
      <w:pPr>
        <w:pStyle w:val="BodyText"/>
      </w:pPr>
      <w:r>
        <w:t xml:space="preserve">Artist files, object files, and dossier-like structures also justify appendix surfaces. Archives of American Art and Getty describe artist files as variable evidence bundles that may contain correspondence, biographies, exhibition material, clippings, photographs, artist statements, proposals, publicity, and other reference material. NARA defines a file unit as an</w:t>
      </w:r>
      <w:r>
        <w:t xml:space="preserve"> </w:t>
      </w:r>
      <w:r>
        <w:rPr>
          <w:b/>
          <w:bCs/>
        </w:rPr>
        <w:t xml:space="preserve">intellectual grouping</w:t>
      </w:r>
      <w:r>
        <w:t xml:space="preserve"> </w:t>
      </w:r>
      <w:r>
        <w:t xml:space="preserve">that may not match one physical folder, and describes case-file systems and dossiers as grouped documentary units. That is the institutional rationale for a public</w:t>
      </w:r>
      <w:r>
        <w:t xml:space="preserve"> </w:t>
      </w:r>
      <w:r>
        <w:rPr>
          <w:b/>
          <w:bCs/>
        </w:rPr>
        <w:t xml:space="preserve">source dossier</w:t>
      </w:r>
      <w:r>
        <w:t xml:space="preserve"> </w:t>
      </w:r>
      <w:r>
        <w:t xml:space="preserve">or</w:t>
      </w:r>
      <w:r>
        <w:t xml:space="preserve"> </w:t>
      </w:r>
      <w:r>
        <w:rPr>
          <w:b/>
          <w:bCs/>
        </w:rPr>
        <w:t xml:space="preserve">appendix</w:t>
      </w:r>
      <w:r>
        <w:t xml:space="preserve"> </w:t>
      </w:r>
      <w:r>
        <w:t xml:space="preserve">family in your system.</w:t>
      </w:r>
      <w:r>
        <w:t xml:space="preserve"> </w:t>
      </w:r>
      <w:hyperlink r:id="rId26">
        <w:r>
          <w:rPr>
            <w:rStyle w:val="Hyperlink"/>
          </w:rPr>
          <w:t xml:space="preserve">[6]</w:t>
        </w:r>
      </w:hyperlink>
    </w:p>
    <w:bookmarkEnd w:id="27"/>
    <w:bookmarkStart w:id="32" w:name="recommended-public-surface-taxonomy"/>
    <w:p>
      <w:pPr>
        <w:pStyle w:val="Heading2"/>
      </w:pPr>
      <w:r>
        <w:t xml:space="preserve">Recommended public surface taxonomy</w:t>
      </w:r>
    </w:p>
    <w:p>
      <w:pPr>
        <w:pStyle w:val="FirstParagraph"/>
      </w:pPr>
      <w:r>
        <w:t xml:space="preserve">The least overbuilt but still sufficient model is a</w:t>
      </w:r>
      <w:r>
        <w:t xml:space="preserve"> </w:t>
      </w:r>
      <w:r>
        <w:rPr>
          <w:b/>
          <w:bCs/>
        </w:rPr>
        <w:t xml:space="preserve">small number of surface families with clear subtypes</w:t>
      </w:r>
      <w:r>
        <w:t xml:space="preserve">. The central design decision is this:</w:t>
      </w:r>
    </w:p>
    <w:p>
      <w:pPr>
        <w:pStyle w:val="BodyText"/>
      </w:pPr>
      <w:r>
        <w:rPr>
          <w:b/>
          <w:bCs/>
        </w:rPr>
        <w:t xml:space="preserve">Do not turn every visible variation into a different record class.</w:t>
      </w:r>
      <w:r>
        <w:br/>
      </w:r>
      <w:r>
        <w:t xml:space="preserve">Use a few public surface families, then let</w:t>
      </w:r>
      <w:r>
        <w:t xml:space="preserve"> </w:t>
      </w:r>
      <w:r>
        <w:rPr>
          <w:b/>
          <w:bCs/>
        </w:rPr>
        <w:t xml:space="preserve">record completeness</w:t>
      </w:r>
      <w:r>
        <w:t xml:space="preserve">,</w:t>
      </w:r>
      <w:r>
        <w:t xml:space="preserve"> </w:t>
      </w:r>
      <w:r>
        <w:rPr>
          <w:b/>
          <w:bCs/>
        </w:rPr>
        <w:t xml:space="preserve">content volume</w:t>
      </w:r>
      <w:r>
        <w:t xml:space="preserve">,</w:t>
      </w:r>
      <w:r>
        <w:t xml:space="preserve"> </w:t>
      </w:r>
      <w:r>
        <w:rPr>
          <w:b/>
          <w:bCs/>
        </w:rPr>
        <w:t xml:space="preserve">rights/image state</w:t>
      </w:r>
      <w:r>
        <w:t xml:space="preserve">, and</w:t>
      </w:r>
      <w:r>
        <w:t xml:space="preserve"> </w:t>
      </w:r>
      <w:r>
        <w:rPr>
          <w:b/>
          <w:bCs/>
        </w:rPr>
        <w:t xml:space="preserve">publication mode</w:t>
      </w:r>
      <w:r>
        <w:t xml:space="preserve"> </w:t>
      </w:r>
      <w:r>
        <w:t xml:space="preserve">decide which surface appears. That keeps the system archivally legible while still handling incomplete and rights-sensitive records.</w:t>
      </w:r>
    </w:p>
    <w:p>
      <w:pPr>
        <w:pStyle w:val="BodyText"/>
      </w:pPr>
      <w:r>
        <w:t xml:space="preserve">The recommended families are:</w:t>
      </w:r>
    </w:p>
    <w:p>
      <w:pPr>
        <w:pStyle w:val="Compact"/>
        <w:numPr>
          <w:ilvl w:val="0"/>
          <w:numId w:val="1001"/>
        </w:numPr>
      </w:pPr>
      <w:r>
        <w:rPr>
          <w:b/>
          <w:bCs/>
        </w:rPr>
        <w:t xml:space="preserve">Navigation surfaces</w:t>
      </w:r>
    </w:p>
    <w:p>
      <w:pPr>
        <w:pStyle w:val="Compact"/>
        <w:numPr>
          <w:ilvl w:val="0"/>
          <w:numId w:val="1001"/>
        </w:numPr>
      </w:pPr>
      <w:r>
        <w:rPr>
          <w:b/>
          <w:bCs/>
        </w:rPr>
        <w:t xml:space="preserve">Record surfaces</w:t>
      </w:r>
    </w:p>
    <w:p>
      <w:pPr>
        <w:pStyle w:val="Compact"/>
        <w:numPr>
          <w:ilvl w:val="0"/>
          <w:numId w:val="1001"/>
        </w:numPr>
      </w:pPr>
      <w:r>
        <w:rPr>
          <w:b/>
          <w:bCs/>
        </w:rPr>
        <w:t xml:space="preserve">Appendix and evidence surfaces</w:t>
      </w:r>
    </w:p>
    <w:p>
      <w:pPr>
        <w:pStyle w:val="Compact"/>
        <w:numPr>
          <w:ilvl w:val="0"/>
          <w:numId w:val="1001"/>
        </w:numPr>
      </w:pPr>
      <w:r>
        <w:rPr>
          <w:b/>
          <w:bCs/>
        </w:rPr>
        <w:t xml:space="preserve">Registration and orientation surfaces</w:t>
      </w:r>
    </w:p>
    <w:p>
      <w:pPr>
        <w:pStyle w:val="FirstParagraph"/>
      </w:pPr>
      <w:r>
        <w:t xml:space="preserve">The tables below define the concrete public-facing types.</w:t>
      </w:r>
    </w:p>
    <w:bookmarkStart w:id="28" w:name="navigation-surfaces"/>
    <w:p>
      <w:pPr>
        <w:pStyle w:val="Heading3"/>
      </w:pPr>
      <w:r>
        <w:t xml:space="preserve">Navigation surfaces</w:t>
      </w:r>
    </w:p>
    <w:p>
      <w:pPr>
        <w:pStyle w:val="FirstParagraph"/>
      </w:pPr>
      <w:r>
        <w:t xml:space="preserve">These are not record pages in the strict sense. They organize discovery and orient the user inside the archive box metaphor.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Surface type</w:t>
            </w:r>
          </w:p>
        </w:tc>
        <w:tc>
          <w:tcPr/>
          <w:p>
            <w:pPr>
              <w:pStyle w:val="Compact"/>
            </w:pPr>
            <w:r>
              <w:t xml:space="preserve">Purpose and generation rule</w:t>
            </w:r>
          </w:p>
        </w:tc>
        <w:tc>
          <w:tcPr/>
          <w:p>
            <w:pPr>
              <w:pStyle w:val="Compact"/>
            </w:pPr>
            <w:r>
              <w:t xml:space="preserve">Record states using it</w:t>
            </w:r>
          </w:p>
        </w:tc>
        <w:tc>
          <w:tcPr/>
          <w:p>
            <w:pPr>
              <w:pStyle w:val="Compact"/>
            </w:pPr>
            <w:r>
              <w:t xml:space="preserve">Public or internal</w:t>
            </w:r>
          </w:p>
        </w:tc>
        <w:tc>
          <w:tcPr/>
          <w:p>
            <w:pPr>
              <w:pStyle w:val="Compact"/>
            </w:pPr>
            <w:r>
              <w:t xml:space="preserve">Can appear inside folders</w:t>
            </w:r>
          </w:p>
        </w:tc>
        <w:tc>
          <w:tcPr/>
          <w:p>
            <w:pPr>
              <w:pStyle w:val="Compact"/>
            </w:pPr>
            <w:r>
              <w:t xml:space="preserve">Chronological by default</w:t>
            </w:r>
          </w:p>
        </w:tc>
        <w:tc>
          <w:tcPr/>
          <w:p>
            <w:pPr>
              <w:pStyle w:val="Compact"/>
            </w:pPr>
            <w:r>
              <w:t xml:space="preserve">IMG support</w:t>
            </w:r>
          </w:p>
        </w:tc>
        <w:tc>
          <w:tcPr/>
          <w:p>
            <w:pPr>
              <w:pStyle w:val="Compact"/>
            </w:pPr>
            <w:r>
              <w:t xml:space="preserve">Linkable from search</w:t>
            </w:r>
          </w:p>
        </w:tc>
      </w:tr>
      <w:tr>
        <w:tc>
          <w:tcPr/>
          <w:p>
            <w:pPr>
              <w:pStyle w:val="Compact"/>
            </w:pPr>
            <w:r>
              <w:rPr>
                <w:b/>
                <w:bCs/>
              </w:rPr>
              <w:t xml:space="preserve">Archive box overview</w:t>
            </w:r>
          </w:p>
        </w:tc>
        <w:tc>
          <w:tcPr/>
          <w:p>
            <w:pPr>
              <w:pStyle w:val="Compact"/>
            </w:pPr>
            <w:r>
              <w:t xml:space="preserve">Entry surface for the whole system. Generated once as the global overview of the archive box, its four folder types, and archive logic.</w:t>
            </w:r>
          </w:p>
        </w:tc>
        <w:tc>
          <w:tcPr/>
          <w:p>
            <w:pPr>
              <w:pStyle w:val="Compact"/>
            </w:pPr>
            <w:r>
              <w:t xml:space="preserve">None; global navigation surface</w:t>
            </w:r>
          </w:p>
        </w:tc>
        <w:tc>
          <w:tcPr/>
          <w:p>
            <w:pPr>
              <w:pStyle w:val="Compact"/>
            </w:pPr>
            <w:r>
              <w:t xml:space="preserve">Public</w:t>
            </w:r>
          </w:p>
        </w:tc>
        <w:tc>
          <w:tcPr/>
          <w:p>
            <w:pPr>
              <w:pStyle w:val="Compact"/>
            </w:pPr>
            <w:r>
              <w:t xml:space="preserve">No; it sits above folders</w:t>
            </w:r>
          </w:p>
        </w:tc>
        <w:tc>
          <w:tcPr/>
          <w:p>
            <w:pPr>
              <w:pStyle w:val="Compact"/>
            </w:pPr>
            <w:r>
              <w:t xml:space="preserve">No</w:t>
            </w:r>
          </w:p>
        </w:tc>
        <w:tc>
          <w:tcPr/>
          <w:p>
            <w:pPr>
              <w:pStyle w:val="Compact"/>
            </w:pPr>
            <w:r>
              <w:t xml:space="preserve">N/A or IMG04-only if your renderer requires an image mode</w:t>
            </w:r>
          </w:p>
        </w:tc>
        <w:tc>
          <w:tcPr/>
          <w:p>
            <w:pPr>
              <w:pStyle w:val="Compact"/>
            </w:pPr>
            <w:r>
              <w:t xml:space="preserve">Usually no; linked from home/navigation rather than ordinary search</w:t>
            </w:r>
          </w:p>
        </w:tc>
      </w:tr>
      <w:tr>
        <w:tc>
          <w:tcPr/>
          <w:p>
            <w:pPr>
              <w:pStyle w:val="Compact"/>
            </w:pPr>
            <w:r>
              <w:rPr>
                <w:b/>
                <w:bCs/>
              </w:rPr>
              <w:t xml:space="preserve">Folder cover</w:t>
            </w:r>
          </w:p>
        </w:tc>
        <w:tc>
          <w:tcPr/>
          <w:p>
            <w:pPr>
              <w:pStyle w:val="Compact"/>
            </w:pPr>
            <w:r>
              <w:t xml:space="preserve">Landing surface for one folder instance, such as a single Region, Theme, Medium, or Movement. Generated for every folder term.</w:t>
            </w:r>
          </w:p>
        </w:tc>
        <w:tc>
          <w:tcPr/>
          <w:p>
            <w:pPr>
              <w:pStyle w:val="Compact"/>
            </w:pPr>
            <w:r>
              <w:t xml:space="preserve">None directly; it aggregates records</w:t>
            </w:r>
          </w:p>
        </w:tc>
        <w:tc>
          <w:tcPr/>
          <w:p>
            <w:pPr>
              <w:pStyle w:val="Compact"/>
            </w:pPr>
            <w:r>
              <w:t xml:space="preserve">Public</w:t>
            </w:r>
          </w:p>
        </w:tc>
        <w:tc>
          <w:tcPr/>
          <w:p>
            <w:pPr>
              <w:pStyle w:val="Compact"/>
            </w:pPr>
            <w:r>
              <w:t xml:space="preserve">Yes; this is the folder itself</w:t>
            </w:r>
          </w:p>
        </w:tc>
        <w:tc>
          <w:tcPr/>
          <w:p>
            <w:pPr>
              <w:pStyle w:val="Compact"/>
            </w:pPr>
            <w:r>
              <w:t xml:space="preserve">No; it introduces the folder before the index/list</w:t>
            </w:r>
          </w:p>
        </w:tc>
        <w:tc>
          <w:tcPr/>
          <w:p>
            <w:pPr>
              <w:pStyle w:val="Compact"/>
            </w:pPr>
            <w:r>
              <w:t xml:space="preserve">N/A or IMG04-only</w:t>
            </w:r>
          </w:p>
        </w:tc>
        <w:tc>
          <w:tcPr/>
          <w:p>
            <w:pPr>
              <w:pStyle w:val="Compact"/>
            </w:pPr>
            <w:r>
              <w:t xml:space="preserve">Yes, when a folder term is a search target</w:t>
            </w:r>
          </w:p>
        </w:tc>
      </w:tr>
      <w:tr>
        <w:tc>
          <w:tcPr/>
          <w:p>
            <w:pPr>
              <w:pStyle w:val="Compact"/>
            </w:pPr>
            <w:r>
              <w:rPr>
                <w:b/>
                <w:bCs/>
              </w:rPr>
              <w:t xml:space="preserve">Folder index</w:t>
            </w:r>
          </w:p>
        </w:tc>
        <w:tc>
          <w:tcPr/>
          <w:p>
            <w:pPr>
              <w:pStyle w:val="Compact"/>
            </w:pPr>
            <w:r>
              <w:t xml:space="preserve">Chronological listing surface for the folder’s members. Generated whenever a folder has members.</w:t>
            </w:r>
          </w:p>
        </w:tc>
        <w:tc>
          <w:tcPr/>
          <w:p>
            <w:pPr>
              <w:pStyle w:val="Compact"/>
            </w:pPr>
            <w:r>
              <w:t xml:space="preserve">Aggregates main sheets, cards, stubs, unassigned items, and proposed cells where appropriate</w:t>
            </w:r>
          </w:p>
        </w:tc>
        <w:tc>
          <w:tcPr/>
          <w:p>
            <w:pPr>
              <w:pStyle w:val="Compact"/>
            </w:pPr>
            <w:r>
              <w:t xml:space="preserve">Public</w:t>
            </w:r>
          </w:p>
        </w:tc>
        <w:tc>
          <w:tcPr/>
          <w:p>
            <w:pPr>
              <w:pStyle w:val="Compact"/>
            </w:pPr>
            <w:r>
              <w:t xml:space="preserve">Yes</w:t>
            </w:r>
          </w:p>
        </w:tc>
        <w:tc>
          <w:tcPr/>
          <w:p>
            <w:pPr>
              <w:pStyle w:val="Compact"/>
            </w:pPr>
            <w:r>
              <w:rPr>
                <w:b/>
                <w:bCs/>
              </w:rPr>
              <w:t xml:space="preserve">Yes</w:t>
            </w:r>
          </w:p>
        </w:tc>
        <w:tc>
          <w:tcPr/>
          <w:p>
            <w:pPr>
              <w:pStyle w:val="Compact"/>
            </w:pPr>
            <w:r>
              <w:t xml:space="preserve">Usually IMG04-only at the page level; listed members may each carry their own image state</w:t>
            </w:r>
          </w:p>
        </w:tc>
        <w:tc>
          <w:tcPr/>
          <w:p>
            <w:pPr>
              <w:pStyle w:val="Compact"/>
            </w:pPr>
            <w:r>
              <w:t xml:space="preserve">Yes, usually via the folder result rather than as a separate search target</w:t>
            </w:r>
          </w:p>
        </w:tc>
      </w:tr>
      <w:tr>
        <w:tc>
          <w:tcPr/>
          <w:p>
            <w:pPr>
              <w:pStyle w:val="Compact"/>
            </w:pPr>
            <w:r>
              <w:rPr>
                <w:b/>
                <w:bCs/>
              </w:rPr>
              <w:t xml:space="preserve">Bookmark or instruction sheet</w:t>
            </w:r>
          </w:p>
        </w:tc>
        <w:tc>
          <w:tcPr/>
          <w:p>
            <w:pPr>
              <w:pStyle w:val="Compact"/>
            </w:pPr>
            <w:r>
              <w:t xml:space="preserve">Short orientation/help surface explaining the archive metaphor, record types, image badges, or chronology rules. Generated once globally and optionally reused in folders.</w:t>
            </w:r>
          </w:p>
        </w:tc>
        <w:tc>
          <w:tcPr/>
          <w:p>
            <w:pPr>
              <w:pStyle w:val="Compact"/>
            </w:pPr>
            <w:r>
              <w:t xml:space="preserve">None</w:t>
            </w:r>
          </w:p>
        </w:tc>
        <w:tc>
          <w:tcPr/>
          <w:p>
            <w:pPr>
              <w:pStyle w:val="Compact"/>
            </w:pPr>
            <w:r>
              <w:t xml:space="preserve">Public</w:t>
            </w:r>
          </w:p>
        </w:tc>
        <w:tc>
          <w:tcPr/>
          <w:p>
            <w:pPr>
              <w:pStyle w:val="Compact"/>
            </w:pPr>
            <w:r>
              <w:t xml:space="preserve">Optional</w:t>
            </w:r>
          </w:p>
        </w:tc>
        <w:tc>
          <w:tcPr/>
          <w:p>
            <w:pPr>
              <w:pStyle w:val="Compact"/>
            </w:pPr>
            <w:r>
              <w:t xml:space="preserve">No</w:t>
            </w:r>
          </w:p>
        </w:tc>
        <w:tc>
          <w:tcPr/>
          <w:p>
            <w:pPr>
              <w:pStyle w:val="Compact"/>
            </w:pPr>
            <w:r>
              <w:t xml:space="preserve">IMG04 only</w:t>
            </w:r>
          </w:p>
        </w:tc>
        <w:tc>
          <w:tcPr/>
          <w:p>
            <w:pPr>
              <w:pStyle w:val="Compact"/>
            </w:pPr>
            <w:r>
              <w:t xml:space="preserve">Normally no; keep out of general search</w:t>
            </w:r>
          </w:p>
        </w:tc>
      </w:tr>
    </w:tbl>
    <w:bookmarkEnd w:id="28"/>
    <w:bookmarkStart w:id="29" w:name="record-surfaces"/>
    <w:p>
      <w:pPr>
        <w:pStyle w:val="Heading3"/>
      </w:pPr>
      <w:r>
        <w:t xml:space="preserve">Record surfaces</w:t>
      </w:r>
    </w:p>
    <w:p>
      <w:pPr>
        <w:pStyle w:val="FirstParagraph"/>
      </w:pPr>
      <w:r>
        <w:t xml:space="preserve">These are the core “papers” or “documents” the user actually studies.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Surface type</w:t>
            </w:r>
          </w:p>
        </w:tc>
        <w:tc>
          <w:tcPr/>
          <w:p>
            <w:pPr>
              <w:pStyle w:val="Compact"/>
            </w:pPr>
            <w:r>
              <w:t xml:space="preserve">Purpose and generation rule</w:t>
            </w:r>
          </w:p>
        </w:tc>
        <w:tc>
          <w:tcPr/>
          <w:p>
            <w:pPr>
              <w:pStyle w:val="Compact"/>
            </w:pPr>
            <w:r>
              <w:t xml:space="preserve">Record states using it</w:t>
            </w:r>
          </w:p>
        </w:tc>
        <w:tc>
          <w:tcPr/>
          <w:p>
            <w:pPr>
              <w:pStyle w:val="Compact"/>
            </w:pPr>
            <w:r>
              <w:t xml:space="preserve">Public or internal</w:t>
            </w:r>
          </w:p>
        </w:tc>
        <w:tc>
          <w:tcPr/>
          <w:p>
            <w:pPr>
              <w:pStyle w:val="Compact"/>
            </w:pPr>
            <w:r>
              <w:t xml:space="preserve">Can appear inside folders</w:t>
            </w:r>
          </w:p>
        </w:tc>
        <w:tc>
          <w:tcPr/>
          <w:p>
            <w:pPr>
              <w:pStyle w:val="Compact"/>
            </w:pPr>
            <w:r>
              <w:t xml:space="preserve">Chronological by default</w:t>
            </w:r>
          </w:p>
        </w:tc>
        <w:tc>
          <w:tcPr/>
          <w:p>
            <w:pPr>
              <w:pStyle w:val="Compact"/>
            </w:pPr>
            <w:r>
              <w:t xml:space="preserve">IMG support</w:t>
            </w:r>
          </w:p>
        </w:tc>
        <w:tc>
          <w:tcPr/>
          <w:p>
            <w:pPr>
              <w:pStyle w:val="Compact"/>
            </w:pPr>
            <w:r>
              <w:t xml:space="preserve">Linkable from search</w:t>
            </w:r>
          </w:p>
        </w:tc>
      </w:tr>
      <w:tr>
        <w:tc>
          <w:tcPr/>
          <w:p>
            <w:pPr>
              <w:pStyle w:val="Compact"/>
            </w:pPr>
            <w:r>
              <w:rPr>
                <w:b/>
                <w:bCs/>
              </w:rPr>
              <w:t xml:space="preserve">Main loose-leaf sheet</w:t>
            </w:r>
          </w:p>
        </w:tc>
        <w:tc>
          <w:tcPr/>
          <w:p>
            <w:pPr>
              <w:pStyle w:val="Compact"/>
            </w:pPr>
            <w:r>
              <w:t xml:space="preserve">Primary public record surface. Generate when the record crosses the completeness threshold, roughly your stated</w:t>
            </w:r>
            <w:r>
              <w:t xml:space="preserve"> </w:t>
            </w:r>
            <w:r>
              <w:rPr>
                <w:b/>
                <w:bCs/>
              </w:rPr>
              <w:t xml:space="preserve">60%+</w:t>
            </w:r>
            <w:r>
              <w:t xml:space="preserve">, and has stable identity, date logic, and source grounding.</w:t>
            </w:r>
          </w:p>
        </w:tc>
        <w:tc>
          <w:tcPr/>
          <w:p>
            <w:pPr>
              <w:pStyle w:val="Compact"/>
            </w:pPr>
            <w:r>
              <w:rPr>
                <w:rStyle w:val="VerbatimChar"/>
              </w:rPr>
              <w:t xml:space="preserve">main sheet</w:t>
            </w:r>
          </w:p>
        </w:tc>
        <w:tc>
          <w:tcPr/>
          <w:p>
            <w:pPr>
              <w:pStyle w:val="Compact"/>
            </w:pPr>
            <w:r>
              <w:t xml:space="preserve">Public</w:t>
            </w:r>
          </w:p>
        </w:tc>
        <w:tc>
          <w:tcPr/>
          <w:p>
            <w:pPr>
              <w:pStyle w:val="Compact"/>
            </w:pPr>
            <w:r>
              <w:t xml:space="preserve">Yes</w:t>
            </w:r>
          </w:p>
        </w:tc>
        <w:tc>
          <w:tcPr/>
          <w:p>
            <w:pPr>
              <w:pStyle w:val="Compact"/>
            </w:pPr>
            <w:r>
              <w:t xml:space="preserve">Yes</w:t>
            </w:r>
          </w:p>
        </w:tc>
        <w:tc>
          <w:tcPr/>
          <w:p>
            <w:pPr>
              <w:pStyle w:val="Compact"/>
            </w:pPr>
            <w:r>
              <w:t xml:space="preserve">IMG00–IMG04</w:t>
            </w:r>
          </w:p>
        </w:tc>
        <w:tc>
          <w:tcPr/>
          <w:p>
            <w:pPr>
              <w:pStyle w:val="Compact"/>
            </w:pPr>
            <w:r>
              <w:t xml:space="preserve">Yes</w:t>
            </w:r>
          </w:p>
        </w:tc>
      </w:tr>
      <w:tr>
        <w:tc>
          <w:tcPr/>
          <w:p>
            <w:pPr>
              <w:pStyle w:val="Compact"/>
            </w:pPr>
            <w:r>
              <w:rPr>
                <w:b/>
                <w:bCs/>
              </w:rPr>
              <w:t xml:space="preserve">Continuation sheet</w:t>
            </w:r>
          </w:p>
        </w:tc>
        <w:tc>
          <w:tcPr/>
          <w:p>
            <w:pPr>
              <w:pStyle w:val="Compact"/>
            </w:pPr>
            <w:r>
              <w:t xml:space="preserve">Overflow companion to a main sheet when evidence, source notes, versions, or long descriptions exceed the first sheet. This is a companion, not a separate record class.</w:t>
            </w:r>
          </w:p>
        </w:tc>
        <w:tc>
          <w:tcPr/>
          <w:p>
            <w:pPr>
              <w:pStyle w:val="Compact"/>
            </w:pPr>
            <w:r>
              <w:rPr>
                <w:rStyle w:val="VerbatimChar"/>
              </w:rPr>
              <w:t xml:space="preserve">main sheet</w:t>
            </w:r>
          </w:p>
        </w:tc>
        <w:tc>
          <w:tcPr/>
          <w:p>
            <w:pPr>
              <w:pStyle w:val="Compact"/>
            </w:pPr>
            <w:r>
              <w:t xml:space="preserve">Public</w:t>
            </w:r>
          </w:p>
        </w:tc>
        <w:tc>
          <w:tcPr/>
          <w:p>
            <w:pPr>
              <w:pStyle w:val="Compact"/>
            </w:pPr>
            <w:r>
              <w:t xml:space="preserve">Yes, as part of the same record grouping</w:t>
            </w:r>
          </w:p>
        </w:tc>
        <w:tc>
          <w:tcPr/>
          <w:p>
            <w:pPr>
              <w:pStyle w:val="Compact"/>
            </w:pPr>
            <w:r>
              <w:t xml:space="preserve">Inherits the parent record’s chronology</w:t>
            </w:r>
          </w:p>
        </w:tc>
        <w:tc>
          <w:tcPr/>
          <w:p>
            <w:pPr>
              <w:pStyle w:val="Compact"/>
            </w:pPr>
            <w:r>
              <w:t xml:space="preserve">Usually IMG04; can inherit parent logic if needed</w:t>
            </w:r>
          </w:p>
        </w:tc>
        <w:tc>
          <w:tcPr/>
          <w:p>
            <w:pPr>
              <w:pStyle w:val="Compact"/>
            </w:pPr>
            <w:r>
              <w:t xml:space="preserve">Yes, but preferably as part of the parent record</w:t>
            </w:r>
          </w:p>
        </w:tc>
      </w:tr>
      <w:tr>
        <w:tc>
          <w:tcPr/>
          <w:p>
            <w:pPr>
              <w:pStyle w:val="Compact"/>
            </w:pPr>
            <w:r>
              <w:rPr>
                <w:b/>
                <w:bCs/>
              </w:rPr>
              <w:t xml:space="preserve">Text-only sheet</w:t>
            </w:r>
          </w:p>
        </w:tc>
        <w:tc>
          <w:tcPr/>
          <w:p>
            <w:pPr>
              <w:pStyle w:val="Compact"/>
            </w:pPr>
            <w:r>
              <w:t xml:space="preserve">Main-sheet variant for records that meet the completeness threshold but are fundamentally bibliographic, textual, or image-less, or where no publishable image is appropriate.</w:t>
            </w:r>
          </w:p>
        </w:tc>
        <w:tc>
          <w:tcPr/>
          <w:p>
            <w:pPr>
              <w:pStyle w:val="Compact"/>
            </w:pPr>
            <w:r>
              <w:rPr>
                <w:rStyle w:val="VerbatimChar"/>
              </w:rPr>
              <w:t xml:space="preserve">main sheet</w:t>
            </w:r>
          </w:p>
        </w:tc>
        <w:tc>
          <w:tcPr/>
          <w:p>
            <w:pPr>
              <w:pStyle w:val="Compact"/>
            </w:pPr>
            <w:r>
              <w:t xml:space="preserve">Public</w:t>
            </w:r>
          </w:p>
        </w:tc>
        <w:tc>
          <w:tcPr/>
          <w:p>
            <w:pPr>
              <w:pStyle w:val="Compact"/>
            </w:pPr>
            <w:r>
              <w:t xml:space="preserve">Yes</w:t>
            </w:r>
          </w:p>
        </w:tc>
        <w:tc>
          <w:tcPr/>
          <w:p>
            <w:pPr>
              <w:pStyle w:val="Compact"/>
            </w:pPr>
            <w:r>
              <w:t xml:space="preserve">Yes</w:t>
            </w:r>
          </w:p>
        </w:tc>
        <w:tc>
          <w:tcPr/>
          <w:p>
            <w:pPr>
              <w:pStyle w:val="Compact"/>
            </w:pPr>
            <w:r>
              <w:t xml:space="preserve">IMG04 only</w:t>
            </w:r>
          </w:p>
        </w:tc>
        <w:tc>
          <w:tcPr/>
          <w:p>
            <w:pPr>
              <w:pStyle w:val="Compact"/>
            </w:pPr>
            <w:r>
              <w:t xml:space="preserve">Yes</w:t>
            </w:r>
          </w:p>
        </w:tc>
      </w:tr>
      <w:tr>
        <w:tc>
          <w:tcPr/>
          <w:p>
            <w:pPr>
              <w:pStyle w:val="Compact"/>
            </w:pPr>
            <w:r>
              <w:rPr>
                <w:b/>
                <w:bCs/>
              </w:rPr>
              <w:t xml:space="preserve">Image-rights placeholder sheet</w:t>
            </w:r>
          </w:p>
        </w:tc>
        <w:tc>
          <w:tcPr/>
          <w:p>
            <w:pPr>
              <w:pStyle w:val="Compact"/>
            </w:pPr>
            <w:r>
              <w:t xml:space="preserve">Main-sheet variant used when the record deserves full treatment but the image is too risky to display because rights are unclear, high-risk, or unresolved.</w:t>
            </w:r>
          </w:p>
        </w:tc>
        <w:tc>
          <w:tcPr/>
          <w:p>
            <w:pPr>
              <w:pStyle w:val="Compact"/>
            </w:pPr>
            <w:r>
              <w:rPr>
                <w:rStyle w:val="VerbatimChar"/>
              </w:rPr>
              <w:t xml:space="preserve">main sheet</w:t>
            </w:r>
          </w:p>
        </w:tc>
        <w:tc>
          <w:tcPr/>
          <w:p>
            <w:pPr>
              <w:pStyle w:val="Compact"/>
            </w:pPr>
            <w:r>
              <w:t xml:space="preserve">Public</w:t>
            </w:r>
          </w:p>
        </w:tc>
        <w:tc>
          <w:tcPr/>
          <w:p>
            <w:pPr>
              <w:pStyle w:val="Compact"/>
            </w:pPr>
            <w:r>
              <w:t xml:space="preserve">Yes</w:t>
            </w:r>
          </w:p>
        </w:tc>
        <w:tc>
          <w:tcPr/>
          <w:p>
            <w:pPr>
              <w:pStyle w:val="Compact"/>
            </w:pPr>
            <w:r>
              <w:t xml:space="preserve">Yes</w:t>
            </w:r>
          </w:p>
        </w:tc>
        <w:tc>
          <w:tcPr/>
          <w:p>
            <w:pPr>
              <w:pStyle w:val="Compact"/>
            </w:pPr>
            <w:r>
              <w:t xml:space="preserve">IMG00 only</w:t>
            </w:r>
          </w:p>
        </w:tc>
        <w:tc>
          <w:tcPr/>
          <w:p>
            <w:pPr>
              <w:pStyle w:val="Compact"/>
            </w:pPr>
            <w:r>
              <w:t xml:space="preserve">Yes</w:t>
            </w:r>
          </w:p>
        </w:tc>
      </w:tr>
      <w:tr>
        <w:tc>
          <w:tcPr/>
          <w:p>
            <w:pPr>
              <w:pStyle w:val="Compact"/>
            </w:pPr>
            <w:r>
              <w:rPr>
                <w:b/>
                <w:bCs/>
              </w:rPr>
              <w:t xml:space="preserve">Group or compound sheet</w:t>
            </w:r>
          </w:p>
        </w:tc>
        <w:tc>
          <w:tcPr/>
          <w:p>
            <w:pPr>
              <w:pStyle w:val="Compact"/>
            </w:pPr>
            <w:r>
              <w:t xml:space="preserve">Sheet for a set, sequence, multi-part object, version cluster, design system, or incomplete group that is better treated as one intellectual unit. Use for portfolios, serial poster runs, type families, multi-sheet publications, or clustered records below full separability.</w:t>
            </w:r>
          </w:p>
        </w:tc>
        <w:tc>
          <w:tcPr/>
          <w:p>
            <w:pPr>
              <w:pStyle w:val="Compact"/>
            </w:pPr>
            <w:r>
              <w:t xml:space="preserve">Usually</w:t>
            </w:r>
            <w:r>
              <w:t xml:space="preserve"> </w:t>
            </w:r>
            <w:r>
              <w:rPr>
                <w:rStyle w:val="VerbatimChar"/>
              </w:rPr>
              <w:t xml:space="preserve">main sheet</w:t>
            </w:r>
            <w:r>
              <w:t xml:space="preserve">, sometimes grouped incomplete records</w:t>
            </w:r>
          </w:p>
        </w:tc>
        <w:tc>
          <w:tcPr/>
          <w:p>
            <w:pPr>
              <w:pStyle w:val="Compact"/>
            </w:pPr>
            <w:r>
              <w:t xml:space="preserve">Public</w:t>
            </w:r>
          </w:p>
        </w:tc>
        <w:tc>
          <w:tcPr/>
          <w:p>
            <w:pPr>
              <w:pStyle w:val="Compact"/>
            </w:pPr>
            <w:r>
              <w:t xml:space="preserve">Yes</w:t>
            </w:r>
          </w:p>
        </w:tc>
        <w:tc>
          <w:tcPr/>
          <w:p>
            <w:pPr>
              <w:pStyle w:val="Compact"/>
            </w:pPr>
            <w:r>
              <w:t xml:space="preserve">Yes</w:t>
            </w:r>
          </w:p>
        </w:tc>
        <w:tc>
          <w:tcPr/>
          <w:p>
            <w:pPr>
              <w:pStyle w:val="Compact"/>
            </w:pPr>
            <w:r>
              <w:t xml:space="preserve">IMG00–IMG04</w:t>
            </w:r>
          </w:p>
        </w:tc>
        <w:tc>
          <w:tcPr/>
          <w:p>
            <w:pPr>
              <w:pStyle w:val="Compact"/>
            </w:pPr>
            <w:r>
              <w:t xml:space="preserve">Yes</w:t>
            </w:r>
          </w:p>
        </w:tc>
      </w:tr>
      <w:tr>
        <w:tc>
          <w:tcPr/>
          <w:p>
            <w:pPr>
              <w:pStyle w:val="Compact"/>
            </w:pPr>
            <w:r>
              <w:rPr>
                <w:b/>
                <w:bCs/>
              </w:rPr>
              <w:t xml:space="preserve">Card</w:t>
            </w:r>
          </w:p>
        </w:tc>
        <w:tc>
          <w:tcPr/>
          <w:p>
            <w:pPr>
              <w:pStyle w:val="Compact"/>
            </w:pPr>
            <w:r>
              <w:t xml:space="preserve">Compact public record. Generate when the record is identifiable enough to place in chronology and folders but does not yet justify a main sheet.</w:t>
            </w:r>
          </w:p>
        </w:tc>
        <w:tc>
          <w:tcPr/>
          <w:p>
            <w:pPr>
              <w:pStyle w:val="Compact"/>
            </w:pPr>
            <w:r>
              <w:rPr>
                <w:rStyle w:val="VerbatimChar"/>
              </w:rPr>
              <w:t xml:space="preserve">card</w:t>
            </w:r>
          </w:p>
        </w:tc>
        <w:tc>
          <w:tcPr/>
          <w:p>
            <w:pPr>
              <w:pStyle w:val="Compact"/>
            </w:pPr>
            <w:r>
              <w:t xml:space="preserve">Public</w:t>
            </w:r>
          </w:p>
        </w:tc>
        <w:tc>
          <w:tcPr/>
          <w:p>
            <w:pPr>
              <w:pStyle w:val="Compact"/>
            </w:pPr>
            <w:r>
              <w:t xml:space="preserve">Yes</w:t>
            </w:r>
          </w:p>
        </w:tc>
        <w:tc>
          <w:tcPr/>
          <w:p>
            <w:pPr>
              <w:pStyle w:val="Compact"/>
            </w:pPr>
            <w:r>
              <w:t xml:space="preserve">Yes</w:t>
            </w:r>
          </w:p>
        </w:tc>
        <w:tc>
          <w:tcPr/>
          <w:p>
            <w:pPr>
              <w:pStyle w:val="Compact"/>
            </w:pPr>
            <w:r>
              <w:t xml:space="preserve">IMG00–IMG04</w:t>
            </w:r>
          </w:p>
        </w:tc>
        <w:tc>
          <w:tcPr/>
          <w:p>
            <w:pPr>
              <w:pStyle w:val="Compact"/>
            </w:pPr>
            <w:r>
              <w:t xml:space="preserve">Yes</w:t>
            </w:r>
          </w:p>
        </w:tc>
      </w:tr>
      <w:tr>
        <w:tc>
          <w:tcPr/>
          <w:p>
            <w:pPr>
              <w:pStyle w:val="Compact"/>
            </w:pPr>
            <w:r>
              <w:rPr>
                <w:b/>
                <w:bCs/>
              </w:rPr>
              <w:t xml:space="preserve">Fallback stub</w:t>
            </w:r>
          </w:p>
        </w:tc>
        <w:tc>
          <w:tcPr/>
          <w:p>
            <w:pPr>
              <w:pStyle w:val="Compact"/>
            </w:pPr>
            <w:r>
              <w:t xml:space="preserve">Minimal public anchor. Generate when you only have machine-minimal or source-minimal data: a label/title, source pointer, and maybe a date or location, but not enough for a proper card.</w:t>
            </w:r>
          </w:p>
        </w:tc>
        <w:tc>
          <w:tcPr/>
          <w:p>
            <w:pPr>
              <w:pStyle w:val="Compact"/>
            </w:pPr>
            <w:r>
              <w:rPr>
                <w:rStyle w:val="VerbatimChar"/>
              </w:rPr>
              <w:t xml:space="preserve">fallback stub</w:t>
            </w:r>
          </w:p>
        </w:tc>
        <w:tc>
          <w:tcPr/>
          <w:p>
            <w:pPr>
              <w:pStyle w:val="Compact"/>
            </w:pPr>
            <w:r>
              <w:t xml:space="preserve">Public</w:t>
            </w:r>
          </w:p>
        </w:tc>
        <w:tc>
          <w:tcPr/>
          <w:p>
            <w:pPr>
              <w:pStyle w:val="Compact"/>
            </w:pPr>
            <w:r>
              <w:t xml:space="preserve">Yes</w:t>
            </w:r>
          </w:p>
        </w:tc>
        <w:tc>
          <w:tcPr/>
          <w:p>
            <w:pPr>
              <w:pStyle w:val="Compact"/>
            </w:pPr>
            <w:r>
              <w:t xml:space="preserve">Yes, if any sortable date exists; otherwise goes to undated grouping</w:t>
            </w:r>
          </w:p>
        </w:tc>
        <w:tc>
          <w:tcPr/>
          <w:p>
            <w:pPr>
              <w:pStyle w:val="Compact"/>
            </w:pPr>
            <w:r>
              <w:t xml:space="preserve">IMG04 by default; IMG00 only if you need an explicit no-image warning</w:t>
            </w:r>
          </w:p>
        </w:tc>
        <w:tc>
          <w:tcPr/>
          <w:p>
            <w:pPr>
              <w:pStyle w:val="Compact"/>
            </w:pPr>
            <w:r>
              <w:t xml:space="preserve">Yes</w:t>
            </w:r>
          </w:p>
        </w:tc>
      </w:tr>
      <w:tr>
        <w:tc>
          <w:tcPr/>
          <w:p>
            <w:pPr>
              <w:pStyle w:val="Compact"/>
            </w:pPr>
            <w:r>
              <w:rPr>
                <w:b/>
                <w:bCs/>
              </w:rPr>
              <w:t xml:space="preserve">Unassigned research item</w:t>
            </w:r>
          </w:p>
        </w:tc>
        <w:tc>
          <w:tcPr/>
          <w:p>
            <w:pPr>
              <w:pStyle w:val="Compact"/>
            </w:pPr>
            <w:r>
              <w:t xml:space="preserve">Public holding pen for a research object that has evidence but cannot yet be assigned to a stable entity, record grouping, or folder logic. Use when the project wants transparency about ongoing research rather than hiding it.</w:t>
            </w:r>
          </w:p>
        </w:tc>
        <w:tc>
          <w:tcPr/>
          <w:p>
            <w:pPr>
              <w:pStyle w:val="Compact"/>
            </w:pPr>
            <w:r>
              <w:rPr>
                <w:rStyle w:val="VerbatimChar"/>
              </w:rPr>
              <w:t xml:space="preserve">unassigned research item</w:t>
            </w:r>
          </w:p>
        </w:tc>
        <w:tc>
          <w:tcPr/>
          <w:p>
            <w:pPr>
              <w:pStyle w:val="Compact"/>
            </w:pPr>
            <w:r>
              <w:t xml:space="preserve">Public</w:t>
            </w:r>
          </w:p>
        </w:tc>
        <w:tc>
          <w:tcPr/>
          <w:p>
            <w:pPr>
              <w:pStyle w:val="Compact"/>
            </w:pPr>
            <w:r>
              <w:t xml:space="preserve">Yes, usually in special “unassigned” or residual views and optionally inside relevant folders if there is a plausible fit</w:t>
            </w:r>
          </w:p>
        </w:tc>
        <w:tc>
          <w:tcPr/>
          <w:p>
            <w:pPr>
              <w:pStyle w:val="Compact"/>
            </w:pPr>
            <w:r>
              <w:t xml:space="preserve">Yes when dated; otherwise undated</w:t>
            </w:r>
          </w:p>
        </w:tc>
        <w:tc>
          <w:tcPr/>
          <w:p>
            <w:pPr>
              <w:pStyle w:val="Compact"/>
            </w:pPr>
            <w:r>
              <w:t xml:space="preserve">IMG00–IMG04</w:t>
            </w:r>
          </w:p>
        </w:tc>
        <w:tc>
          <w:tcPr/>
          <w:p>
            <w:pPr>
              <w:pStyle w:val="Compact"/>
            </w:pPr>
            <w:r>
              <w:t xml:space="preserve">Yes</w:t>
            </w:r>
          </w:p>
        </w:tc>
      </w:tr>
      <w:tr>
        <w:tc>
          <w:tcPr/>
          <w:p>
            <w:pPr>
              <w:pStyle w:val="Compact"/>
            </w:pPr>
            <w:r>
              <w:rPr>
                <w:b/>
                <w:bCs/>
              </w:rPr>
              <w:t xml:space="preserve">Proposed cell item</w:t>
            </w:r>
          </w:p>
        </w:tc>
        <w:tc>
          <w:tcPr/>
          <w:p>
            <w:pPr>
              <w:pStyle w:val="Compact"/>
            </w:pPr>
            <w:r>
              <w:t xml:space="preserve">Public proposal surface for a possible new folder cell, especially under Theme or Movement, when recurring evidence suggests a legitimate cluster but authority or evidence is not yet sufficient to create a canonical folder.</w:t>
            </w:r>
          </w:p>
        </w:tc>
        <w:tc>
          <w:tcPr/>
          <w:p>
            <w:pPr>
              <w:pStyle w:val="Compact"/>
            </w:pPr>
            <w:r>
              <w:rPr>
                <w:rStyle w:val="VerbatimChar"/>
              </w:rPr>
              <w:t xml:space="preserve">proposed cell item</w:t>
            </w:r>
          </w:p>
        </w:tc>
        <w:tc>
          <w:tcPr/>
          <w:p>
            <w:pPr>
              <w:pStyle w:val="Compact"/>
            </w:pPr>
            <w:r>
              <w:t xml:space="preserve">Public</w:t>
            </w:r>
          </w:p>
        </w:tc>
        <w:tc>
          <w:tcPr/>
          <w:p>
            <w:pPr>
              <w:pStyle w:val="Compact"/>
            </w:pPr>
            <w:r>
              <w:t xml:space="preserve">Yes, usually near the folder where the proposal arises</w:t>
            </w:r>
          </w:p>
        </w:tc>
        <w:tc>
          <w:tcPr/>
          <w:p>
            <w:pPr>
              <w:pStyle w:val="Compact"/>
            </w:pPr>
            <w:r>
              <w:t xml:space="preserve">Usually yes, by proposal date or earliest supporting date</w:t>
            </w:r>
          </w:p>
        </w:tc>
        <w:tc>
          <w:tcPr/>
          <w:p>
            <w:pPr>
              <w:pStyle w:val="Compact"/>
            </w:pPr>
            <w:r>
              <w:t xml:space="preserve">IMG04 only by default</w:t>
            </w:r>
          </w:p>
        </w:tc>
        <w:tc>
          <w:tcPr/>
          <w:p>
            <w:pPr>
              <w:pStyle w:val="Compact"/>
            </w:pPr>
            <w:r>
              <w:t xml:space="preserve">Yes, but preferably only when users search for the proposed term or related cluster</w:t>
            </w:r>
          </w:p>
        </w:tc>
      </w:tr>
    </w:tbl>
    <w:bookmarkEnd w:id="29"/>
    <w:bookmarkStart w:id="30" w:name="appendix-and-evidence-surfaces"/>
    <w:p>
      <w:pPr>
        <w:pStyle w:val="Heading3"/>
      </w:pPr>
      <w:r>
        <w:t xml:space="preserve">Appendix and evidence surfaces</w:t>
      </w:r>
    </w:p>
    <w:p>
      <w:pPr>
        <w:pStyle w:val="FirstParagraph"/>
      </w:pPr>
      <w:r>
        <w:t xml:space="preserve">These are public research supports. They should not replace the main record surface.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Surface type</w:t>
            </w:r>
          </w:p>
        </w:tc>
        <w:tc>
          <w:tcPr/>
          <w:p>
            <w:pPr>
              <w:pStyle w:val="Compact"/>
            </w:pPr>
            <w:r>
              <w:t xml:space="preserve">Purpose and generation rule</w:t>
            </w:r>
          </w:p>
        </w:tc>
        <w:tc>
          <w:tcPr/>
          <w:p>
            <w:pPr>
              <w:pStyle w:val="Compact"/>
            </w:pPr>
            <w:r>
              <w:t xml:space="preserve">Record states using it</w:t>
            </w:r>
          </w:p>
        </w:tc>
        <w:tc>
          <w:tcPr/>
          <w:p>
            <w:pPr>
              <w:pStyle w:val="Compact"/>
            </w:pPr>
            <w:r>
              <w:t xml:space="preserve">Public or internal</w:t>
            </w:r>
          </w:p>
        </w:tc>
        <w:tc>
          <w:tcPr/>
          <w:p>
            <w:pPr>
              <w:pStyle w:val="Compact"/>
            </w:pPr>
            <w:r>
              <w:t xml:space="preserve">Can appear inside folders</w:t>
            </w:r>
          </w:p>
        </w:tc>
        <w:tc>
          <w:tcPr/>
          <w:p>
            <w:pPr>
              <w:pStyle w:val="Compact"/>
            </w:pPr>
            <w:r>
              <w:t xml:space="preserve">Chronological by default</w:t>
            </w:r>
          </w:p>
        </w:tc>
        <w:tc>
          <w:tcPr/>
          <w:p>
            <w:pPr>
              <w:pStyle w:val="Compact"/>
            </w:pPr>
            <w:r>
              <w:t xml:space="preserve">IMG support</w:t>
            </w:r>
          </w:p>
        </w:tc>
        <w:tc>
          <w:tcPr/>
          <w:p>
            <w:pPr>
              <w:pStyle w:val="Compact"/>
            </w:pPr>
            <w:r>
              <w:t xml:space="preserve">Linkable from search</w:t>
            </w:r>
          </w:p>
        </w:tc>
      </w:tr>
      <w:tr>
        <w:tc>
          <w:tcPr/>
          <w:p>
            <w:pPr>
              <w:pStyle w:val="Compact"/>
            </w:pPr>
            <w:r>
              <w:rPr>
                <w:b/>
                <w:bCs/>
              </w:rPr>
              <w:t xml:space="preserve">Source dossier</w:t>
            </w:r>
          </w:p>
        </w:tc>
        <w:tc>
          <w:tcPr/>
          <w:p>
            <w:pPr>
              <w:pStyle w:val="Compact"/>
            </w:pPr>
            <w:r>
              <w:t xml:space="preserve">Evidence bundle for a record with many dispersed source records, archival traces, screenshots, repository entries, scans, or cross-institutional pointers. Generate only when the record’s source trail is complex enough to justify a grouped file.</w:t>
            </w:r>
          </w:p>
        </w:tc>
        <w:tc>
          <w:tcPr/>
          <w:p>
            <w:pPr>
              <w:pStyle w:val="Compact"/>
            </w:pPr>
            <w:r>
              <w:t xml:space="preserve">Mostly</w:t>
            </w:r>
            <w:r>
              <w:t xml:space="preserve"> </w:t>
            </w:r>
            <w:r>
              <w:rPr>
                <w:rStyle w:val="VerbatimChar"/>
              </w:rPr>
              <w:t xml:space="preserve">main sheet</w:t>
            </w:r>
            <w:r>
              <w:t xml:space="preserve">, sometimes</w:t>
            </w:r>
            <w:r>
              <w:t xml:space="preserve"> </w:t>
            </w:r>
            <w:r>
              <w:rPr>
                <w:rStyle w:val="VerbatimChar"/>
              </w:rPr>
              <w:t xml:space="preserve">card</w:t>
            </w:r>
          </w:p>
        </w:tc>
        <w:tc>
          <w:tcPr/>
          <w:p>
            <w:pPr>
              <w:pStyle w:val="Compact"/>
            </w:pPr>
            <w:r>
              <w:t xml:space="preserve">Public summary; internal-expanded twin optional</w:t>
            </w:r>
          </w:p>
        </w:tc>
        <w:tc>
          <w:tcPr/>
          <w:p>
            <w:pPr>
              <w:pStyle w:val="Compact"/>
            </w:pPr>
            <w:r>
              <w:t xml:space="preserve">Usually linked from a record rather than listed independently</w:t>
            </w:r>
          </w:p>
        </w:tc>
        <w:tc>
          <w:tcPr/>
          <w:p>
            <w:pPr>
              <w:pStyle w:val="Compact"/>
            </w:pPr>
            <w:r>
              <w:t xml:space="preserve">Usually inherits parent chronology</w:t>
            </w:r>
          </w:p>
        </w:tc>
        <w:tc>
          <w:tcPr/>
          <w:p>
            <w:pPr>
              <w:pStyle w:val="Compact"/>
            </w:pPr>
            <w:r>
              <w:t xml:space="preserve">IMG00–IMG04</w:t>
            </w:r>
          </w:p>
        </w:tc>
        <w:tc>
          <w:tcPr/>
          <w:p>
            <w:pPr>
              <w:pStyle w:val="Compact"/>
            </w:pPr>
            <w:r>
              <w:t xml:space="preserve">Usually linked from record pages, not first-tier search</w:t>
            </w:r>
          </w:p>
        </w:tc>
      </w:tr>
      <w:tr>
        <w:tc>
          <w:tcPr/>
          <w:p>
            <w:pPr>
              <w:pStyle w:val="Compact"/>
            </w:pPr>
            <w:r>
              <w:rPr>
                <w:b/>
                <w:bCs/>
              </w:rPr>
              <w:t xml:space="preserve">Citation appendix</w:t>
            </w:r>
          </w:p>
        </w:tc>
        <w:tc>
          <w:tcPr/>
          <w:p>
            <w:pPr>
              <w:pStyle w:val="Compact"/>
            </w:pPr>
            <w:r>
              <w:t xml:space="preserve">Structured citation list when inline citations or short source notes are not enough. Generate when a record has many references, bibliographies, or source editions.</w:t>
            </w:r>
          </w:p>
        </w:tc>
        <w:tc>
          <w:tcPr/>
          <w:p>
            <w:pPr>
              <w:pStyle w:val="Compact"/>
            </w:pPr>
            <w:r>
              <w:rPr>
                <w:rStyle w:val="VerbatimChar"/>
              </w:rPr>
              <w:t xml:space="preserve">main sheet</w:t>
            </w:r>
            <w:r>
              <w:t xml:space="preserve">,</w:t>
            </w:r>
            <w:r>
              <w:t xml:space="preserve"> </w:t>
            </w:r>
            <w:r>
              <w:rPr>
                <w:rStyle w:val="VerbatimChar"/>
              </w:rPr>
              <w:t xml:space="preserve">card</w:t>
            </w:r>
            <w:r>
              <w:t xml:space="preserve">, group sheets</w:t>
            </w:r>
          </w:p>
        </w:tc>
        <w:tc>
          <w:tcPr/>
          <w:p>
            <w:pPr>
              <w:pStyle w:val="Compact"/>
            </w:pPr>
            <w:r>
              <w:t xml:space="preserve">Public</w:t>
            </w:r>
          </w:p>
        </w:tc>
        <w:tc>
          <w:tcPr/>
          <w:p>
            <w:pPr>
              <w:pStyle w:val="Compact"/>
            </w:pPr>
            <w:r>
              <w:t xml:space="preserve">Yes, but subordinate to parent record</w:t>
            </w:r>
          </w:p>
        </w:tc>
        <w:tc>
          <w:tcPr/>
          <w:p>
            <w:pPr>
              <w:pStyle w:val="Compact"/>
            </w:pPr>
            <w:r>
              <w:t xml:space="preserve">Inherits parent chronology</w:t>
            </w:r>
          </w:p>
        </w:tc>
        <w:tc>
          <w:tcPr/>
          <w:p>
            <w:pPr>
              <w:pStyle w:val="Compact"/>
            </w:pPr>
            <w:r>
              <w:t xml:space="preserve">IMG04 only</w:t>
            </w:r>
          </w:p>
        </w:tc>
        <w:tc>
          <w:tcPr/>
          <w:p>
            <w:pPr>
              <w:pStyle w:val="Compact"/>
            </w:pPr>
            <w:r>
              <w:t xml:space="preserve">Usually via parent; deep-link optional</w:t>
            </w:r>
          </w:p>
        </w:tc>
      </w:tr>
      <w:tr>
        <w:tc>
          <w:tcPr/>
          <w:p>
            <w:pPr>
              <w:pStyle w:val="Compact"/>
            </w:pPr>
            <w:r>
              <w:rPr>
                <w:b/>
                <w:bCs/>
              </w:rPr>
              <w:t xml:space="preserve">Relation appendix</w:t>
            </w:r>
          </w:p>
        </w:tc>
        <w:tc>
          <w:tcPr/>
          <w:p>
            <w:pPr>
              <w:pStyle w:val="Compact"/>
            </w:pPr>
            <w:r>
              <w:t xml:space="preserve">Expanded relation map for versions, editions, translations, exhibitions, repositories, influences, related works, or parent/child structures. Generate when relation density becomes too high for the main sheet.</w:t>
            </w:r>
          </w:p>
        </w:tc>
        <w:tc>
          <w:tcPr/>
          <w:p>
            <w:pPr>
              <w:pStyle w:val="Compact"/>
            </w:pPr>
            <w:r>
              <w:rPr>
                <w:rStyle w:val="VerbatimChar"/>
              </w:rPr>
              <w:t xml:space="preserve">main sheet</w:t>
            </w:r>
            <w:r>
              <w:t xml:space="preserve">, group sheets, sometimes</w:t>
            </w:r>
            <w:r>
              <w:t xml:space="preserve"> </w:t>
            </w:r>
            <w:r>
              <w:rPr>
                <w:rStyle w:val="VerbatimChar"/>
              </w:rPr>
              <w:t xml:space="preserve">proposed cell item</w:t>
            </w:r>
          </w:p>
        </w:tc>
        <w:tc>
          <w:tcPr/>
          <w:p>
            <w:pPr>
              <w:pStyle w:val="Compact"/>
            </w:pPr>
            <w:r>
              <w:t xml:space="preserve">Public</w:t>
            </w:r>
          </w:p>
        </w:tc>
        <w:tc>
          <w:tcPr/>
          <w:p>
            <w:pPr>
              <w:pStyle w:val="Compact"/>
            </w:pPr>
            <w:r>
              <w:t xml:space="preserve">Yes, subordinate</w:t>
            </w:r>
          </w:p>
        </w:tc>
        <w:tc>
          <w:tcPr/>
          <w:p>
            <w:pPr>
              <w:pStyle w:val="Compact"/>
            </w:pPr>
            <w:r>
              <w:t xml:space="preserve">Inherits parent chronology</w:t>
            </w:r>
          </w:p>
        </w:tc>
        <w:tc>
          <w:tcPr/>
          <w:p>
            <w:pPr>
              <w:pStyle w:val="Compact"/>
            </w:pPr>
            <w:r>
              <w:t xml:space="preserve">IMG04 only</w:t>
            </w:r>
          </w:p>
        </w:tc>
        <w:tc>
          <w:tcPr/>
          <w:p>
            <w:pPr>
              <w:pStyle w:val="Compact"/>
            </w:pPr>
            <w:r>
              <w:t xml:space="preserve">Usually via parent</w:t>
            </w:r>
          </w:p>
        </w:tc>
      </w:tr>
      <w:tr>
        <w:tc>
          <w:tcPr/>
          <w:p>
            <w:pPr>
              <w:pStyle w:val="Compact"/>
            </w:pPr>
            <w:r>
              <w:rPr>
                <w:b/>
                <w:bCs/>
              </w:rPr>
              <w:t xml:space="preserve">Rights appendix</w:t>
            </w:r>
          </w:p>
        </w:tc>
        <w:tc>
          <w:tcPr/>
          <w:p>
            <w:pPr>
              <w:pStyle w:val="Compact"/>
            </w:pPr>
            <w:r>
              <w:t xml:space="preserve">Explicit documentation of rights basis, statement URIs, source licensing terms, takedown risk, image-state reason, and publication decision. Generate whenever rights are not trivial.</w:t>
            </w:r>
          </w:p>
        </w:tc>
        <w:tc>
          <w:tcPr/>
          <w:p>
            <w:pPr>
              <w:pStyle w:val="Compact"/>
            </w:pPr>
            <w:r>
              <w:t xml:space="preserve">Any record state that needs rights explanation</w:t>
            </w:r>
          </w:p>
        </w:tc>
        <w:tc>
          <w:tcPr/>
          <w:p>
            <w:pPr>
              <w:pStyle w:val="Compact"/>
            </w:pPr>
            <w:r>
              <w:t xml:space="preserve">Public summary; internal legal notes can be separate and non-public</w:t>
            </w:r>
          </w:p>
        </w:tc>
        <w:tc>
          <w:tcPr/>
          <w:p>
            <w:pPr>
              <w:pStyle w:val="Compact"/>
            </w:pPr>
            <w:r>
              <w:t xml:space="preserve">Yes, subordinate</w:t>
            </w:r>
          </w:p>
        </w:tc>
        <w:tc>
          <w:tcPr/>
          <w:p>
            <w:pPr>
              <w:pStyle w:val="Compact"/>
            </w:pPr>
            <w:r>
              <w:t xml:space="preserve">Inherits parent chronology</w:t>
            </w:r>
          </w:p>
        </w:tc>
        <w:tc>
          <w:tcPr/>
          <w:p>
            <w:pPr>
              <w:pStyle w:val="Compact"/>
            </w:pPr>
            <w:r>
              <w:t xml:space="preserve">IMG04 only</w:t>
            </w:r>
          </w:p>
        </w:tc>
        <w:tc>
          <w:tcPr/>
          <w:p>
            <w:pPr>
              <w:pStyle w:val="Compact"/>
            </w:pPr>
            <w:r>
              <w:t xml:space="preserve">Usually via parent; optionally searchable in advanced rights search</w:t>
            </w:r>
          </w:p>
        </w:tc>
      </w:tr>
    </w:tbl>
    <w:bookmarkEnd w:id="30"/>
    <w:bookmarkStart w:id="31" w:name="registration-and-orientation-surfaces"/>
    <w:p>
      <w:pPr>
        <w:pStyle w:val="Heading3"/>
      </w:pPr>
      <w:r>
        <w:t xml:space="preserve">Registration and orientation surfaces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Surface type</w:t>
            </w:r>
          </w:p>
        </w:tc>
        <w:tc>
          <w:tcPr/>
          <w:p>
            <w:pPr>
              <w:pStyle w:val="Compact"/>
            </w:pPr>
            <w:r>
              <w:t xml:space="preserve">Purpose and generation rule</w:t>
            </w:r>
          </w:p>
        </w:tc>
        <w:tc>
          <w:tcPr/>
          <w:p>
            <w:pPr>
              <w:pStyle w:val="Compact"/>
            </w:pPr>
            <w:r>
              <w:t xml:space="preserve">Record states using it</w:t>
            </w:r>
          </w:p>
        </w:tc>
        <w:tc>
          <w:tcPr/>
          <w:p>
            <w:pPr>
              <w:pStyle w:val="Compact"/>
            </w:pPr>
            <w:r>
              <w:t xml:space="preserve">Public or internal</w:t>
            </w:r>
          </w:p>
        </w:tc>
        <w:tc>
          <w:tcPr/>
          <w:p>
            <w:pPr>
              <w:pStyle w:val="Compact"/>
            </w:pPr>
            <w:r>
              <w:t xml:space="preserve">Can appear inside folders</w:t>
            </w:r>
          </w:p>
        </w:tc>
        <w:tc>
          <w:tcPr/>
          <w:p>
            <w:pPr>
              <w:pStyle w:val="Compact"/>
            </w:pPr>
            <w:r>
              <w:t xml:space="preserve">Chronological by default</w:t>
            </w:r>
          </w:p>
        </w:tc>
        <w:tc>
          <w:tcPr/>
          <w:p>
            <w:pPr>
              <w:pStyle w:val="Compact"/>
            </w:pPr>
            <w:r>
              <w:t xml:space="preserve">IMG support</w:t>
            </w:r>
          </w:p>
        </w:tc>
        <w:tc>
          <w:tcPr/>
          <w:p>
            <w:pPr>
              <w:pStyle w:val="Compact"/>
            </w:pPr>
            <w:r>
              <w:t xml:space="preserve">Linkable from search</w:t>
            </w:r>
          </w:p>
        </w:tc>
      </w:tr>
      <w:tr>
        <w:tc>
          <w:tcPr/>
          <w:p>
            <w:pPr>
              <w:pStyle w:val="Compact"/>
            </w:pPr>
            <w:r>
              <w:rPr>
                <w:b/>
                <w:bCs/>
              </w:rPr>
              <w:t xml:space="preserve">Registration or log page</w:t>
            </w:r>
          </w:p>
        </w:tc>
        <w:tc>
          <w:tcPr/>
          <w:p>
            <w:pPr>
              <w:pStyle w:val="Compact"/>
            </w:pPr>
            <w:r>
              <w:t xml:space="preserve">Public record of accession-like events, batch imports, public change logs, or “record history” events. Generate at import, major revision, record merge/split, or public review milestones.</w:t>
            </w:r>
          </w:p>
        </w:tc>
        <w:tc>
          <w:tcPr/>
          <w:p>
            <w:pPr>
              <w:pStyle w:val="Compact"/>
            </w:pPr>
            <w:r>
              <w:rPr>
                <w:rStyle w:val="VerbatimChar"/>
              </w:rPr>
              <w:t xml:space="preserve">registration/log page</w:t>
            </w:r>
          </w:p>
        </w:tc>
        <w:tc>
          <w:tcPr/>
          <w:p>
            <w:pPr>
              <w:pStyle w:val="Compact"/>
            </w:pPr>
            <w:r>
              <w:t xml:space="preserve">Public summary; full audit log can remain internal</w:t>
            </w:r>
          </w:p>
        </w:tc>
        <w:tc>
          <w:tcPr/>
          <w:p>
            <w:pPr>
              <w:pStyle w:val="Compact"/>
            </w:pPr>
            <w:r>
              <w:t xml:space="preserve">Better outside normal folder browsing, but linkable from records</w:t>
            </w:r>
          </w:p>
        </w:tc>
        <w:tc>
          <w:tcPr/>
          <w:p>
            <w:pPr>
              <w:pStyle w:val="Compact"/>
            </w:pPr>
            <w:r>
              <w:t xml:space="preserve">Usually yes, by event date</w:t>
            </w:r>
          </w:p>
        </w:tc>
        <w:tc>
          <w:tcPr/>
          <w:p>
            <w:pPr>
              <w:pStyle w:val="Compact"/>
            </w:pPr>
            <w:r>
              <w:t xml:space="preserve">IMG04 only</w:t>
            </w:r>
          </w:p>
        </w:tc>
        <w:tc>
          <w:tcPr/>
          <w:p>
            <w:pPr>
              <w:pStyle w:val="Compact"/>
            </w:pPr>
            <w:r>
              <w:t xml:space="preserve">Prefer advanced search only, not ordinary user search</w:t>
            </w:r>
          </w:p>
        </w:tc>
      </w:tr>
    </w:tbl>
    <w:bookmarkEnd w:id="31"/>
    <w:bookmarkEnd w:id="32"/>
    <w:bookmarkStart w:id="33" w:name="incomplete-and-uncertain-records"/>
    <w:p>
      <w:pPr>
        <w:pStyle w:val="Heading2"/>
      </w:pPr>
      <w:r>
        <w:t xml:space="preserve">Incomplete and uncertain records</w:t>
      </w:r>
    </w:p>
    <w:p>
      <w:pPr>
        <w:pStyle w:val="FirstParagraph"/>
      </w:pPr>
      <w:r>
        <w:t xml:space="preserve">This project needs</w:t>
      </w:r>
      <w:r>
        <w:t xml:space="preserve"> </w:t>
      </w:r>
      <w:r>
        <w:rPr>
          <w:b/>
          <w:bCs/>
        </w:rPr>
        <w:t xml:space="preserve">five different forms of incompleteness</w:t>
      </w:r>
      <w:r>
        <w:t xml:space="preserve">, because cultural heritage systems already distinguish between full descriptions, minimal descriptions, restricted records, “research in progress” records, and series-level or file-level records that never become item-level descriptions. Smithsonian’s public “Research in Progress” pages, OCLC’s minimal and abbreviated cataloging levels, and archival finding aids that stop at the series or file-unit level all support this approach.</w:t>
      </w:r>
      <w:r>
        <w:t xml:space="preserve"> </w:t>
      </w:r>
      <w:hyperlink r:id="rId25">
        <w:r>
          <w:rPr>
            <w:rStyle w:val="Hyperlink"/>
          </w:rPr>
          <w:t xml:space="preserve">[7]</w:t>
        </w:r>
      </w:hyperlink>
    </w:p>
    <w:p>
      <w:pPr>
        <w:pStyle w:val="BodyText"/>
      </w:pPr>
      <w:r>
        <w:t xml:space="preserve">The most important distinction is this:</w:t>
      </w:r>
      <w:r>
        <w:t xml:space="preserve"> </w:t>
      </w:r>
      <w:r>
        <w:rPr>
          <w:b/>
          <w:bCs/>
        </w:rPr>
        <w:t xml:space="preserve">a card is not a stub, a stub is not an unassigned item, and an unassigned item is not a proposed cell</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w:t>
            </w:r>
          </w:p>
        </w:tc>
        <w:tc>
          <w:tcPr/>
          <w:p>
            <w:pPr>
              <w:pStyle w:val="Compact"/>
            </w:pPr>
            <w:r>
              <w:t xml:space="preserve">What it is</w:t>
            </w:r>
          </w:p>
        </w:tc>
        <w:tc>
          <w:tcPr/>
          <w:p>
            <w:pPr>
              <w:pStyle w:val="Compact"/>
            </w:pPr>
            <w:r>
              <w:t xml:space="preserve">Minimum threshold</w:t>
            </w:r>
          </w:p>
        </w:tc>
        <w:tc>
          <w:tcPr/>
          <w:p>
            <w:pPr>
              <w:pStyle w:val="Compact"/>
            </w:pPr>
            <w:r>
              <w:t xml:space="preserve">Life cycle</w:t>
            </w:r>
          </w:p>
        </w:tc>
        <w:tc>
          <w:tcPr/>
          <w:p>
            <w:pPr>
              <w:pStyle w:val="Compact"/>
            </w:pPr>
            <w:r>
              <w:t xml:space="preserve">Search behavior</w:t>
            </w:r>
          </w:p>
        </w:tc>
      </w:tr>
      <w:tr>
        <w:tc>
          <w:tcPr/>
          <w:p>
            <w:pPr>
              <w:pStyle w:val="Compact"/>
            </w:pPr>
            <w:r>
              <w:rPr>
                <w:b/>
                <w:bCs/>
              </w:rPr>
              <w:t xml:space="preserve">Card</w:t>
            </w:r>
          </w:p>
        </w:tc>
        <w:tc>
          <w:tcPr/>
          <w:p>
            <w:pPr>
              <w:pStyle w:val="Compact"/>
            </w:pPr>
            <w:r>
              <w:t xml:space="preserve">A compact but meaningful public record for a real entity</w:t>
            </w:r>
          </w:p>
        </w:tc>
        <w:tc>
          <w:tcPr/>
          <w:p>
            <w:pPr>
              <w:pStyle w:val="Compact"/>
            </w:pPr>
            <w:r>
              <w:t xml:space="preserve">Stable identity, at least one meaningful date or date range, at least one source, enough content to justify placement in chronology</w:t>
            </w:r>
          </w:p>
        </w:tc>
        <w:tc>
          <w:tcPr/>
          <w:p>
            <w:pPr>
              <w:pStyle w:val="Compact"/>
            </w:pPr>
            <w:r>
              <w:t xml:space="preserve">Can mature into a main sheet</w:t>
            </w:r>
          </w:p>
        </w:tc>
        <w:tc>
          <w:tcPr/>
          <w:p>
            <w:pPr>
              <w:pStyle w:val="Compact"/>
            </w:pPr>
            <w:r>
              <w:t xml:space="preserve">Fully searchable</w:t>
            </w:r>
          </w:p>
        </w:tc>
      </w:tr>
      <w:tr>
        <w:tc>
          <w:tcPr/>
          <w:p>
            <w:pPr>
              <w:pStyle w:val="Compact"/>
            </w:pPr>
            <w:r>
              <w:rPr>
                <w:b/>
                <w:bCs/>
              </w:rPr>
              <w:t xml:space="preserve">Fallback stub</w:t>
            </w:r>
          </w:p>
        </w:tc>
        <w:tc>
          <w:tcPr/>
          <w:p>
            <w:pPr>
              <w:pStyle w:val="Compact"/>
            </w:pPr>
            <w:r>
              <w:t xml:space="preserve">A minimal anchor for something probably worth keeping visible</w:t>
            </w:r>
          </w:p>
        </w:tc>
        <w:tc>
          <w:tcPr/>
          <w:p>
            <w:pPr>
              <w:pStyle w:val="Compact"/>
            </w:pPr>
            <w:r>
              <w:t xml:space="preserve">Label/title-ish identifier plus source pointer; date may be weak or missing</w:t>
            </w:r>
          </w:p>
        </w:tc>
        <w:tc>
          <w:tcPr/>
          <w:p>
            <w:pPr>
              <w:pStyle w:val="Compact"/>
            </w:pPr>
            <w:r>
              <w:t xml:space="preserve">Can become a card later, or be merged/discarded</w:t>
            </w:r>
          </w:p>
        </w:tc>
        <w:tc>
          <w:tcPr/>
          <w:p>
            <w:pPr>
              <w:pStyle w:val="Compact"/>
            </w:pPr>
            <w:r>
              <w:t xml:space="preserve">Searchable, but should rank below cards and sheets</w:t>
            </w:r>
          </w:p>
        </w:tc>
      </w:tr>
      <w:tr>
        <w:tc>
          <w:tcPr/>
          <w:p>
            <w:pPr>
              <w:pStyle w:val="Compact"/>
            </w:pPr>
            <w:r>
              <w:rPr>
                <w:b/>
                <w:bCs/>
              </w:rPr>
              <w:t xml:space="preserve">Unassigned research item</w:t>
            </w:r>
          </w:p>
        </w:tc>
        <w:tc>
          <w:tcPr/>
          <w:p>
            <w:pPr>
              <w:pStyle w:val="Compact"/>
            </w:pPr>
            <w:r>
              <w:t xml:space="preserve">A real evidence bundle whose target entity or classification is not yet stable</w:t>
            </w:r>
          </w:p>
        </w:tc>
        <w:tc>
          <w:tcPr/>
          <w:p>
            <w:pPr>
              <w:pStyle w:val="Compact"/>
            </w:pPr>
            <w:r>
              <w:t xml:space="preserve">Some evidence exists, but the thing itself is unresolved</w:t>
            </w:r>
          </w:p>
        </w:tc>
        <w:tc>
          <w:tcPr/>
          <w:p>
            <w:pPr>
              <w:pStyle w:val="Compact"/>
            </w:pPr>
            <w:r>
              <w:t xml:space="preserve">Can mature into stub, card, or main sheet once identity stabilizes</w:t>
            </w:r>
          </w:p>
        </w:tc>
        <w:tc>
          <w:tcPr/>
          <w:p>
            <w:pPr>
              <w:pStyle w:val="Compact"/>
            </w:pPr>
            <w:r>
              <w:t xml:space="preserve">Searchable, ideally with an “unassigned” badge</w:t>
            </w:r>
          </w:p>
        </w:tc>
      </w:tr>
      <w:tr>
        <w:tc>
          <w:tcPr/>
          <w:p>
            <w:pPr>
              <w:pStyle w:val="Compact"/>
            </w:pPr>
            <w:r>
              <w:rPr>
                <w:b/>
                <w:bCs/>
              </w:rPr>
              <w:t xml:space="preserve">Proposed cell item</w:t>
            </w:r>
          </w:p>
        </w:tc>
        <w:tc>
          <w:tcPr/>
          <w:p>
            <w:pPr>
              <w:pStyle w:val="Compact"/>
            </w:pPr>
            <w:r>
              <w:t xml:space="preserve">A proposal for a taxonomy slot, not an object/work/person record</w:t>
            </w:r>
          </w:p>
        </w:tc>
        <w:tc>
          <w:tcPr/>
          <w:p>
            <w:pPr>
              <w:pStyle w:val="Compact"/>
            </w:pPr>
            <w:r>
              <w:t xml:space="preserve">Repeated evidence for a new cluster, but not enough authority or confidence to create a canonical folder term</w:t>
            </w:r>
          </w:p>
        </w:tc>
        <w:tc>
          <w:tcPr/>
          <w:p>
            <w:pPr>
              <w:pStyle w:val="Compact"/>
            </w:pPr>
            <w:r>
              <w:t xml:space="preserve">Can become a new folder/cell or be withdrawn</w:t>
            </w:r>
          </w:p>
        </w:tc>
        <w:tc>
          <w:tcPr/>
          <w:p>
            <w:pPr>
              <w:pStyle w:val="Compact"/>
            </w:pPr>
            <w:r>
              <w:t xml:space="preserve">Searchable, but visibly marked as provisional</w:t>
            </w:r>
          </w:p>
        </w:tc>
      </w:tr>
      <w:tr>
        <w:tc>
          <w:tcPr/>
          <w:p>
            <w:pPr>
              <w:pStyle w:val="Compact"/>
            </w:pPr>
            <w:r>
              <w:rPr>
                <w:b/>
                <w:bCs/>
              </w:rPr>
              <w:t xml:space="preserve">Appendix row</w:t>
            </w:r>
          </w:p>
        </w:tc>
        <w:tc>
          <w:tcPr/>
          <w:p>
            <w:pPr>
              <w:pStyle w:val="Compact"/>
            </w:pPr>
            <w:r>
              <w:t xml:space="preserve">A subordinate line inside an appendix page, dossier, or folder index</w:t>
            </w:r>
          </w:p>
        </w:tc>
        <w:tc>
          <w:tcPr/>
          <w:p>
            <w:pPr>
              <w:pStyle w:val="Compact"/>
            </w:pPr>
            <w:r>
              <w:t xml:space="preserve">No independent threshold; it depends on the parent page</w:t>
            </w:r>
          </w:p>
        </w:tc>
        <w:tc>
          <w:tcPr/>
          <w:p>
            <w:pPr>
              <w:pStyle w:val="Compact"/>
            </w:pPr>
            <w:r>
              <w:t xml:space="preserve">Usually never promoted unless it becomes a real record</w:t>
            </w:r>
          </w:p>
        </w:tc>
        <w:tc>
          <w:tcPr/>
          <w:p>
            <w:pPr>
              <w:pStyle w:val="Compact"/>
            </w:pPr>
            <w:r>
              <w:t xml:space="preserve">Normally not first-tier search material</w:t>
            </w:r>
          </w:p>
        </w:tc>
      </w:tr>
    </w:tbl>
    <w:p>
      <w:pPr>
        <w:pStyle w:val="BodyText"/>
      </w:pPr>
      <w:r>
        <w:t xml:space="preserve">A</w:t>
      </w:r>
      <w:r>
        <w:t xml:space="preserve"> </w:t>
      </w:r>
      <w:r>
        <w:rPr>
          <w:b/>
          <w:bCs/>
        </w:rPr>
        <w:t xml:space="preserve">card</w:t>
      </w:r>
      <w:r>
        <w:t xml:space="preserve"> </w:t>
      </w:r>
      <w:r>
        <w:t xml:space="preserve">should be used when the project can say, publicly and with reasonable confidence, “this is a real record worth seeing now, even though it is incomplete.” A</w:t>
      </w:r>
      <w:r>
        <w:t xml:space="preserve"> </w:t>
      </w:r>
      <w:r>
        <w:rPr>
          <w:b/>
          <w:bCs/>
        </w:rPr>
        <w:t xml:space="preserve">fallback stub</w:t>
      </w:r>
      <w:r>
        <w:t xml:space="preserve"> </w:t>
      </w:r>
      <w:r>
        <w:t xml:space="preserve">should be used when the system can only say, “this likely exists or matters, and here is the anchor back to the source.” The difference is not visual richness; it is whether the record has enough intellectual stability to support compact interpretation.</w:t>
      </w:r>
    </w:p>
    <w:p>
      <w:pPr>
        <w:pStyle w:val="BodyText"/>
      </w:pPr>
      <w:r>
        <w:t xml:space="preserve">An</w:t>
      </w:r>
      <w:r>
        <w:t xml:space="preserve"> </w:t>
      </w:r>
      <w:r>
        <w:rPr>
          <w:b/>
          <w:bCs/>
        </w:rPr>
        <w:t xml:space="preserve">unassigned research item</w:t>
      </w:r>
      <w:r>
        <w:t xml:space="preserve"> </w:t>
      </w:r>
      <w:r>
        <w:t xml:space="preserve">is different from both. It is not simply “small” or “incomplete”; it is</w:t>
      </w:r>
      <w:r>
        <w:t xml:space="preserve"> </w:t>
      </w:r>
      <w:r>
        <w:rPr>
          <w:b/>
          <w:bCs/>
        </w:rPr>
        <w:t xml:space="preserve">not yet settled as a record target</w:t>
      </w:r>
      <w:r>
        <w:t xml:space="preserve">. The system may know that a source refers to a poster campaign, a catalog essay, a designer collaboration, or a regional archive lead, but may not yet know whether that evidence belongs to an existing record, a new record, a group sheet, or a discarded false positive. This surface is valuable precisely because it keeps public research honest.</w:t>
      </w:r>
    </w:p>
    <w:p>
      <w:pPr>
        <w:pStyle w:val="BodyText"/>
      </w:pPr>
      <w:r>
        <w:t xml:space="preserve">A</w:t>
      </w:r>
      <w:r>
        <w:t xml:space="preserve"> </w:t>
      </w:r>
      <w:r>
        <w:rPr>
          <w:b/>
          <w:bCs/>
        </w:rPr>
        <w:t xml:space="preserve">proposed cell item</w:t>
      </w:r>
      <w:r>
        <w:t xml:space="preserve"> </w:t>
      </w:r>
      <w:r>
        <w:t xml:space="preserve">is about the system’s taxonomy, not just about a source. It says: there seems to be enough evidence for a possible new Movement or Theme node, but not enough to authorize it yet. This should not be folded into “unassigned,” because the intellectual question is different: one concerns unresolved</w:t>
      </w:r>
      <w:r>
        <w:t xml:space="preserve"> </w:t>
      </w:r>
      <w:r>
        <w:rPr>
          <w:b/>
          <w:bCs/>
        </w:rPr>
        <w:t xml:space="preserve">entities</w:t>
      </w:r>
      <w:r>
        <w:t xml:space="preserve">, the other unresolved</w:t>
      </w:r>
      <w:r>
        <w:t xml:space="preserve"> </w:t>
      </w:r>
      <w:r>
        <w:rPr>
          <w:b/>
          <w:bCs/>
        </w:rPr>
        <w:t xml:space="preserve">classification structure</w:t>
      </w:r>
      <w:r>
        <w:t xml:space="preserve">.</w:t>
      </w:r>
    </w:p>
    <w:p>
      <w:pPr>
        <w:pStyle w:val="BodyText"/>
      </w:pPr>
      <w:r>
        <w:t xml:space="preserve">An</w:t>
      </w:r>
      <w:r>
        <w:t xml:space="preserve"> </w:t>
      </w:r>
      <w:r>
        <w:rPr>
          <w:b/>
          <w:bCs/>
        </w:rPr>
        <w:t xml:space="preserve">appendix row</w:t>
      </w:r>
      <w:r>
        <w:t xml:space="preserve"> </w:t>
      </w:r>
      <w:r>
        <w:t xml:space="preserve">should never be treated as a disguised tiny record. It is subordinate evidence living inside a parent dossier, citation appendix, relation appendix, or folder index. If you allow appendix rows to behave like records, the system will silently reintroduce redundant record classes and become hard to govern.</w:t>
      </w:r>
    </w:p>
    <w:bookmarkEnd w:id="33"/>
    <w:bookmarkStart w:id="36" w:name="folder-behavior-and-chronology-rules"/>
    <w:p>
      <w:pPr>
        <w:pStyle w:val="Heading2"/>
      </w:pPr>
      <w:r>
        <w:t xml:space="preserve">Folder behavior and chronology rules</w:t>
      </w:r>
    </w:p>
    <w:p>
      <w:pPr>
        <w:pStyle w:val="FirstParagraph"/>
      </w:pPr>
      <w:r>
        <w:t xml:space="preserve">The four folders should remain exactly as you specified:</w:t>
      </w:r>
      <w:r>
        <w:t xml:space="preserve"> </w:t>
      </w:r>
      <w:r>
        <w:rPr>
          <w:b/>
          <w:bCs/>
        </w:rPr>
        <w:t xml:space="preserve">Region, Theme, Medium, Movement</w:t>
      </w:r>
      <w:r>
        <w:t xml:space="preserve">. Publicly, they are</w:t>
      </w:r>
      <w:r>
        <w:t xml:space="preserve"> </w:t>
      </w:r>
      <w:r>
        <w:rPr>
          <w:b/>
          <w:bCs/>
        </w:rPr>
        <w:t xml:space="preserve">aggregation/filter views</w:t>
      </w:r>
      <w:r>
        <w:t xml:space="preserve">, not content containers. This is the most defensible approach because archival systems usually assume one parent in the archival hierarchy, while art-information systems separately support related works, sets, collections, and cross-links. If you tried to make the public folders into “real containers,” the same record would be forced into conflicting parentage. Treat them instead as stable discovery surfaces built over linked records.</w:t>
      </w:r>
      <w:r>
        <w:t xml:space="preserve"> </w:t>
      </w:r>
      <w:hyperlink r:id="rId34">
        <w:r>
          <w:rPr>
            <w:rStyle w:val="Hyperlink"/>
          </w:rPr>
          <w:t xml:space="preserve">[8]</w:t>
        </w:r>
      </w:hyperlink>
    </w:p>
    <w:p>
      <w:pPr>
        <w:pStyle w:val="BodyText"/>
      </w:pPr>
      <w:r>
        <w:t xml:space="preserve">Each folder should therefore have only two public surfaces of its own:</w:t>
      </w:r>
    </w:p>
    <w:p>
      <w:pPr>
        <w:pStyle w:val="Compact"/>
        <w:numPr>
          <w:ilvl w:val="0"/>
          <w:numId w:val="1002"/>
        </w:numPr>
      </w:pPr>
      <w:r>
        <w:t xml:space="preserve">a</w:t>
      </w:r>
      <w:r>
        <w:t xml:space="preserve"> </w:t>
      </w:r>
      <w:r>
        <w:rPr>
          <w:b/>
          <w:bCs/>
        </w:rPr>
        <w:t xml:space="preserve">folder cover</w:t>
      </w:r>
      <w:r>
        <w:t xml:space="preserve">, which defines the term and its scope;</w:t>
      </w:r>
    </w:p>
    <w:p>
      <w:pPr>
        <w:pStyle w:val="Compact"/>
        <w:numPr>
          <w:ilvl w:val="0"/>
          <w:numId w:val="1002"/>
        </w:numPr>
      </w:pPr>
      <w:r>
        <w:t xml:space="preserve">a</w:t>
      </w:r>
      <w:r>
        <w:t xml:space="preserve"> </w:t>
      </w:r>
      <w:r>
        <w:rPr>
          <w:b/>
          <w:bCs/>
        </w:rPr>
        <w:t xml:space="preserve">folder index</w:t>
      </w:r>
      <w:r>
        <w:t xml:space="preserve">, which lists member records in chronological order.</w:t>
      </w:r>
    </w:p>
    <w:p>
      <w:pPr>
        <w:pStyle w:val="FirstParagraph"/>
      </w:pPr>
      <w:r>
        <w:t xml:space="preserve">Folder color may differ by folder type, but it should do only one job: signal which aggregation family the user is in. It should</w:t>
      </w:r>
      <w:r>
        <w:t xml:space="preserve"> </w:t>
      </w:r>
      <w:r>
        <w:rPr>
          <w:b/>
          <w:bCs/>
        </w:rPr>
        <w:t xml:space="preserve">not</w:t>
      </w:r>
      <w:r>
        <w:t xml:space="preserve"> </w:t>
      </w:r>
      <w:r>
        <w:t xml:space="preserve">alter the record surface type. A single record should look like the same record whether it is reached from a Region folder or a Movement folder.</w:t>
      </w:r>
    </w:p>
    <w:p>
      <w:pPr>
        <w:pStyle w:val="BodyText"/>
      </w:pPr>
      <w:r>
        <w:t xml:space="preserve">Chronology should be implemented with</w:t>
      </w:r>
      <w:r>
        <w:t xml:space="preserve"> </w:t>
      </w:r>
      <w:r>
        <w:rPr>
          <w:b/>
          <w:bCs/>
        </w:rPr>
        <w:t xml:space="preserve">one public display date</w:t>
      </w:r>
      <w:r>
        <w:t xml:space="preserve"> </w:t>
      </w:r>
      <w:r>
        <w:t xml:space="preserve">and</w:t>
      </w:r>
      <w:r>
        <w:t xml:space="preserve"> </w:t>
      </w:r>
      <w:r>
        <w:rPr>
          <w:b/>
          <w:bCs/>
        </w:rPr>
        <w:t xml:space="preserve">one normalized sort interval</w:t>
      </w:r>
      <w:r>
        <w:t xml:space="preserve">. DACS gives you the essential display logic — inclusive dates, bulk/predominant dates, estimated dates, exact dates, and undated — while EAD and EDTF give you machine-sortable normalization, certainty qualifiers, and open or uncertain intervals. The public interface should show human language such as “circa 1930,” “before 1952,” or “undated,” while the system stores normalized sort data underneath.</w:t>
      </w:r>
      <w:r>
        <w:t xml:space="preserve"> </w:t>
      </w:r>
      <w:hyperlink r:id="rId35">
        <w:r>
          <w:rPr>
            <w:rStyle w:val="Hyperlink"/>
          </w:rPr>
          <w:t xml:space="preserve">[9]</w:t>
        </w:r>
      </w:hyperlink>
    </w:p>
    <w:p>
      <w:pPr>
        <w:pStyle w:val="BodyText"/>
      </w:pPr>
      <w:r>
        <w:t xml:space="preserve">A practical date policy for this project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 situation</w:t>
            </w:r>
          </w:p>
        </w:tc>
        <w:tc>
          <w:tcPr/>
          <w:p>
            <w:pPr>
              <w:pStyle w:val="Compact"/>
            </w:pPr>
            <w:r>
              <w:t xml:space="preserve">Public display</w:t>
            </w:r>
          </w:p>
        </w:tc>
        <w:tc>
          <w:tcPr/>
          <w:p>
            <w:pPr>
              <w:pStyle w:val="Compact"/>
            </w:pPr>
            <w:r>
              <w:t xml:space="preserve">Sort behavior</w:t>
            </w:r>
          </w:p>
        </w:tc>
        <w:tc>
          <w:tcPr/>
          <w:p>
            <w:pPr>
              <w:pStyle w:val="Compact"/>
            </w:pPr>
            <w:r>
              <w:t xml:space="preserve">Notes</w:t>
            </w:r>
          </w:p>
        </w:tc>
      </w:tr>
      <w:tr>
        <w:tc>
          <w:tcPr/>
          <w:p>
            <w:pPr>
              <w:pStyle w:val="Compact"/>
            </w:pPr>
            <w:r>
              <w:rPr>
                <w:b/>
                <w:bCs/>
              </w:rPr>
              <w:t xml:space="preserve">Exact</w:t>
            </w:r>
          </w:p>
        </w:tc>
        <w:tc>
          <w:tcPr/>
          <w:p>
            <w:pPr>
              <w:pStyle w:val="Compact"/>
            </w:pPr>
            <w:r>
              <w:rPr>
                <w:rStyle w:val="VerbatimChar"/>
              </w:rPr>
              <w:t xml:space="preserve">1933</w:t>
            </w:r>
            <w:r>
              <w:t xml:space="preserve"> </w:t>
            </w:r>
            <w:r>
              <w:t xml:space="preserve">or</w:t>
            </w:r>
            <w:r>
              <w:t xml:space="preserve"> </w:t>
            </w:r>
            <w:r>
              <w:rPr>
                <w:rStyle w:val="VerbatimChar"/>
              </w:rPr>
              <w:t xml:space="preserve">1933 March 17</w:t>
            </w:r>
          </w:p>
        </w:tc>
        <w:tc>
          <w:tcPr/>
          <w:p>
            <w:pPr>
              <w:pStyle w:val="Compact"/>
            </w:pPr>
            <w:r>
              <w:t xml:space="preserve">Sort by exact start date</w:t>
            </w:r>
          </w:p>
        </w:tc>
        <w:tc>
          <w:tcPr/>
          <w:p>
            <w:pPr>
              <w:pStyle w:val="Compact"/>
            </w:pPr>
            <w:r>
              <w:t xml:space="preserve">Most straightforward case</w:t>
            </w:r>
          </w:p>
        </w:tc>
      </w:tr>
      <w:tr>
        <w:tc>
          <w:tcPr/>
          <w:p>
            <w:pPr>
              <w:pStyle w:val="Compact"/>
            </w:pPr>
            <w:r>
              <w:rPr>
                <w:b/>
                <w:bCs/>
              </w:rPr>
              <w:t xml:space="preserve">Inclusive range</w:t>
            </w:r>
          </w:p>
        </w:tc>
        <w:tc>
          <w:tcPr/>
          <w:p>
            <w:pPr>
              <w:pStyle w:val="Compact"/>
            </w:pPr>
            <w:r>
              <w:rPr>
                <w:rStyle w:val="VerbatimChar"/>
              </w:rPr>
              <w:t xml:space="preserve">1928–1930</w:t>
            </w:r>
          </w:p>
        </w:tc>
        <w:tc>
          <w:tcPr/>
          <w:p>
            <w:pPr>
              <w:pStyle w:val="Compact"/>
            </w:pPr>
            <w:r>
              <w:t xml:space="preserve">Sort by start date; keep end date for filters</w:t>
            </w:r>
          </w:p>
        </w:tc>
        <w:tc>
          <w:tcPr/>
          <w:p>
            <w:pPr>
              <w:pStyle w:val="Compact"/>
            </w:pPr>
            <w:r>
              <w:t xml:space="preserve">Good for campaigns, publications, exhibitions</w:t>
            </w:r>
          </w:p>
        </w:tc>
      </w:tr>
      <w:tr>
        <w:tc>
          <w:tcPr/>
          <w:p>
            <w:pPr>
              <w:pStyle w:val="Compact"/>
            </w:pPr>
            <w:r>
              <w:rPr>
                <w:b/>
                <w:bCs/>
              </w:rPr>
              <w:t xml:space="preserve">Bulk/predominant</w:t>
            </w:r>
          </w:p>
        </w:tc>
        <w:tc>
          <w:tcPr/>
          <w:p>
            <w:pPr>
              <w:pStyle w:val="Compact"/>
            </w:pPr>
            <w:r>
              <w:rPr>
                <w:rStyle w:val="VerbatimChar"/>
              </w:rPr>
              <w:t xml:space="preserve">1785–1960, bulk 1916–1958</w:t>
            </w:r>
            <w:r>
              <w:t xml:space="preserve"> </w:t>
            </w:r>
            <w:r>
              <w:t xml:space="preserve">style logic</w:t>
            </w:r>
          </w:p>
        </w:tc>
        <w:tc>
          <w:tcPr/>
          <w:p>
            <w:pPr>
              <w:pStyle w:val="Compact"/>
            </w:pPr>
            <w:r>
              <w:t xml:space="preserve">Sort by inclusive start; expose bulk date as descriptive help</w:t>
            </w:r>
          </w:p>
        </w:tc>
        <w:tc>
          <w:tcPr/>
          <w:p>
            <w:pPr>
              <w:pStyle w:val="Compact"/>
            </w:pPr>
            <w:r>
              <w:t xml:space="preserve">Do not sort purely by bulk date</w:t>
            </w:r>
          </w:p>
        </w:tc>
      </w:tr>
      <w:tr>
        <w:tc>
          <w:tcPr/>
          <w:p>
            <w:pPr>
              <w:pStyle w:val="Compact"/>
            </w:pPr>
            <w:r>
              <w:rPr>
                <w:b/>
                <w:bCs/>
              </w:rPr>
              <w:t xml:space="preserve">Approximate/circa</w:t>
            </w:r>
          </w:p>
        </w:tc>
        <w:tc>
          <w:tcPr/>
          <w:p>
            <w:pPr>
              <w:pStyle w:val="Compact"/>
            </w:pPr>
            <w:r>
              <w:rPr>
                <w:rStyle w:val="VerbatimChar"/>
              </w:rPr>
              <w:t xml:space="preserve">circa 1930</w:t>
            </w:r>
            <w:r>
              <w:t xml:space="preserve">,</w:t>
            </w:r>
            <w:r>
              <w:t xml:space="preserve"> </w:t>
            </w:r>
            <w:r>
              <w:rPr>
                <w:rStyle w:val="VerbatimChar"/>
              </w:rPr>
              <w:t xml:space="preserve">approximately 1952–1978</w:t>
            </w:r>
          </w:p>
        </w:tc>
        <w:tc>
          <w:tcPr/>
          <w:p>
            <w:pPr>
              <w:pStyle w:val="Compact"/>
            </w:pPr>
            <w:r>
              <w:t xml:space="preserve">Sort by normalized range, not by a fake exact year</w:t>
            </w:r>
          </w:p>
        </w:tc>
        <w:tc>
          <w:tcPr/>
          <w:p>
            <w:pPr>
              <w:pStyle w:val="Compact"/>
            </w:pPr>
            <w:r>
              <w:t xml:space="preserve">Preserve uncertainty visibly</w:t>
            </w:r>
          </w:p>
        </w:tc>
      </w:tr>
      <w:tr>
        <w:tc>
          <w:tcPr/>
          <w:p>
            <w:pPr>
              <w:pStyle w:val="Compact"/>
            </w:pPr>
            <w:r>
              <w:rPr>
                <w:b/>
                <w:bCs/>
              </w:rPr>
              <w:t xml:space="preserve">Before/after/or</w:t>
            </w:r>
          </w:p>
        </w:tc>
        <w:tc>
          <w:tcPr/>
          <w:p>
            <w:pPr>
              <w:pStyle w:val="Compact"/>
            </w:pPr>
            <w:r>
              <w:rPr>
                <w:rStyle w:val="VerbatimChar"/>
              </w:rPr>
              <w:t xml:space="preserve">before 1867</w:t>
            </w:r>
            <w:r>
              <w:t xml:space="preserve">,</w:t>
            </w:r>
            <w:r>
              <w:t xml:space="preserve"> </w:t>
            </w:r>
            <w:r>
              <w:rPr>
                <w:rStyle w:val="VerbatimChar"/>
              </w:rPr>
              <w:t xml:space="preserve">1892 or 1893</w:t>
            </w:r>
          </w:p>
        </w:tc>
        <w:tc>
          <w:tcPr/>
          <w:p>
            <w:pPr>
              <w:pStyle w:val="Compact"/>
            </w:pPr>
            <w:r>
              <w:t xml:space="preserve">Sort by earliest plausible boundary; mark as uncertain</w:t>
            </w:r>
          </w:p>
        </w:tc>
        <w:tc>
          <w:tcPr/>
          <w:p>
            <w:pPr>
              <w:pStyle w:val="Compact"/>
            </w:pPr>
            <w:r>
              <w:t xml:space="preserve">Do not collapse to false precision</w:t>
            </w:r>
          </w:p>
        </w:tc>
      </w:tr>
      <w:tr>
        <w:tc>
          <w:tcPr/>
          <w:p>
            <w:pPr>
              <w:pStyle w:val="Compact"/>
            </w:pPr>
            <w:r>
              <w:rPr>
                <w:b/>
                <w:bCs/>
              </w:rPr>
              <w:t xml:space="preserve">Contextual or inferred</w:t>
            </w:r>
          </w:p>
        </w:tc>
        <w:tc>
          <w:tcPr/>
          <w:p>
            <w:pPr>
              <w:pStyle w:val="Compact"/>
            </w:pPr>
            <w:r>
              <w:rPr>
                <w:rStyle w:val="VerbatimChar"/>
              </w:rPr>
              <w:t xml:space="preserve">context date: 1978</w:t>
            </w:r>
            <w:r>
              <w:t xml:space="preserve">,</w:t>
            </w:r>
            <w:r>
              <w:t xml:space="preserve"> </w:t>
            </w:r>
            <w:r>
              <w:rPr>
                <w:rStyle w:val="VerbatimChar"/>
              </w:rPr>
              <w:t xml:space="preserve">publication date used for chronology</w:t>
            </w:r>
          </w:p>
        </w:tc>
        <w:tc>
          <w:tcPr/>
          <w:p>
            <w:pPr>
              <w:pStyle w:val="Compact"/>
            </w:pPr>
            <w:r>
              <w:t xml:space="preserve">Sort by declared chronology basis and normalized range</w:t>
            </w:r>
          </w:p>
        </w:tc>
        <w:tc>
          <w:tcPr/>
          <w:p>
            <w:pPr>
              <w:pStyle w:val="Compact"/>
            </w:pPr>
            <w:r>
              <w:t xml:space="preserve">Label the basis so users know what kind of date it is</w:t>
            </w:r>
          </w:p>
        </w:tc>
      </w:tr>
      <w:tr>
        <w:tc>
          <w:tcPr/>
          <w:p>
            <w:pPr>
              <w:pStyle w:val="Compact"/>
            </w:pPr>
            <w:r>
              <w:rPr>
                <w:b/>
                <w:bCs/>
              </w:rPr>
              <w:t xml:space="preserve">Undated</w:t>
            </w:r>
          </w:p>
        </w:tc>
        <w:tc>
          <w:tcPr/>
          <w:p>
            <w:pPr>
              <w:pStyle w:val="Compact"/>
            </w:pPr>
            <w:r>
              <w:rPr>
                <w:rStyle w:val="VerbatimChar"/>
              </w:rPr>
              <w:t xml:space="preserve">undated</w:t>
            </w:r>
          </w:p>
        </w:tc>
        <w:tc>
          <w:tcPr/>
          <w:p>
            <w:pPr>
              <w:pStyle w:val="Compact"/>
            </w:pPr>
            <w:r>
              <w:t xml:space="preserve">Place in a terminal</w:t>
            </w:r>
            <w:r>
              <w:t xml:space="preserve"> </w:t>
            </w:r>
            <w:r>
              <w:rPr>
                <w:b/>
                <w:bCs/>
              </w:rPr>
              <w:t xml:space="preserve">Undated / date uncertain</w:t>
            </w:r>
            <w:r>
              <w:t xml:space="preserve"> </w:t>
            </w:r>
            <w:r>
              <w:t xml:space="preserve">segment within each folder</w:t>
            </w:r>
          </w:p>
        </w:tc>
        <w:tc>
          <w:tcPr/>
          <w:p>
            <w:pPr>
              <w:pStyle w:val="Compact"/>
            </w:pPr>
            <w:r>
              <w:t xml:space="preserve">Still allow contextual dating in filters if internally justified</w:t>
            </w:r>
          </w:p>
        </w:tc>
      </w:tr>
    </w:tbl>
    <w:p>
      <w:pPr>
        <w:pStyle w:val="BodyText"/>
      </w:pPr>
      <w:r>
        <w:t xml:space="preserve">A record should also store a</w:t>
      </w:r>
      <w:r>
        <w:t xml:space="preserve"> </w:t>
      </w:r>
      <w:r>
        <w:rPr>
          <w:b/>
          <w:bCs/>
        </w:rPr>
        <w:t xml:space="preserve">chronology basis</w:t>
      </w:r>
      <w:r>
        <w:t xml:space="preserve"> </w:t>
      </w:r>
      <w:r>
        <w:t xml:space="preserve">such as</w:t>
      </w:r>
      <w:r>
        <w:t xml:space="preserve"> </w:t>
      </w:r>
      <w:r>
        <w:rPr>
          <w:rStyle w:val="VerbatimChar"/>
        </w:rPr>
        <w:t xml:space="preserve">creation</w:t>
      </w:r>
      <w:r>
        <w:t xml:space="preserve">,</w:t>
      </w:r>
      <w:r>
        <w:t xml:space="preserve"> </w:t>
      </w:r>
      <w:r>
        <w:rPr>
          <w:rStyle w:val="VerbatimChar"/>
        </w:rPr>
        <w:t xml:space="preserve">publication</w:t>
      </w:r>
      <w:r>
        <w:t xml:space="preserve">,</w:t>
      </w:r>
      <w:r>
        <w:t xml:space="preserve"> </w:t>
      </w:r>
      <w:r>
        <w:rPr>
          <w:rStyle w:val="VerbatimChar"/>
        </w:rPr>
        <w:t xml:space="preserve">issue</w:t>
      </w:r>
      <w:r>
        <w:t xml:space="preserve">,</w:t>
      </w:r>
      <w:r>
        <w:t xml:space="preserve"> </w:t>
      </w:r>
      <w:r>
        <w:rPr>
          <w:rStyle w:val="VerbatimChar"/>
        </w:rPr>
        <w:t xml:space="preserve">exhibition</w:t>
      </w:r>
      <w:r>
        <w:t xml:space="preserve">,</w:t>
      </w:r>
      <w:r>
        <w:t xml:space="preserve"> </w:t>
      </w:r>
      <w:r>
        <w:rPr>
          <w:rStyle w:val="VerbatimChar"/>
        </w:rPr>
        <w:t xml:space="preserve">record-keeping</w:t>
      </w:r>
      <w:r>
        <w:t xml:space="preserve">,</w:t>
      </w:r>
      <w:r>
        <w:t xml:space="preserve"> </w:t>
      </w:r>
      <w:r>
        <w:rPr>
          <w:rStyle w:val="VerbatimChar"/>
        </w:rPr>
        <w:t xml:space="preserve">source-record</w:t>
      </w:r>
      <w:r>
        <w:t xml:space="preserve">, or</w:t>
      </w:r>
      <w:r>
        <w:t xml:space="preserve"> </w:t>
      </w:r>
      <w:r>
        <w:rPr>
          <w:rStyle w:val="VerbatimChar"/>
        </w:rPr>
        <w:t xml:space="preserve">contextual inference</w:t>
      </w:r>
      <w:r>
        <w:t xml:space="preserve">. DACS explicitly allows multiple date types when labeled clearly, and EAD supports typed dates and certainty metadata. For your public folders, the interface should sort by</w:t>
      </w:r>
      <w:r>
        <w:t xml:space="preserve"> </w:t>
      </w:r>
      <w:r>
        <w:rPr>
          <w:b/>
          <w:bCs/>
        </w:rPr>
        <w:t xml:space="preserve">one chosen chronology date</w:t>
      </w:r>
      <w:r>
        <w:t xml:space="preserve">, but the record page may show the others.</w:t>
      </w:r>
      <w:r>
        <w:t xml:space="preserve"> </w:t>
      </w:r>
      <w:hyperlink r:id="rId35">
        <w:r>
          <w:rPr>
            <w:rStyle w:val="Hyperlink"/>
          </w:rPr>
          <w:t xml:space="preserve">[10]</w:t>
        </w:r>
      </w:hyperlink>
    </w:p>
    <w:p>
      <w:pPr>
        <w:pStyle w:val="BodyText"/>
      </w:pPr>
      <w:r>
        <w:t xml:space="preserve">My recommendation is to use this priority order for folder sorting:</w:t>
      </w:r>
    </w:p>
    <w:p>
      <w:pPr>
        <w:pStyle w:val="Compact"/>
        <w:numPr>
          <w:ilvl w:val="0"/>
          <w:numId w:val="1003"/>
        </w:numPr>
      </w:pPr>
      <w:r>
        <w:rPr>
          <w:b/>
          <w:bCs/>
        </w:rPr>
        <w:t xml:space="preserve">creation/design/publication date of the work or document</w:t>
      </w:r>
    </w:p>
    <w:p>
      <w:pPr>
        <w:pStyle w:val="Compact"/>
        <w:numPr>
          <w:ilvl w:val="0"/>
          <w:numId w:val="1003"/>
        </w:numPr>
      </w:pPr>
      <w:r>
        <w:t xml:space="preserve">if unavailable,</w:t>
      </w:r>
      <w:r>
        <w:t xml:space="preserve"> </w:t>
      </w:r>
      <w:r>
        <w:rPr>
          <w:b/>
          <w:bCs/>
        </w:rPr>
        <w:t xml:space="preserve">issue/exhibition/release date of the source item</w:t>
      </w:r>
    </w:p>
    <w:p>
      <w:pPr>
        <w:pStyle w:val="Compact"/>
        <w:numPr>
          <w:ilvl w:val="0"/>
          <w:numId w:val="1003"/>
        </w:numPr>
      </w:pPr>
      <w:r>
        <w:t xml:space="preserve">if unavailable,</w:t>
      </w:r>
      <w:r>
        <w:t xml:space="preserve"> </w:t>
      </w:r>
      <w:r>
        <w:rPr>
          <w:b/>
          <w:bCs/>
        </w:rPr>
        <w:t xml:space="preserve">contextual inferred date range</w:t>
      </w:r>
      <w:r>
        <w:t xml:space="preserve">, clearly labeled</w:t>
      </w:r>
    </w:p>
    <w:p>
      <w:pPr>
        <w:pStyle w:val="Compact"/>
        <w:numPr>
          <w:ilvl w:val="0"/>
          <w:numId w:val="1003"/>
        </w:numPr>
      </w:pPr>
      <w:r>
        <w:t xml:space="preserve">otherwise,</w:t>
      </w:r>
      <w:r>
        <w:t xml:space="preserve"> </w:t>
      </w:r>
      <w:r>
        <w:rPr>
          <w:b/>
          <w:bCs/>
        </w:rPr>
        <w:t xml:space="preserve">undated</w:t>
      </w:r>
    </w:p>
    <w:p>
      <w:pPr>
        <w:pStyle w:val="FirstParagraph"/>
      </w:pPr>
      <w:r>
        <w:t xml:space="preserve">That preserves chronology as the main research axis without pretending that uncertain material is exact.</w:t>
      </w:r>
    </w:p>
    <w:bookmarkEnd w:id="36"/>
    <w:bookmarkStart w:id="40" w:name="mvp-optional-layers-and-what-to-avoid"/>
    <w:p>
      <w:pPr>
        <w:pStyle w:val="Heading2"/>
      </w:pPr>
      <w:r>
        <w:t xml:space="preserve">MVP, optional layers, and what to avoid</w:t>
      </w:r>
    </w:p>
    <w:p>
      <w:pPr>
        <w:pStyle w:val="FirstParagraph"/>
      </w:pPr>
      <w:r>
        <w:t xml:space="preserve">Your MVP needs to be broad enough to handle incomplete and rights-sensitive records on day one, but small enough that every new surface class has a clear archival reason to exist.</w:t>
      </w:r>
    </w:p>
    <w:bookmarkStart w:id="37" w:name="essential-for-mvp"/>
    <w:p>
      <w:pPr>
        <w:pStyle w:val="Heading3"/>
      </w:pPr>
      <w:r>
        <w:t xml:space="preserve">Essential for MVP</w:t>
      </w:r>
    </w:p>
    <w:p>
      <w:pPr>
        <w:pStyle w:val="FirstParagraph"/>
      </w:pPr>
      <w:r>
        <w:t xml:space="preserve">These are the minimum public types I would ship first: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Surface type</w:t>
            </w:r>
          </w:p>
        </w:tc>
        <w:tc>
          <w:tcPr/>
          <w:p>
            <w:pPr>
              <w:pStyle w:val="Compact"/>
            </w:pPr>
            <w:r>
              <w:t xml:space="preserve">Why it is essential</w:t>
            </w:r>
          </w:p>
        </w:tc>
      </w:tr>
      <w:tr>
        <w:tc>
          <w:tcPr/>
          <w:p>
            <w:pPr>
              <w:pStyle w:val="Compact"/>
            </w:pPr>
            <w:r>
              <w:rPr>
                <w:b/>
                <w:bCs/>
              </w:rPr>
              <w:t xml:space="preserve">Required</w:t>
            </w:r>
          </w:p>
        </w:tc>
        <w:tc>
          <w:tcPr/>
          <w:p>
            <w:pPr>
              <w:pStyle w:val="Compact"/>
            </w:pPr>
            <w:r>
              <w:t xml:space="preserve">Archive box overview</w:t>
            </w:r>
          </w:p>
        </w:tc>
        <w:tc>
          <w:tcPr/>
          <w:p>
            <w:pPr>
              <w:pStyle w:val="Compact"/>
            </w:pPr>
            <w:r>
              <w:t xml:space="preserve">Needed to establish the archive metaphor and the four-folder navigation logic</w:t>
            </w:r>
          </w:p>
        </w:tc>
      </w:tr>
      <w:tr>
        <w:tc>
          <w:tcPr/>
          <w:p>
            <w:pPr>
              <w:pStyle w:val="Compact"/>
            </w:pPr>
            <w:r>
              <w:rPr>
                <w:b/>
                <w:bCs/>
              </w:rPr>
              <w:t xml:space="preserve">Required</w:t>
            </w:r>
          </w:p>
        </w:tc>
        <w:tc>
          <w:tcPr/>
          <w:p>
            <w:pPr>
              <w:pStyle w:val="Compact"/>
            </w:pPr>
            <w:r>
              <w:t xml:space="preserve">Folder cover</w:t>
            </w:r>
          </w:p>
        </w:tc>
        <w:tc>
          <w:tcPr/>
          <w:p>
            <w:pPr>
              <w:pStyle w:val="Compact"/>
            </w:pPr>
            <w:r>
              <w:t xml:space="preserve">Needed for every Region/Theme/Medium/Movement term</w:t>
            </w:r>
          </w:p>
        </w:tc>
      </w:tr>
      <w:tr>
        <w:tc>
          <w:tcPr/>
          <w:p>
            <w:pPr>
              <w:pStyle w:val="Compact"/>
            </w:pPr>
            <w:r>
              <w:rPr>
                <w:b/>
                <w:bCs/>
              </w:rPr>
              <w:t xml:space="preserve">Required</w:t>
            </w:r>
          </w:p>
        </w:tc>
        <w:tc>
          <w:tcPr/>
          <w:p>
            <w:pPr>
              <w:pStyle w:val="Compact"/>
            </w:pPr>
            <w:r>
              <w:t xml:space="preserve">Folder index</w:t>
            </w:r>
          </w:p>
        </w:tc>
        <w:tc>
          <w:tcPr/>
          <w:p>
            <w:pPr>
              <w:pStyle w:val="Compact"/>
            </w:pPr>
            <w:r>
              <w:t xml:space="preserve">Needed because time is the default ordering axis inside all folders</w:t>
            </w:r>
          </w:p>
        </w:tc>
      </w:tr>
      <w:tr>
        <w:tc>
          <w:tcPr/>
          <w:p>
            <w:pPr>
              <w:pStyle w:val="Compact"/>
            </w:pPr>
            <w:r>
              <w:rPr>
                <w:b/>
                <w:bCs/>
              </w:rPr>
              <w:t xml:space="preserve">Required</w:t>
            </w:r>
          </w:p>
        </w:tc>
        <w:tc>
          <w:tcPr/>
          <w:p>
            <w:pPr>
              <w:pStyle w:val="Compact"/>
            </w:pPr>
            <w:r>
              <w:t xml:space="preserve">Main sheet family</w:t>
            </w:r>
          </w:p>
        </w:tc>
        <w:tc>
          <w:tcPr/>
          <w:p>
            <w:pPr>
              <w:pStyle w:val="Compact"/>
            </w:pPr>
            <w:r>
              <w:t xml:space="preserve">The primary research surface</w:t>
            </w:r>
          </w:p>
        </w:tc>
      </w:tr>
      <w:tr>
        <w:tc>
          <w:tcPr/>
          <w:p>
            <w:pPr>
              <w:pStyle w:val="Compact"/>
            </w:pPr>
            <w:r>
              <w:rPr>
                <w:b/>
                <w:bCs/>
              </w:rPr>
              <w:t xml:space="preserve">Required</w:t>
            </w:r>
          </w:p>
        </w:tc>
        <w:tc>
          <w:tcPr/>
          <w:p>
            <w:pPr>
              <w:pStyle w:val="Compact"/>
            </w:pPr>
            <w:r>
              <w:t xml:space="preserve">Text-only sheet mode</w:t>
            </w:r>
          </w:p>
        </w:tc>
        <w:tc>
          <w:tcPr/>
          <w:p>
            <w:pPr>
              <w:pStyle w:val="Compact"/>
            </w:pPr>
            <w:r>
              <w:t xml:space="preserve">Needed immediately for bibliographic and image-less records</w:t>
            </w:r>
          </w:p>
        </w:tc>
      </w:tr>
      <w:tr>
        <w:tc>
          <w:tcPr/>
          <w:p>
            <w:pPr>
              <w:pStyle w:val="Compact"/>
            </w:pPr>
            <w:r>
              <w:rPr>
                <w:b/>
                <w:bCs/>
              </w:rPr>
              <w:t xml:space="preserve">Required</w:t>
            </w:r>
          </w:p>
        </w:tc>
        <w:tc>
          <w:tcPr/>
          <w:p>
            <w:pPr>
              <w:pStyle w:val="Compact"/>
            </w:pPr>
            <w:r>
              <w:t xml:space="preserve">Image-rights placeholder mode</w:t>
            </w:r>
          </w:p>
        </w:tc>
        <w:tc>
          <w:tcPr/>
          <w:p>
            <w:pPr>
              <w:pStyle w:val="Compact"/>
            </w:pPr>
            <w:r>
              <w:t xml:space="preserve">Needed immediately for rights-sensitive records</w:t>
            </w:r>
          </w:p>
        </w:tc>
      </w:tr>
      <w:tr>
        <w:tc>
          <w:tcPr/>
          <w:p>
            <w:pPr>
              <w:pStyle w:val="Compact"/>
            </w:pPr>
            <w:r>
              <w:rPr>
                <w:b/>
                <w:bCs/>
              </w:rPr>
              <w:t xml:space="preserve">Required</w:t>
            </w:r>
          </w:p>
        </w:tc>
        <w:tc>
          <w:tcPr/>
          <w:p>
            <w:pPr>
              <w:pStyle w:val="Compact"/>
            </w:pPr>
            <w:r>
              <w:t xml:space="preserve">Card</w:t>
            </w:r>
          </w:p>
        </w:tc>
        <w:tc>
          <w:tcPr/>
          <w:p>
            <w:pPr>
              <w:pStyle w:val="Compact"/>
            </w:pPr>
            <w:r>
              <w:t xml:space="preserve">Needed for meaningful but incomplete records</w:t>
            </w:r>
          </w:p>
        </w:tc>
      </w:tr>
      <w:tr>
        <w:tc>
          <w:tcPr/>
          <w:p>
            <w:pPr>
              <w:pStyle w:val="Compact"/>
            </w:pPr>
            <w:r>
              <w:rPr>
                <w:b/>
                <w:bCs/>
              </w:rPr>
              <w:t xml:space="preserve">Required</w:t>
            </w:r>
          </w:p>
        </w:tc>
        <w:tc>
          <w:tcPr/>
          <w:p>
            <w:pPr>
              <w:pStyle w:val="Compact"/>
            </w:pPr>
            <w:r>
              <w:t xml:space="preserve">Fallback stub</w:t>
            </w:r>
          </w:p>
        </w:tc>
        <w:tc>
          <w:tcPr/>
          <w:p>
            <w:pPr>
              <w:pStyle w:val="Compact"/>
            </w:pPr>
            <w:r>
              <w:t xml:space="preserve">Needed because many archives and aggregators expose very thin public description</w:t>
            </w:r>
          </w:p>
        </w:tc>
      </w:tr>
      <w:tr>
        <w:tc>
          <w:tcPr/>
          <w:p>
            <w:pPr>
              <w:pStyle w:val="Compact"/>
            </w:pPr>
            <w:r>
              <w:rPr>
                <w:b/>
                <w:bCs/>
              </w:rPr>
              <w:t xml:space="preserve">Required</w:t>
            </w:r>
          </w:p>
        </w:tc>
        <w:tc>
          <w:tcPr/>
          <w:p>
            <w:pPr>
              <w:pStyle w:val="Compact"/>
            </w:pPr>
            <w:r>
              <w:t xml:space="preserve">Unassigned research item</w:t>
            </w:r>
          </w:p>
        </w:tc>
        <w:tc>
          <w:tcPr/>
          <w:p>
            <w:pPr>
              <w:pStyle w:val="Compact"/>
            </w:pPr>
            <w:r>
              <w:t xml:space="preserve">Needed if you want transparent public research rather than false completeness</w:t>
            </w:r>
          </w:p>
        </w:tc>
      </w:tr>
      <w:tr>
        <w:tc>
          <w:tcPr/>
          <w:p>
            <w:pPr>
              <w:pStyle w:val="Compact"/>
            </w:pPr>
            <w:r>
              <w:rPr>
                <w:b/>
                <w:bCs/>
              </w:rPr>
              <w:t xml:space="preserve">Required</w:t>
            </w:r>
          </w:p>
        </w:tc>
        <w:tc>
          <w:tcPr/>
          <w:p>
            <w:pPr>
              <w:pStyle w:val="Compact"/>
            </w:pPr>
            <w:r>
              <w:t xml:space="preserve">Citation appendix or integrated citation annex</w:t>
            </w:r>
          </w:p>
        </w:tc>
        <w:tc>
          <w:tcPr/>
          <w:p>
            <w:pPr>
              <w:pStyle w:val="Compact"/>
            </w:pPr>
            <w:r>
              <w:t xml:space="preserve">Essential because the gateway is a research index, not a gallery</w:t>
            </w:r>
          </w:p>
        </w:tc>
      </w:tr>
      <w:tr>
        <w:tc>
          <w:tcPr/>
          <w:p>
            <w:pPr>
              <w:pStyle w:val="Compact"/>
            </w:pPr>
            <w:r>
              <w:rPr>
                <w:b/>
                <w:bCs/>
              </w:rPr>
              <w:t xml:space="preserve">Required</w:t>
            </w:r>
          </w:p>
        </w:tc>
        <w:tc>
          <w:tcPr/>
          <w:p>
            <w:pPr>
              <w:pStyle w:val="Compact"/>
            </w:pPr>
            <w:r>
              <w:t xml:space="preserve">Rights appendix or integrated rights annex</w:t>
            </w:r>
          </w:p>
        </w:tc>
        <w:tc>
          <w:tcPr/>
          <w:p>
            <w:pPr>
              <w:pStyle w:val="Compact"/>
            </w:pPr>
            <w:r>
              <w:t xml:space="preserve">Essential because image and reuse status are first-class decisions</w:t>
            </w:r>
          </w:p>
        </w:tc>
      </w:tr>
      <w:tr>
        <w:tc>
          <w:tcPr/>
          <w:p>
            <w:pPr>
              <w:pStyle w:val="Compact"/>
            </w:pPr>
            <w:r>
              <w:rPr>
                <w:b/>
                <w:bCs/>
              </w:rPr>
              <w:t xml:space="preserve">Required</w:t>
            </w:r>
          </w:p>
        </w:tc>
        <w:tc>
          <w:tcPr/>
          <w:p>
            <w:pPr>
              <w:pStyle w:val="Compact"/>
            </w:pPr>
            <w:r>
              <w:t xml:space="preserve">Registration/log page</w:t>
            </w:r>
          </w:p>
        </w:tc>
        <w:tc>
          <w:tcPr/>
          <w:p>
            <w:pPr>
              <w:pStyle w:val="Compact"/>
            </w:pPr>
            <w:r>
              <w:t xml:space="preserve">Needed for public provenance of record creation and revision</w:t>
            </w:r>
          </w:p>
        </w:tc>
      </w:tr>
    </w:tbl>
    <w:bookmarkEnd w:id="37"/>
    <w:bookmarkStart w:id="38" w:name="worth-adding-after-mvp"/>
    <w:p>
      <w:pPr>
        <w:pStyle w:val="Heading3"/>
      </w:pPr>
      <w:r>
        <w:t xml:space="preserve">Worth adding after MVP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Surface type</w:t>
            </w:r>
          </w:p>
        </w:tc>
        <w:tc>
          <w:tcPr/>
          <w:p>
            <w:pPr>
              <w:pStyle w:val="Compact"/>
            </w:pPr>
            <w:r>
              <w:t xml:space="preserve">Why it can wait</w:t>
            </w:r>
          </w:p>
        </w:tc>
      </w:tr>
      <w:tr>
        <w:tc>
          <w:tcPr/>
          <w:p>
            <w:pPr>
              <w:pStyle w:val="Compact"/>
            </w:pPr>
            <w:r>
              <w:rPr>
                <w:b/>
                <w:bCs/>
              </w:rPr>
              <w:t xml:space="preserve">Optional later</w:t>
            </w:r>
          </w:p>
        </w:tc>
        <w:tc>
          <w:tcPr/>
          <w:p>
            <w:pPr>
              <w:pStyle w:val="Compact"/>
            </w:pPr>
            <w:r>
              <w:t xml:space="preserve">Continuation sheet as a formally distinct printable surface</w:t>
            </w:r>
          </w:p>
        </w:tc>
        <w:tc>
          <w:tcPr/>
          <w:p>
            <w:pPr>
              <w:pStyle w:val="Compact"/>
            </w:pPr>
            <w:r>
              <w:t xml:space="preserve">In MVP it can simply be paginated overflow on the main sheet</w:t>
            </w:r>
          </w:p>
        </w:tc>
      </w:tr>
      <w:tr>
        <w:tc>
          <w:tcPr/>
          <w:p>
            <w:pPr>
              <w:pStyle w:val="Compact"/>
            </w:pPr>
            <w:r>
              <w:rPr>
                <w:b/>
                <w:bCs/>
              </w:rPr>
              <w:t xml:space="preserve">Optional later</w:t>
            </w:r>
          </w:p>
        </w:tc>
        <w:tc>
          <w:tcPr/>
          <w:p>
            <w:pPr>
              <w:pStyle w:val="Compact"/>
            </w:pPr>
            <w:r>
              <w:t xml:space="preserve">Group/compound sheet as a separately named type</w:t>
            </w:r>
          </w:p>
        </w:tc>
        <w:tc>
          <w:tcPr/>
          <w:p>
            <w:pPr>
              <w:pStyle w:val="Compact"/>
            </w:pPr>
            <w:r>
              <w:t xml:space="preserve">In MVP it can be implemented as a main-sheet mode</w:t>
            </w:r>
          </w:p>
        </w:tc>
      </w:tr>
      <w:tr>
        <w:tc>
          <w:tcPr/>
          <w:p>
            <w:pPr>
              <w:pStyle w:val="Compact"/>
            </w:pPr>
            <w:r>
              <w:rPr>
                <w:b/>
                <w:bCs/>
              </w:rPr>
              <w:t xml:space="preserve">Optional later</w:t>
            </w:r>
          </w:p>
        </w:tc>
        <w:tc>
          <w:tcPr/>
          <w:p>
            <w:pPr>
              <w:pStyle w:val="Compact"/>
            </w:pPr>
            <w:r>
              <w:t xml:space="preserve">Source dossier</w:t>
            </w:r>
          </w:p>
        </w:tc>
        <w:tc>
          <w:tcPr/>
          <w:p>
            <w:pPr>
              <w:pStyle w:val="Compact"/>
            </w:pPr>
            <w:r>
              <w:t xml:space="preserve">Valuable, but can initially be folded into citation and rights appendices</w:t>
            </w:r>
          </w:p>
        </w:tc>
      </w:tr>
      <w:tr>
        <w:tc>
          <w:tcPr/>
          <w:p>
            <w:pPr>
              <w:pStyle w:val="Compact"/>
            </w:pPr>
            <w:r>
              <w:rPr>
                <w:b/>
                <w:bCs/>
              </w:rPr>
              <w:t xml:space="preserve">Optional later</w:t>
            </w:r>
          </w:p>
        </w:tc>
        <w:tc>
          <w:tcPr/>
          <w:p>
            <w:pPr>
              <w:pStyle w:val="Compact"/>
            </w:pPr>
            <w:r>
              <w:t xml:space="preserve">Relation appendix</w:t>
            </w:r>
          </w:p>
        </w:tc>
        <w:tc>
          <w:tcPr/>
          <w:p>
            <w:pPr>
              <w:pStyle w:val="Compact"/>
            </w:pPr>
            <w:r>
              <w:t xml:space="preserve">Very useful for complex cases, but not every record needs it</w:t>
            </w:r>
          </w:p>
        </w:tc>
      </w:tr>
      <w:tr>
        <w:tc>
          <w:tcPr/>
          <w:p>
            <w:pPr>
              <w:pStyle w:val="Compact"/>
            </w:pPr>
            <w:r>
              <w:rPr>
                <w:b/>
                <w:bCs/>
              </w:rPr>
              <w:t xml:space="preserve">Optional later</w:t>
            </w:r>
          </w:p>
        </w:tc>
        <w:tc>
          <w:tcPr/>
          <w:p>
            <w:pPr>
              <w:pStyle w:val="Compact"/>
            </w:pPr>
            <w:r>
              <w:t xml:space="preserve">Proposed cell item</w:t>
            </w:r>
          </w:p>
        </w:tc>
        <w:tc>
          <w:tcPr/>
          <w:p>
            <w:pPr>
              <w:pStyle w:val="Compact"/>
            </w:pPr>
            <w:r>
              <w:t xml:space="preserve">Important for governance, but could initially be handled as a flagged unassigned item if needed</w:t>
            </w:r>
          </w:p>
        </w:tc>
      </w:tr>
      <w:tr>
        <w:tc>
          <w:tcPr/>
          <w:p>
            <w:pPr>
              <w:pStyle w:val="Compact"/>
            </w:pPr>
            <w:r>
              <w:rPr>
                <w:b/>
                <w:bCs/>
              </w:rPr>
              <w:t xml:space="preserve">Optional later</w:t>
            </w:r>
          </w:p>
        </w:tc>
        <w:tc>
          <w:tcPr/>
          <w:p>
            <w:pPr>
              <w:pStyle w:val="Compact"/>
            </w:pPr>
            <w:r>
              <w:t xml:space="preserve">Bookmark/instruction sheet</w:t>
            </w:r>
          </w:p>
        </w:tc>
        <w:tc>
          <w:tcPr/>
          <w:p>
            <w:pPr>
              <w:pStyle w:val="Compact"/>
            </w:pPr>
            <w:r>
              <w:t xml:space="preserve">Helpful orientation layer, but not structurally essential</w:t>
            </w:r>
          </w:p>
        </w:tc>
      </w:tr>
    </w:tbl>
    <w:bookmarkEnd w:id="38"/>
    <w:bookmarkStart w:id="39" w:name="redundant-or-best-avoided"/>
    <w:p>
      <w:pPr>
        <w:pStyle w:val="Heading3"/>
      </w:pPr>
      <w:r>
        <w:t xml:space="preserve">Redundant or best avoided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Avoid or merge</w:t>
            </w:r>
          </w:p>
        </w:tc>
        <w:tc>
          <w:tcPr/>
          <w:p>
            <w:pPr>
              <w:pStyle w:val="Compact"/>
            </w:pPr>
            <w:r>
              <w:t xml:space="preserve">Reason</w:t>
            </w:r>
          </w:p>
        </w:tc>
      </w:tr>
      <w:tr>
        <w:tc>
          <w:tcPr/>
          <w:p>
            <w:pPr>
              <w:pStyle w:val="Compact"/>
            </w:pPr>
            <w:r>
              <w:rPr>
                <w:b/>
                <w:bCs/>
              </w:rPr>
              <w:t xml:space="preserve">Separate sheet layouts for Region, Theme, Medium, or Movement</w:t>
            </w:r>
          </w:p>
        </w:tc>
        <w:tc>
          <w:tcPr/>
          <w:p>
            <w:pPr>
              <w:pStyle w:val="Compact"/>
            </w:pPr>
            <w:r>
              <w:t xml:space="preserve">Folder type should not control record layout</w:t>
            </w:r>
          </w:p>
        </w:tc>
      </w:tr>
      <w:tr>
        <w:tc>
          <w:tcPr/>
          <w:p>
            <w:pPr>
              <w:pStyle w:val="Compact"/>
            </w:pPr>
            <w:r>
              <w:rPr>
                <w:b/>
                <w:bCs/>
              </w:rPr>
              <w:t xml:space="preserve">A distinct “registration card” and separate “log page”</w:t>
            </w:r>
          </w:p>
        </w:tc>
        <w:tc>
          <w:tcPr/>
          <w:p>
            <w:pPr>
              <w:pStyle w:val="Compact"/>
            </w:pPr>
            <w:r>
              <w:t xml:space="preserve">Merge into one registration/log family</w:t>
            </w:r>
          </w:p>
        </w:tc>
      </w:tr>
      <w:tr>
        <w:tc>
          <w:tcPr/>
          <w:p>
            <w:pPr>
              <w:pStyle w:val="Compact"/>
            </w:pPr>
            <w:r>
              <w:rPr>
                <w:b/>
                <w:bCs/>
              </w:rPr>
              <w:t xml:space="preserve">A separate “folder index continuation” type</w:t>
            </w:r>
          </w:p>
        </w:tc>
        <w:tc>
          <w:tcPr/>
          <w:p>
            <w:pPr>
              <w:pStyle w:val="Compact"/>
            </w:pPr>
            <w:r>
              <w:t xml:space="preserve">Use pagination, not a new class</w:t>
            </w:r>
          </w:p>
        </w:tc>
      </w:tr>
      <w:tr>
        <w:tc>
          <w:tcPr/>
          <w:p>
            <w:pPr>
              <w:pStyle w:val="Compact"/>
            </w:pPr>
            <w:r>
              <w:rPr>
                <w:b/>
                <w:bCs/>
              </w:rPr>
              <w:t xml:space="preserve">A different record class for each IMG state</w:t>
            </w:r>
          </w:p>
        </w:tc>
        <w:tc>
          <w:tcPr/>
          <w:p>
            <w:pPr>
              <w:pStyle w:val="Compact"/>
            </w:pPr>
            <w:r>
              <w:t xml:space="preserve">Keep image state as a property, not a new surface taxonomy</w:t>
            </w:r>
          </w:p>
        </w:tc>
      </w:tr>
      <w:tr>
        <w:tc>
          <w:tcPr/>
          <w:p>
            <w:pPr>
              <w:pStyle w:val="Compact"/>
            </w:pPr>
            <w:r>
              <w:rPr>
                <w:b/>
                <w:bCs/>
              </w:rPr>
              <w:t xml:space="preserve">A special public “search result record” class</w:t>
            </w:r>
          </w:p>
        </w:tc>
        <w:tc>
          <w:tcPr/>
          <w:p>
            <w:pPr>
              <w:pStyle w:val="Compact"/>
            </w:pPr>
            <w:r>
              <w:t xml:space="preserve">The card should do that job</w:t>
            </w:r>
          </w:p>
        </w:tc>
      </w:tr>
      <w:tr>
        <w:tc>
          <w:tcPr/>
          <w:p>
            <w:pPr>
              <w:pStyle w:val="Compact"/>
            </w:pPr>
            <w:r>
              <w:rPr>
                <w:b/>
                <w:bCs/>
              </w:rPr>
              <w:t xml:space="preserve">A separate “main image sheet” vs “main text sheet” vs “main rights sheet” as top-level classes</w:t>
            </w:r>
          </w:p>
        </w:tc>
        <w:tc>
          <w:tcPr/>
          <w:p>
            <w:pPr>
              <w:pStyle w:val="Compact"/>
            </w:pPr>
            <w:r>
              <w:t xml:space="preserve">These should be modes of one main-sheet family</w:t>
            </w:r>
          </w:p>
        </w:tc>
      </w:tr>
      <w:tr>
        <w:tc>
          <w:tcPr/>
          <w:p>
            <w:pPr>
              <w:pStyle w:val="Compact"/>
            </w:pPr>
            <w:r>
              <w:rPr>
                <w:b/>
                <w:bCs/>
              </w:rPr>
              <w:t xml:space="preserve">A top-level time drawer</w:t>
            </w:r>
          </w:p>
        </w:tc>
        <w:tc>
          <w:tcPr/>
          <w:p>
            <w:pPr>
              <w:pStyle w:val="Compact"/>
            </w:pPr>
            <w:r>
              <w:t xml:space="preserve">Contradicts your core model and duplicates chronology logic already present in every folder</w:t>
            </w:r>
          </w:p>
        </w:tc>
      </w:tr>
    </w:tbl>
    <w:p>
      <w:pPr>
        <w:pStyle w:val="BodyText"/>
      </w:pPr>
      <w:r>
        <w:t xml:space="preserve">The most important simplification is this:</w:t>
      </w:r>
    </w:p>
    <w:p>
      <w:pPr>
        <w:pStyle w:val="BodyText"/>
      </w:pPr>
      <w:r>
        <w:rPr>
          <w:b/>
          <w:bCs/>
        </w:rPr>
        <w:t xml:space="preserve">Treat these as surface modes, not independent record ontologies:</w:t>
      </w:r>
    </w:p>
    <w:p>
      <w:pPr>
        <w:pStyle w:val="Compact"/>
        <w:numPr>
          <w:ilvl w:val="0"/>
          <w:numId w:val="1004"/>
        </w:numPr>
      </w:pPr>
      <w:r>
        <w:t xml:space="preserve">continuation sheet</w:t>
      </w:r>
    </w:p>
    <w:p>
      <w:pPr>
        <w:pStyle w:val="Compact"/>
        <w:numPr>
          <w:ilvl w:val="0"/>
          <w:numId w:val="1004"/>
        </w:numPr>
      </w:pPr>
      <w:r>
        <w:t xml:space="preserve">text-only sheet</w:t>
      </w:r>
    </w:p>
    <w:p>
      <w:pPr>
        <w:pStyle w:val="Compact"/>
        <w:numPr>
          <w:ilvl w:val="0"/>
          <w:numId w:val="1004"/>
        </w:numPr>
      </w:pPr>
      <w:r>
        <w:t xml:space="preserve">image-rights placeholder sheet</w:t>
      </w:r>
    </w:p>
    <w:p>
      <w:pPr>
        <w:pStyle w:val="Compact"/>
        <w:numPr>
          <w:ilvl w:val="0"/>
          <w:numId w:val="1004"/>
        </w:numPr>
      </w:pPr>
      <w:r>
        <w:t xml:space="preserve">group/compound sheet</w:t>
      </w:r>
    </w:p>
    <w:p>
      <w:pPr>
        <w:pStyle w:val="Compact"/>
        <w:numPr>
          <w:ilvl w:val="0"/>
          <w:numId w:val="1004"/>
        </w:numPr>
      </w:pPr>
      <w:r>
        <w:t xml:space="preserve">citation / relation / rights appendices</w:t>
      </w:r>
    </w:p>
    <w:p>
      <w:pPr>
        <w:pStyle w:val="FirstParagraph"/>
      </w:pPr>
      <w:r>
        <w:t xml:space="preserve">If you encode them as modes of a few families rather than as dozens of unrelated types, the system stays governable.</w:t>
      </w:r>
    </w:p>
    <w:bookmarkEnd w:id="39"/>
    <w:bookmarkEnd w:id="40"/>
    <w:bookmarkStart w:id="47" w:name="worked-examples-and-final-taxonomy"/>
    <w:p>
      <w:pPr>
        <w:pStyle w:val="Heading2"/>
      </w:pPr>
      <w:r>
        <w:t xml:space="preserve">Worked examples and final taxonomy</w:t>
      </w:r>
    </w:p>
    <w:p>
      <w:pPr>
        <w:pStyle w:val="FirstParagraph"/>
      </w:pPr>
      <w:r>
        <w:rPr>
          <w:b/>
          <w:bCs/>
        </w:rPr>
        <w:t xml:space="preserve">A poster with image but unclear rights.</w:t>
      </w:r>
      <w:r>
        <w:br/>
      </w:r>
      <w:r>
        <w:t xml:space="preserve">Cooper Hewitt’s record for Milton Glaser’s</w:t>
      </w:r>
      <w:r>
        <w:t xml:space="preserve"> </w:t>
      </w:r>
      <w:r>
        <w:rPr>
          <w:b/>
          <w:bCs/>
          <w:i/>
          <w:iCs/>
        </w:rPr>
        <w:t xml:space="preserve">Newport Jazz Festival</w:t>
      </w:r>
      <w:r>
        <w:t xml:space="preserve"> </w:t>
      </w:r>
      <w:r>
        <w:t xml:space="preserve">is public, dated 1978, classified as graphic design/poster, marked</w:t>
      </w:r>
      <w:r>
        <w:t xml:space="preserve"> </w:t>
      </w:r>
      <w:r>
        <w:rPr>
          <w:b/>
          <w:bCs/>
        </w:rPr>
        <w:t xml:space="preserve">“Research in Progress,”</w:t>
      </w:r>
      <w:r>
        <w:t xml:space="preserve"> </w:t>
      </w:r>
      <w:r>
        <w:t xml:space="preserve">and states</w:t>
      </w:r>
      <w:r>
        <w:t xml:space="preserve"> </w:t>
      </w:r>
      <w:r>
        <w:rPr>
          <w:b/>
          <w:bCs/>
        </w:rPr>
        <w:t xml:space="preserve">“Restrictions &amp; Rights: Usage conditions apply.”</w:t>
      </w:r>
      <w:r>
        <w:t xml:space="preserve"> </w:t>
      </w:r>
      <w:r>
        <w:t xml:space="preserve">Smithsonian also exposes a source image for the object. In your gateway, this should become either a</w:t>
      </w:r>
      <w:r>
        <w:t xml:space="preserve"> </w:t>
      </w:r>
      <w:r>
        <w:rPr>
          <w:b/>
          <w:bCs/>
        </w:rPr>
        <w:t xml:space="preserve">main sheet with IMG02</w:t>
      </w:r>
      <w:r>
        <w:t xml:space="preserve"> </w:t>
      </w:r>
      <w:r>
        <w:t xml:space="preserve">if you are comfortable using the source-hosted image/viewer, or a</w:t>
      </w:r>
      <w:r>
        <w:t xml:space="preserve"> </w:t>
      </w:r>
      <w:r>
        <w:rPr>
          <w:b/>
          <w:bCs/>
        </w:rPr>
        <w:t xml:space="preserve">main sheet in image-rights placeholder mode with IMG00</w:t>
      </w:r>
      <w:r>
        <w:t xml:space="preserve"> </w:t>
      </w:r>
      <w:r>
        <w:t xml:space="preserve">if your policy does not allow proxying or embedding without stronger rights evidence. It should</w:t>
      </w:r>
      <w:r>
        <w:t xml:space="preserve"> </w:t>
      </w:r>
      <w:r>
        <w:rPr>
          <w:b/>
          <w:bCs/>
        </w:rPr>
        <w:t xml:space="preserve">not</w:t>
      </w:r>
      <w:r>
        <w:t xml:space="preserve"> </w:t>
      </w:r>
      <w:r>
        <w:t xml:space="preserve">be downgraded to a card simply because the rights status is restricted.</w:t>
      </w:r>
      <w:r>
        <w:t xml:space="preserve"> </w:t>
      </w:r>
      <w:hyperlink r:id="rId41">
        <w:r>
          <w:rPr>
            <w:rStyle w:val="Hyperlink"/>
          </w:rPr>
          <w:t xml:space="preserve">[11]</w:t>
        </w:r>
      </w:hyperlink>
    </w:p>
    <w:p>
      <w:pPr>
        <w:pStyle w:val="BodyText"/>
      </w:pPr>
      <w:r>
        <w:rPr>
          <w:b/>
          <w:bCs/>
        </w:rPr>
        <w:t xml:space="preserve">A source-hosted IIIF object.</w:t>
      </w:r>
      <w:r>
        <w:br/>
      </w:r>
      <w:r>
        <w:t xml:space="preserve">IIIF exists precisely to let record pages expose manifests, thumbnails, structure, and rights in interoperable viewers. The IIIF documentation describes manifests as the unit carrying metadata, rights, and order, and it explicitly notes that manifest URLs are often found from a record page. Library of Congress item pages and Smithsonian Open Access examples surface IIIF manifests in public item interfaces. In your system, any graphic-design record with a stable source-hosted IIIF manifest should normally appear as a</w:t>
      </w:r>
      <w:r>
        <w:t xml:space="preserve"> </w:t>
      </w:r>
      <w:r>
        <w:rPr>
          <w:b/>
          <w:bCs/>
        </w:rPr>
        <w:t xml:space="preserve">main sheet with IMG02</w:t>
      </w:r>
      <w:r>
        <w:t xml:space="preserve">, with the viewer launched from the source rather than silently copied into a local open-image state.</w:t>
      </w:r>
      <w:r>
        <w:t xml:space="preserve"> </w:t>
      </w:r>
      <w:hyperlink r:id="rId42">
        <w:r>
          <w:rPr>
            <w:rStyle w:val="Hyperlink"/>
          </w:rPr>
          <w:t xml:space="preserve">[12]</w:t>
        </w:r>
      </w:hyperlink>
    </w:p>
    <w:p>
      <w:pPr>
        <w:pStyle w:val="BodyText"/>
      </w:pPr>
      <w:r>
        <w:rPr>
          <w:b/>
          <w:bCs/>
        </w:rPr>
        <w:t xml:space="preserve">A bibliographic text record.</w:t>
      </w:r>
      <w:r>
        <w:br/>
      </w:r>
      <w:r>
        <w:t xml:space="preserve">WorldCat records for design books such as</w:t>
      </w:r>
      <w:r>
        <w:t xml:space="preserve"> </w:t>
      </w:r>
      <w:r>
        <w:rPr>
          <w:b/>
          <w:bCs/>
          <w:i/>
          <w:iCs/>
        </w:rPr>
        <w:t xml:space="preserve">The Vignelli Canon</w:t>
      </w:r>
      <w:r>
        <w:t xml:space="preserve"> </w:t>
      </w:r>
      <w:r>
        <w:t xml:space="preserve">or Michael Bierut’s</w:t>
      </w:r>
      <w:r>
        <w:t xml:space="preserve"> </w:t>
      </w:r>
      <w:r>
        <w:rPr>
          <w:b/>
          <w:bCs/>
          <w:i/>
          <w:iCs/>
        </w:rPr>
        <w:t xml:space="preserve">How to Use Graphic Design…</w:t>
      </w:r>
      <w:r>
        <w:t xml:space="preserve"> </w:t>
      </w:r>
      <w:r>
        <w:t xml:space="preserve">are classic examples of records whose primary public value is bibliographic, textual, and citation-oriented. In your system, these should usually become</w:t>
      </w:r>
      <w:r>
        <w:t xml:space="preserve"> </w:t>
      </w:r>
      <w:r>
        <w:rPr>
          <w:b/>
          <w:bCs/>
        </w:rPr>
        <w:t xml:space="preserve">text-only sheets with IMG04</w:t>
      </w:r>
      <w:r>
        <w:t xml:space="preserve"> </w:t>
      </w:r>
      <w:r>
        <w:t xml:space="preserve">if they cross your completeness threshold, or</w:t>
      </w:r>
      <w:r>
        <w:t xml:space="preserve"> </w:t>
      </w:r>
      <w:r>
        <w:rPr>
          <w:b/>
          <w:bCs/>
        </w:rPr>
        <w:t xml:space="preserve">cards</w:t>
      </w:r>
      <w:r>
        <w:t xml:space="preserve"> </w:t>
      </w:r>
      <w:r>
        <w:t xml:space="preserve">if they remain light. The key point is that they should not be forced into an image-first object treatment.</w:t>
      </w:r>
      <w:r>
        <w:t xml:space="preserve"> </w:t>
      </w:r>
      <w:hyperlink r:id="rId43">
        <w:r>
          <w:rPr>
            <w:rStyle w:val="Hyperlink"/>
          </w:rPr>
          <w:t xml:space="preserve">[13]</w:t>
        </w:r>
      </w:hyperlink>
    </w:p>
    <w:p>
      <w:pPr>
        <w:pStyle w:val="BodyText"/>
      </w:pPr>
      <w:r>
        <w:rPr>
          <w:b/>
          <w:bCs/>
        </w:rPr>
        <w:t xml:space="preserve">An incomplete regional archive search path.</w:t>
      </w:r>
      <w:r>
        <w:br/>
      </w:r>
      <w:r>
        <w:t xml:space="preserve">A user may enter through a Region folder, hit a finding aid or aggregator record, and discover that the source is only described at series/file level, links out to an external partner, or is not available online. Trove explicitly warns that records may be restricted, may only link outward, may have broken external links, and may offer no online version at all. A finding aid may also list box/folder headings without item-level description. In your system, this path should first appear as an</w:t>
      </w:r>
      <w:r>
        <w:t xml:space="preserve"> </w:t>
      </w:r>
      <w:r>
        <w:rPr>
          <w:b/>
          <w:bCs/>
        </w:rPr>
        <w:t xml:space="preserve">unassigned research item</w:t>
      </w:r>
      <w:r>
        <w:t xml:space="preserve"> </w:t>
      </w:r>
      <w:r>
        <w:t xml:space="preserve">if the target entity is still unclear, or as a</w:t>
      </w:r>
      <w:r>
        <w:t xml:space="preserve"> </w:t>
      </w:r>
      <w:r>
        <w:rPr>
          <w:b/>
          <w:bCs/>
        </w:rPr>
        <w:t xml:space="preserve">fallback stub</w:t>
      </w:r>
      <w:r>
        <w:t xml:space="preserve"> </w:t>
      </w:r>
      <w:r>
        <w:t xml:space="preserve">if the source anchor is stable but thin.</w:t>
      </w:r>
      <w:r>
        <w:t xml:space="preserve"> </w:t>
      </w:r>
      <w:hyperlink r:id="rId44">
        <w:r>
          <w:rPr>
            <w:rStyle w:val="Hyperlink"/>
          </w:rPr>
          <w:t xml:space="preserve">[14]</w:t>
        </w:r>
      </w:hyperlink>
    </w:p>
    <w:p>
      <w:pPr>
        <w:pStyle w:val="BodyText"/>
      </w:pPr>
      <w:r>
        <w:rPr>
          <w:b/>
          <w:bCs/>
        </w:rPr>
        <w:t xml:space="preserve">A proposed new movement or theme cell.</w:t>
      </w:r>
      <w:r>
        <w:br/>
      </w:r>
      <w:r>
        <w:t xml:space="preserve">Suppose repeated records suggest a coherent cluster that is not yet part of your approved folder vocabulary. The right public surface is a</w:t>
      </w:r>
      <w:r>
        <w:t xml:space="preserve"> </w:t>
      </w:r>
      <w:r>
        <w:rPr>
          <w:b/>
          <w:bCs/>
        </w:rPr>
        <w:t xml:space="preserve">proposed cell item</w:t>
      </w:r>
      <w:r>
        <w:t xml:space="preserve">, not a premature canonical folder and not a disguised unassigned object record. This is also where controlled vocabularies matter: Getty’s AAT, TGN, and ULAN exist precisely to stabilize object types, geographic names, and creator identities; a local Movement or Theme term should not become a permanent public folder until it has equivalent governance.</w:t>
      </w:r>
      <w:r>
        <w:t xml:space="preserve"> </w:t>
      </w:r>
      <w:hyperlink r:id="rId45">
        <w:r>
          <w:rPr>
            <w:rStyle w:val="Hyperlink"/>
          </w:rPr>
          <w:t xml:space="preserve">[15]</w:t>
        </w:r>
      </w:hyperlink>
    </w:p>
    <w:p>
      <w:pPr>
        <w:pStyle w:val="BodyText"/>
      </w:pPr>
      <w:r>
        <w:rPr>
          <w:b/>
          <w:bCs/>
        </w:rPr>
        <w:t xml:space="preserve">A folder for a movement or region.</w:t>
      </w:r>
      <w:r>
        <w:br/>
      </w:r>
      <w:r>
        <w:t xml:space="preserve">A Movement folder such as</w:t>
      </w:r>
      <w:r>
        <w:t xml:space="preserve"> </w:t>
      </w:r>
      <w:r>
        <w:rPr>
          <w:b/>
          <w:bCs/>
        </w:rPr>
        <w:t xml:space="preserve">New Typography</w:t>
      </w:r>
      <w:r>
        <w:t xml:space="preserve"> </w:t>
      </w:r>
      <w:r>
        <w:t xml:space="preserve">should be a folder cover plus chronological folder index, not a special record layout. MoMA describes Herbert Bayer’s 1929 poster as exemplifying “new typography,” which makes it a strong example of what belongs in such a folder. A Region folder can work the same way: for example, a United States folder may include the 1978</w:t>
      </w:r>
      <w:r>
        <w:t xml:space="preserve"> </w:t>
      </w:r>
      <w:r>
        <w:rPr>
          <w:b/>
          <w:bCs/>
          <w:i/>
          <w:iCs/>
        </w:rPr>
        <w:t xml:space="preserve">Newport Jazz Festival</w:t>
      </w:r>
      <w:r>
        <w:t xml:space="preserve"> </w:t>
      </w:r>
      <w:r>
        <w:t xml:space="preserve">poster in its correct chronological position. The record surface remains the same in both places; only the aggregation context changes.</w:t>
      </w:r>
      <w:r>
        <w:t xml:space="preserve"> </w:t>
      </w:r>
      <w:hyperlink r:id="rId46">
        <w:r>
          <w:rPr>
            <w:rStyle w:val="Hyperlink"/>
          </w:rPr>
          <w:t xml:space="preserve">[16]</w:t>
        </w:r>
      </w:hyperlink>
    </w:p>
    <w:p>
      <w:pPr>
        <w:pStyle w:val="BodyText"/>
      </w:pPr>
      <w:r>
        <w:t xml:space="preserve">The final recommended taxonomy is therefore:</w:t>
      </w:r>
    </w:p>
    <w:p>
      <w:pPr>
        <w:pStyle w:val="BodyText"/>
      </w:pPr>
      <w:r>
        <w:rPr>
          <w:b/>
          <w:bCs/>
        </w:rPr>
        <w:t xml:space="preserve">Required types</w:t>
      </w:r>
    </w:p>
    <w:p>
      <w:pPr>
        <w:pStyle w:val="Compact"/>
        <w:numPr>
          <w:ilvl w:val="0"/>
          <w:numId w:val="1005"/>
        </w:numPr>
      </w:pPr>
      <w:r>
        <w:t xml:space="preserve">archive box overview</w:t>
      </w:r>
    </w:p>
    <w:p>
      <w:pPr>
        <w:pStyle w:val="Compact"/>
        <w:numPr>
          <w:ilvl w:val="0"/>
          <w:numId w:val="1005"/>
        </w:numPr>
      </w:pPr>
      <w:r>
        <w:t xml:space="preserve">folder cover</w:t>
      </w:r>
    </w:p>
    <w:p>
      <w:pPr>
        <w:pStyle w:val="Compact"/>
        <w:numPr>
          <w:ilvl w:val="0"/>
          <w:numId w:val="1005"/>
        </w:numPr>
      </w:pPr>
      <w:r>
        <w:t xml:space="preserve">folder index</w:t>
      </w:r>
    </w:p>
    <w:p>
      <w:pPr>
        <w:pStyle w:val="Compact"/>
        <w:numPr>
          <w:ilvl w:val="0"/>
          <w:numId w:val="1005"/>
        </w:numPr>
      </w:pPr>
      <w:r>
        <w:t xml:space="preserve">main sheet family</w:t>
      </w:r>
    </w:p>
    <w:p>
      <w:pPr>
        <w:pStyle w:val="Compact"/>
        <w:numPr>
          <w:ilvl w:val="0"/>
          <w:numId w:val="1005"/>
        </w:numPr>
      </w:pPr>
      <w:r>
        <w:t xml:space="preserve">main loose-leaf sheet</w:t>
      </w:r>
    </w:p>
    <w:p>
      <w:pPr>
        <w:pStyle w:val="Compact"/>
        <w:numPr>
          <w:ilvl w:val="0"/>
          <w:numId w:val="1005"/>
        </w:numPr>
      </w:pPr>
      <w:r>
        <w:t xml:space="preserve">continuation mode</w:t>
      </w:r>
    </w:p>
    <w:p>
      <w:pPr>
        <w:pStyle w:val="Compact"/>
        <w:numPr>
          <w:ilvl w:val="0"/>
          <w:numId w:val="1005"/>
        </w:numPr>
      </w:pPr>
      <w:r>
        <w:t xml:space="preserve">text-only mode</w:t>
      </w:r>
    </w:p>
    <w:p>
      <w:pPr>
        <w:pStyle w:val="Compact"/>
        <w:numPr>
          <w:ilvl w:val="0"/>
          <w:numId w:val="1005"/>
        </w:numPr>
      </w:pPr>
      <w:r>
        <w:t xml:space="preserve">image-rights placeholder mode</w:t>
      </w:r>
    </w:p>
    <w:p>
      <w:pPr>
        <w:pStyle w:val="Compact"/>
        <w:numPr>
          <w:ilvl w:val="0"/>
          <w:numId w:val="1005"/>
        </w:numPr>
      </w:pPr>
      <w:r>
        <w:t xml:space="preserve">group/compound mode</w:t>
      </w:r>
    </w:p>
    <w:p>
      <w:pPr>
        <w:pStyle w:val="Compact"/>
        <w:numPr>
          <w:ilvl w:val="0"/>
          <w:numId w:val="1005"/>
        </w:numPr>
      </w:pPr>
      <w:r>
        <w:t xml:space="preserve">card</w:t>
      </w:r>
    </w:p>
    <w:p>
      <w:pPr>
        <w:pStyle w:val="Compact"/>
        <w:numPr>
          <w:ilvl w:val="0"/>
          <w:numId w:val="1005"/>
        </w:numPr>
      </w:pPr>
      <w:r>
        <w:t xml:space="preserve">fallback stub</w:t>
      </w:r>
    </w:p>
    <w:p>
      <w:pPr>
        <w:pStyle w:val="Compact"/>
        <w:numPr>
          <w:ilvl w:val="0"/>
          <w:numId w:val="1005"/>
        </w:numPr>
      </w:pPr>
      <w:r>
        <w:t xml:space="preserve">unassigned research item</w:t>
      </w:r>
    </w:p>
    <w:p>
      <w:pPr>
        <w:pStyle w:val="Compact"/>
        <w:numPr>
          <w:ilvl w:val="0"/>
          <w:numId w:val="1005"/>
        </w:numPr>
      </w:pPr>
      <w:r>
        <w:t xml:space="preserve">citation appendix or integrated citation annex</w:t>
      </w:r>
    </w:p>
    <w:p>
      <w:pPr>
        <w:pStyle w:val="Compact"/>
        <w:numPr>
          <w:ilvl w:val="0"/>
          <w:numId w:val="1005"/>
        </w:numPr>
      </w:pPr>
      <w:r>
        <w:t xml:space="preserve">rights appendix or integrated rights annex</w:t>
      </w:r>
    </w:p>
    <w:p>
      <w:pPr>
        <w:pStyle w:val="Compact"/>
        <w:numPr>
          <w:ilvl w:val="0"/>
          <w:numId w:val="1005"/>
        </w:numPr>
      </w:pPr>
      <w:r>
        <w:t xml:space="preserve">registration/log page</w:t>
      </w:r>
    </w:p>
    <w:p>
      <w:pPr>
        <w:pStyle w:val="FirstParagraph"/>
      </w:pPr>
      <w:r>
        <w:rPr>
          <w:b/>
          <w:bCs/>
        </w:rPr>
        <w:t xml:space="preserve">Optional types</w:t>
      </w:r>
    </w:p>
    <w:p>
      <w:pPr>
        <w:pStyle w:val="Compact"/>
        <w:numPr>
          <w:ilvl w:val="0"/>
          <w:numId w:val="1006"/>
        </w:numPr>
      </w:pPr>
      <w:r>
        <w:t xml:space="preserve">proposed cell item</w:t>
      </w:r>
    </w:p>
    <w:p>
      <w:pPr>
        <w:pStyle w:val="Compact"/>
        <w:numPr>
          <w:ilvl w:val="0"/>
          <w:numId w:val="1006"/>
        </w:numPr>
      </w:pPr>
      <w:r>
        <w:t xml:space="preserve">source dossier</w:t>
      </w:r>
    </w:p>
    <w:p>
      <w:pPr>
        <w:pStyle w:val="Compact"/>
        <w:numPr>
          <w:ilvl w:val="0"/>
          <w:numId w:val="1006"/>
        </w:numPr>
      </w:pPr>
      <w:r>
        <w:t xml:space="preserve">relation appendix</w:t>
      </w:r>
    </w:p>
    <w:p>
      <w:pPr>
        <w:pStyle w:val="Compact"/>
        <w:numPr>
          <w:ilvl w:val="0"/>
          <w:numId w:val="1006"/>
        </w:numPr>
      </w:pPr>
      <w:r>
        <w:t xml:space="preserve">bookmark/instruction sheet</w:t>
      </w:r>
    </w:p>
    <w:p>
      <w:pPr>
        <w:pStyle w:val="Compact"/>
        <w:numPr>
          <w:ilvl w:val="0"/>
          <w:numId w:val="1006"/>
        </w:numPr>
      </w:pPr>
      <w:r>
        <w:t xml:space="preserve">formally distinct printable continuation sheet</w:t>
      </w:r>
    </w:p>
    <w:p>
      <w:pPr>
        <w:pStyle w:val="Compact"/>
        <w:numPr>
          <w:ilvl w:val="0"/>
          <w:numId w:val="1006"/>
        </w:numPr>
      </w:pPr>
      <w:r>
        <w:t xml:space="preserve">formally distinct group/compound sheet name if you want to expose that mode explicitly</w:t>
      </w:r>
    </w:p>
    <w:p>
      <w:pPr>
        <w:pStyle w:val="FirstParagraph"/>
      </w:pPr>
      <w:r>
        <w:rPr>
          <w:b/>
          <w:bCs/>
        </w:rPr>
        <w:t xml:space="preserve">Deprecated or avoid</w:t>
      </w:r>
    </w:p>
    <w:p>
      <w:pPr>
        <w:pStyle w:val="Compact"/>
        <w:numPr>
          <w:ilvl w:val="0"/>
          <w:numId w:val="1007"/>
        </w:numPr>
      </w:pPr>
      <w:r>
        <w:t xml:space="preserve">folder-type-specific record layouts</w:t>
      </w:r>
    </w:p>
    <w:p>
      <w:pPr>
        <w:pStyle w:val="Compact"/>
        <w:numPr>
          <w:ilvl w:val="0"/>
          <w:numId w:val="1007"/>
        </w:numPr>
      </w:pPr>
      <w:r>
        <w:t xml:space="preserve">separate image-state-specific record classes</w:t>
      </w:r>
    </w:p>
    <w:p>
      <w:pPr>
        <w:pStyle w:val="Compact"/>
        <w:numPr>
          <w:ilvl w:val="0"/>
          <w:numId w:val="1007"/>
        </w:numPr>
      </w:pPr>
      <w:r>
        <w:t xml:space="preserve">separate search-card ontology apart from the card</w:t>
      </w:r>
    </w:p>
    <w:p>
      <w:pPr>
        <w:pStyle w:val="Compact"/>
        <w:numPr>
          <w:ilvl w:val="0"/>
          <w:numId w:val="1007"/>
        </w:numPr>
      </w:pPr>
      <w:r>
        <w:t xml:space="preserve">separate registration card apart from the log page</w:t>
      </w:r>
    </w:p>
    <w:p>
      <w:pPr>
        <w:pStyle w:val="Compact"/>
        <w:numPr>
          <w:ilvl w:val="0"/>
          <w:numId w:val="1007"/>
        </w:numPr>
      </w:pPr>
      <w:r>
        <w:t xml:space="preserve">timeline or time drawer as a top-level navigation container</w:t>
      </w:r>
    </w:p>
    <w:p>
      <w:pPr>
        <w:pStyle w:val="Compact"/>
        <w:numPr>
          <w:ilvl w:val="0"/>
          <w:numId w:val="1007"/>
        </w:numPr>
      </w:pPr>
      <w:r>
        <w:t xml:space="preserve">appendix rows treated as independent records</w:t>
      </w:r>
    </w:p>
    <w:p>
      <w:pPr>
        <w:pStyle w:val="FirstParagraph"/>
      </w:pPr>
      <w:r>
        <w:t xml:space="preserve">A short way to remember the whole model is:</w:t>
      </w:r>
    </w:p>
    <w:p>
      <w:pPr>
        <w:pStyle w:val="BodyText"/>
      </w:pPr>
      <w:r>
        <w:rPr>
          <w:b/>
          <w:bCs/>
        </w:rPr>
        <w:t xml:space="preserve">Box and folders organize discovery.</w:t>
      </w:r>
      <w:r>
        <w:br/>
      </w:r>
      <w:r>
        <w:rPr>
          <w:b/>
          <w:bCs/>
        </w:rPr>
        <w:t xml:space="preserve">Sheets, cards, and stubs organize record completeness.</w:t>
      </w:r>
      <w:r>
        <w:br/>
      </w:r>
      <w:r>
        <w:rPr>
          <w:b/>
          <w:bCs/>
        </w:rPr>
        <w:t xml:space="preserve">IMG00–IMG04 organize image publication risk.</w:t>
      </w:r>
      <w:r>
        <w:br/>
      </w:r>
      <w:r>
        <w:rPr>
          <w:b/>
          <w:bCs/>
        </w:rPr>
        <w:t xml:space="preserve">Appendices organize evidence.</w:t>
      </w:r>
      <w:r>
        <w:br/>
      </w:r>
      <w:r>
        <w:rPr>
          <w:b/>
          <w:bCs/>
        </w:rPr>
        <w:t xml:space="preserve">Time organizes every folder.</w:t>
      </w:r>
    </w:p>
    <w:bookmarkEnd w:id="47"/>
    <w:bookmarkStart w:id="49" w:name="open-questions-and-limitations"/>
    <w:p>
      <w:pPr>
        <w:pStyle w:val="Heading2"/>
      </w:pPr>
      <w:r>
        <w:t xml:space="preserve">Open questions and limitations</w:t>
      </w:r>
    </w:p>
    <w:p>
      <w:pPr>
        <w:pStyle w:val="FirstParagraph"/>
      </w:pPr>
      <w:r>
        <w:t xml:space="preserve">The biggest unresolved implementation question is policy rather than taxonomy:</w:t>
      </w:r>
      <w:r>
        <w:t xml:space="preserve"> </w:t>
      </w:r>
      <w:r>
        <w:rPr>
          <w:b/>
          <w:bCs/>
        </w:rPr>
        <w:t xml:space="preserve">when, if ever, should IMG01 controlled thumbnails be shown without explicit thumbnail-rights evidence?</w:t>
      </w:r>
      <w:r>
        <w:t xml:space="preserve"> </w:t>
      </w:r>
      <w:r>
        <w:t xml:space="preserve">Europeana’s terms are notably cautious and tie rights statements to previews/thumbnails as well as digital objects, which suggests conservative handling unless the source or institutional policy is explicit.</w:t>
      </w:r>
      <w:r>
        <w:t xml:space="preserve"> </w:t>
      </w:r>
      <w:hyperlink r:id="rId48">
        <w:r>
          <w:rPr>
            <w:rStyle w:val="Hyperlink"/>
          </w:rPr>
          <w:t xml:space="preserve">[17]</w:t>
        </w:r>
      </w:hyperlink>
    </w:p>
    <w:p>
      <w:pPr>
        <w:pStyle w:val="BodyText"/>
      </w:pPr>
      <w:r>
        <w:t xml:space="preserve">A second open question is governance for</w:t>
      </w:r>
      <w:r>
        <w:t xml:space="preserve"> </w:t>
      </w:r>
      <w:r>
        <w:rPr>
          <w:b/>
          <w:bCs/>
        </w:rPr>
        <w:t xml:space="preserve">proposed cells</w:t>
      </w:r>
      <w:r>
        <w:t xml:space="preserve">. The taxonomy above assumes you will maintain a controlled approval process for new Movement and Theme terms, ideally cross-walking to established vocabularies where possible and using local terms only when external vocabularies do not fit.</w:t>
      </w:r>
      <w:r>
        <w:t xml:space="preserve"> </w:t>
      </w:r>
      <w:hyperlink r:id="rId45">
        <w:r>
          <w:rPr>
            <w:rStyle w:val="Hyperlink"/>
          </w:rPr>
          <w:t xml:space="preserve">[15]</w:t>
        </w:r>
      </w:hyperlink>
    </w:p>
    <w:p>
      <w:pPr>
        <w:pStyle w:val="BodyText"/>
      </w:pPr>
      <w:r>
        <w:t xml:space="preserve">A third open question is search exposure for</w:t>
      </w:r>
      <w:r>
        <w:t xml:space="preserve"> </w:t>
      </w:r>
      <w:r>
        <w:rPr>
          <w:b/>
          <w:bCs/>
        </w:rPr>
        <w:t xml:space="preserve">registration/log pages</w:t>
      </w:r>
      <w:r>
        <w:t xml:space="preserve"> </w:t>
      </w:r>
      <w:r>
        <w:t xml:space="preserve">and some appendices. My recommendation is to keep them accessible but not prominent in default search, so the main research gateway remains record-centered rather than process-centered.</w:t>
      </w:r>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https://www.loc.gov/research-centers/manuscript/researcher-resources/finding-aids/using-finding-aids/</w:t>
      </w:r>
    </w:p>
    <w:p>
      <w:pPr>
        <w:pStyle w:val="BodyText"/>
      </w:pPr>
      <w:hyperlink r:id="rId21">
        <w:r>
          <w:rPr>
            <w:rStyle w:val="Hyperlink"/>
          </w:rPr>
          <w:t xml:space="preserve">https://www.loc.gov/research-centers/manuscript/researcher-resources/finding-aids/using-finding-aids/</w:t>
        </w:r>
      </w:hyperlink>
    </w:p>
    <w:p>
      <w:pPr>
        <w:pStyle w:val="BodyText"/>
      </w:pPr>
      <w:hyperlink r:id="rId22">
        <w:r>
          <w:rPr>
            <w:rStyle w:val="Hyperlink"/>
          </w:rPr>
          <w:t xml:space="preserve">[2]</w:t>
        </w:r>
      </w:hyperlink>
      <w:r>
        <w:t xml:space="preserve"> </w:t>
      </w:r>
      <w:r>
        <w:t xml:space="preserve">https://saa-ts-dacs.github.io/dacs/06_part_I/02_chapter_01.html</w:t>
      </w:r>
    </w:p>
    <w:p>
      <w:pPr>
        <w:pStyle w:val="BodyText"/>
      </w:pPr>
      <w:hyperlink r:id="rId22">
        <w:r>
          <w:rPr>
            <w:rStyle w:val="Hyperlink"/>
          </w:rPr>
          <w:t xml:space="preserve">https://saa-ts-dacs.github.io/dacs/06_part_I/02_chapter_01.html</w:t>
        </w:r>
      </w:hyperlink>
    </w:p>
    <w:p>
      <w:pPr>
        <w:pStyle w:val="BodyText"/>
      </w:pPr>
      <w:hyperlink r:id="rId23">
        <w:r>
          <w:rPr>
            <w:rStyle w:val="Hyperlink"/>
          </w:rPr>
          <w:t xml:space="preserve">[3]</w:t>
        </w:r>
      </w:hyperlink>
      <w:r>
        <w:t xml:space="preserve"> </w:t>
      </w:r>
      <w:r>
        <w:t xml:space="preserve">https://www.oclc.org/bibformats/en/about/onlinecataloging.html</w:t>
      </w:r>
    </w:p>
    <w:p>
      <w:pPr>
        <w:pStyle w:val="BodyText"/>
      </w:pPr>
      <w:hyperlink r:id="rId23">
        <w:r>
          <w:rPr>
            <w:rStyle w:val="Hyperlink"/>
          </w:rPr>
          <w:t xml:space="preserve">https://www.oclc.org/bibformats/en/about/onlinecataloging.html</w:t>
        </w:r>
      </w:hyperlink>
    </w:p>
    <w:p>
      <w:pPr>
        <w:pStyle w:val="BodyText"/>
      </w:pPr>
      <w:hyperlink r:id="rId24">
        <w:r>
          <w:rPr>
            <w:rStyle w:val="Hyperlink"/>
          </w:rPr>
          <w:t xml:space="preserve">[4]</w:t>
        </w:r>
      </w:hyperlink>
      <w:r>
        <w:t xml:space="preserve"> </w:t>
      </w:r>
      <w:r>
        <w:t xml:space="preserve">https://rightsstatements.org/en/documentation/</w:t>
      </w:r>
    </w:p>
    <w:p>
      <w:pPr>
        <w:pStyle w:val="BodyText"/>
      </w:pPr>
      <w:hyperlink r:id="rId24">
        <w:r>
          <w:rPr>
            <w:rStyle w:val="Hyperlink"/>
          </w:rPr>
          <w:t xml:space="preserve">https://rightsstatements.org/en/documentation/</w:t>
        </w:r>
      </w:hyperlink>
    </w:p>
    <w:p>
      <w:pPr>
        <w:pStyle w:val="BodyText"/>
      </w:pPr>
      <w:hyperlink r:id="rId25">
        <w:r>
          <w:rPr>
            <w:rStyle w:val="Hyperlink"/>
          </w:rPr>
          <w:t xml:space="preserve">[5]</w:t>
        </w:r>
      </w:hyperlink>
      <w:r>
        <w:t xml:space="preserve"> </w:t>
      </w:r>
      <w:hyperlink r:id="rId25">
        <w:r>
          <w:rPr>
            <w:rStyle w:val="Hyperlink"/>
          </w:rPr>
          <w:t xml:space="preserve">[7]</w:t>
        </w:r>
      </w:hyperlink>
      <w:r>
        <w:t xml:space="preserve"> </w:t>
      </w:r>
      <w:r>
        <w:t xml:space="preserve">https://collections.si.edu/search/detail/edanmdm%3Achndm_1962-138-4</w:t>
      </w:r>
    </w:p>
    <w:p>
      <w:pPr>
        <w:pStyle w:val="BodyText"/>
      </w:pPr>
      <w:hyperlink r:id="rId25">
        <w:r>
          <w:rPr>
            <w:rStyle w:val="Hyperlink"/>
          </w:rPr>
          <w:t xml:space="preserve">https://collections.si.edu/search/detail/edanmdm%3Achndm_1962-138-4</w:t>
        </w:r>
      </w:hyperlink>
    </w:p>
    <w:p>
      <w:pPr>
        <w:pStyle w:val="BodyText"/>
      </w:pPr>
      <w:hyperlink r:id="rId26">
        <w:r>
          <w:rPr>
            <w:rStyle w:val="Hyperlink"/>
          </w:rPr>
          <w:t xml:space="preserve">[6]</w:t>
        </w:r>
      </w:hyperlink>
      <w:r>
        <w:t xml:space="preserve"> </w:t>
      </w:r>
      <w:r>
        <w:t xml:space="preserve">https://www.aaa.si.edu/book/export/html/46553</w:t>
      </w:r>
    </w:p>
    <w:p>
      <w:pPr>
        <w:pStyle w:val="BodyText"/>
      </w:pPr>
      <w:hyperlink r:id="rId26">
        <w:r>
          <w:rPr>
            <w:rStyle w:val="Hyperlink"/>
          </w:rPr>
          <w:t xml:space="preserve">https://www.aaa.si.edu/book/export/html/46553</w:t>
        </w:r>
      </w:hyperlink>
    </w:p>
    <w:p>
      <w:pPr>
        <w:pStyle w:val="BodyText"/>
      </w:pPr>
      <w:hyperlink r:id="rId34">
        <w:r>
          <w:rPr>
            <w:rStyle w:val="Hyperlink"/>
          </w:rPr>
          <w:t xml:space="preserve">[8]</w:t>
        </w:r>
      </w:hyperlink>
      <w:r>
        <w:t xml:space="preserve"> </w:t>
      </w:r>
      <w:r>
        <w:t xml:space="preserve">https://www.archives.gov/research/data-model</w:t>
      </w:r>
    </w:p>
    <w:p>
      <w:pPr>
        <w:pStyle w:val="BodyText"/>
      </w:pPr>
      <w:hyperlink r:id="rId34">
        <w:r>
          <w:rPr>
            <w:rStyle w:val="Hyperlink"/>
          </w:rPr>
          <w:t xml:space="preserve">https://www.archives.gov/research/data-model</w:t>
        </w:r>
      </w:hyperlink>
    </w:p>
    <w:p>
      <w:pPr>
        <w:pStyle w:val="BodyText"/>
      </w:pPr>
      <w:hyperlink r:id="rId35">
        <w:r>
          <w:rPr>
            <w:rStyle w:val="Hyperlink"/>
          </w:rPr>
          <w:t xml:space="preserve">[9]</w:t>
        </w:r>
      </w:hyperlink>
      <w:r>
        <w:t xml:space="preserve"> </w:t>
      </w:r>
      <w:hyperlink r:id="rId35">
        <w:r>
          <w:rPr>
            <w:rStyle w:val="Hyperlink"/>
          </w:rPr>
          <w:t xml:space="preserve">[10]</w:t>
        </w:r>
      </w:hyperlink>
      <w:r>
        <w:t xml:space="preserve"> </w:t>
      </w:r>
      <w:r>
        <w:t xml:space="preserve">https://saa-ts-dacs.github.io/dacs/06_part_I/03_chapter_02/04_date.html</w:t>
      </w:r>
    </w:p>
    <w:p>
      <w:pPr>
        <w:pStyle w:val="BodyText"/>
      </w:pPr>
      <w:hyperlink r:id="rId35">
        <w:r>
          <w:rPr>
            <w:rStyle w:val="Hyperlink"/>
          </w:rPr>
          <w:t xml:space="preserve">https://saa-ts-dacs.github.io/dacs/06_part_I/03_chapter_02/04_date.html</w:t>
        </w:r>
      </w:hyperlink>
    </w:p>
    <w:p>
      <w:pPr>
        <w:pStyle w:val="BodyText"/>
      </w:pPr>
      <w:hyperlink r:id="rId41">
        <w:r>
          <w:rPr>
            <w:rStyle w:val="Hyperlink"/>
          </w:rPr>
          <w:t xml:space="preserve">[11]</w:t>
        </w:r>
      </w:hyperlink>
      <w:r>
        <w:t xml:space="preserve"> </w:t>
      </w:r>
      <w:r>
        <w:t xml:space="preserve">https://collections.si.edu/search/detail/edanmdm%3Achndm_1979-42-4</w:t>
      </w:r>
    </w:p>
    <w:p>
      <w:pPr>
        <w:pStyle w:val="BodyText"/>
      </w:pPr>
      <w:hyperlink r:id="rId41">
        <w:r>
          <w:rPr>
            <w:rStyle w:val="Hyperlink"/>
          </w:rPr>
          <w:t xml:space="preserve">https://collections.si.edu/search/detail/edanmdm%3Achndm_1979-42-4</w:t>
        </w:r>
      </w:hyperlink>
    </w:p>
    <w:p>
      <w:pPr>
        <w:pStyle w:val="BodyText"/>
      </w:pPr>
      <w:hyperlink r:id="rId42">
        <w:r>
          <w:rPr>
            <w:rStyle w:val="Hyperlink"/>
          </w:rPr>
          <w:t xml:space="preserve">[12]</w:t>
        </w:r>
      </w:hyperlink>
      <w:r>
        <w:t xml:space="preserve"> </w:t>
      </w:r>
      <w:r>
        <w:t xml:space="preserve">https://iiif.io/get-started/how-iiif-works/</w:t>
      </w:r>
    </w:p>
    <w:p>
      <w:pPr>
        <w:pStyle w:val="BodyText"/>
      </w:pPr>
      <w:hyperlink r:id="rId42">
        <w:r>
          <w:rPr>
            <w:rStyle w:val="Hyperlink"/>
          </w:rPr>
          <w:t xml:space="preserve">https://iiif.io/get-started/how-iiif-works/</w:t>
        </w:r>
      </w:hyperlink>
    </w:p>
    <w:p>
      <w:pPr>
        <w:pStyle w:val="BodyText"/>
      </w:pPr>
      <w:hyperlink r:id="rId43">
        <w:r>
          <w:rPr>
            <w:rStyle w:val="Hyperlink"/>
          </w:rPr>
          <w:t xml:space="preserve">[13]</w:t>
        </w:r>
      </w:hyperlink>
      <w:r>
        <w:t xml:space="preserve"> </w:t>
      </w:r>
      <w:r>
        <w:t xml:space="preserve">https://search.worldcat.org/title/The-Vignelli-canon/oclc/630456781</w:t>
      </w:r>
    </w:p>
    <w:p>
      <w:pPr>
        <w:pStyle w:val="BodyText"/>
      </w:pPr>
      <w:hyperlink r:id="rId43">
        <w:r>
          <w:rPr>
            <w:rStyle w:val="Hyperlink"/>
          </w:rPr>
          <w:t xml:space="preserve">https://search.worldcat.org/title/The-Vignelli-canon/oclc/630456781</w:t>
        </w:r>
      </w:hyperlink>
    </w:p>
    <w:p>
      <w:pPr>
        <w:pStyle w:val="BodyText"/>
      </w:pPr>
      <w:hyperlink r:id="rId44">
        <w:r>
          <w:rPr>
            <w:rStyle w:val="Hyperlink"/>
          </w:rPr>
          <w:t xml:space="preserve">[14]</w:t>
        </w:r>
      </w:hyperlink>
      <w:r>
        <w:t xml:space="preserve"> </w:t>
      </w:r>
      <w:r>
        <w:t xml:space="preserve">https://trove.nla.gov.au/help/navigating/trove-records</w:t>
      </w:r>
    </w:p>
    <w:p>
      <w:pPr>
        <w:pStyle w:val="BodyText"/>
      </w:pPr>
      <w:hyperlink r:id="rId44">
        <w:r>
          <w:rPr>
            <w:rStyle w:val="Hyperlink"/>
          </w:rPr>
          <w:t xml:space="preserve">https://trove.nla.gov.au/help/navigating/trove-records</w:t>
        </w:r>
      </w:hyperlink>
    </w:p>
    <w:p>
      <w:pPr>
        <w:pStyle w:val="BodyText"/>
      </w:pPr>
      <w:hyperlink r:id="rId45">
        <w:r>
          <w:rPr>
            <w:rStyle w:val="Hyperlink"/>
          </w:rPr>
          <w:t xml:space="preserve">[15]</w:t>
        </w:r>
      </w:hyperlink>
      <w:r>
        <w:t xml:space="preserve"> </w:t>
      </w:r>
      <w:r>
        <w:t xml:space="preserve">https://www.getty.edu/research/tools/vocabularies/aat/</w:t>
      </w:r>
    </w:p>
    <w:p>
      <w:pPr>
        <w:pStyle w:val="BodyText"/>
      </w:pPr>
      <w:hyperlink r:id="rId45">
        <w:r>
          <w:rPr>
            <w:rStyle w:val="Hyperlink"/>
          </w:rPr>
          <w:t xml:space="preserve">https://www.getty.edu/research/tools/vocabularies/aat/</w:t>
        </w:r>
      </w:hyperlink>
    </w:p>
    <w:p>
      <w:pPr>
        <w:pStyle w:val="BodyText"/>
      </w:pPr>
      <w:hyperlink r:id="rId46">
        <w:r>
          <w:rPr>
            <w:rStyle w:val="Hyperlink"/>
          </w:rPr>
          <w:t xml:space="preserve">[16]</w:t>
        </w:r>
      </w:hyperlink>
      <w:r>
        <w:t xml:space="preserve"> </w:t>
      </w:r>
      <w:r>
        <w:t xml:space="preserve">https://www.moma.org/collection/works/5101</w:t>
      </w:r>
    </w:p>
    <w:p>
      <w:pPr>
        <w:pStyle w:val="BodyText"/>
      </w:pPr>
      <w:hyperlink r:id="rId46">
        <w:r>
          <w:rPr>
            <w:rStyle w:val="Hyperlink"/>
          </w:rPr>
          <w:t xml:space="preserve">https://www.moma.org/collection/works/5101</w:t>
        </w:r>
      </w:hyperlink>
    </w:p>
    <w:p>
      <w:pPr>
        <w:pStyle w:val="BodyText"/>
      </w:pPr>
      <w:hyperlink r:id="rId48">
        <w:r>
          <w:rPr>
            <w:rStyle w:val="Hyperlink"/>
          </w:rPr>
          <w:t xml:space="preserve">[17]</w:t>
        </w:r>
      </w:hyperlink>
      <w:r>
        <w:t xml:space="preserve"> </w:t>
      </w:r>
      <w:r>
        <w:t xml:space="preserve">https://www.europeana.eu/en/rights/terms-of-use</w:t>
      </w:r>
    </w:p>
    <w:p>
      <w:pPr>
        <w:pStyle w:val="BodyText"/>
      </w:pPr>
      <w:hyperlink r:id="rId48">
        <w:r>
          <w:rPr>
            <w:rStyle w:val="Hyperlink"/>
          </w:rPr>
          <w:t xml:space="preserve">https://www.europeana.eu/en/rights/terms-of-use</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ollections.si.edu/search/detail/edanmdm%3Achndm_1962-138-4" TargetMode="External" /><Relationship Type="http://schemas.openxmlformats.org/officeDocument/2006/relationships/hyperlink" Id="rId41" Target="https://collections.si.edu/search/detail/edanmdm%3Achndm_1979-42-4" TargetMode="External" /><Relationship Type="http://schemas.openxmlformats.org/officeDocument/2006/relationships/hyperlink" Id="rId42" Target="https://iiif.io/get-started/how-iiif-works/" TargetMode="External" /><Relationship Type="http://schemas.openxmlformats.org/officeDocument/2006/relationships/hyperlink" Id="rId24" Target="https://rightsstatements.org/en/documentation/" TargetMode="External" /><Relationship Type="http://schemas.openxmlformats.org/officeDocument/2006/relationships/hyperlink" Id="rId22" Target="https://saa-ts-dacs.github.io/dacs/06_part_I/02_chapter_01.html" TargetMode="External" /><Relationship Type="http://schemas.openxmlformats.org/officeDocument/2006/relationships/hyperlink" Id="rId35" Target="https://saa-ts-dacs.github.io/dacs/06_part_I/03_chapter_02/04_date.html" TargetMode="External" /><Relationship Type="http://schemas.openxmlformats.org/officeDocument/2006/relationships/hyperlink" Id="rId43" Target="https://search.worldcat.org/title/The-Vignelli-canon/oclc/630456781" TargetMode="External" /><Relationship Type="http://schemas.openxmlformats.org/officeDocument/2006/relationships/hyperlink" Id="rId44" Target="https://trove.nla.gov.au/help/navigating/trove-records" TargetMode="External" /><Relationship Type="http://schemas.openxmlformats.org/officeDocument/2006/relationships/hyperlink" Id="rId26" Target="https://www.aaa.si.edu/book/export/html/46553" TargetMode="External" /><Relationship Type="http://schemas.openxmlformats.org/officeDocument/2006/relationships/hyperlink" Id="rId34" Target="https://www.archives.gov/research/data-model" TargetMode="External" /><Relationship Type="http://schemas.openxmlformats.org/officeDocument/2006/relationships/hyperlink" Id="rId48" Target="https://www.europeana.eu/en/rights/terms-of-use" TargetMode="External" /><Relationship Type="http://schemas.openxmlformats.org/officeDocument/2006/relationships/hyperlink" Id="rId45" Target="https://www.getty.edu/research/tools/vocabularies/aat/" TargetMode="External" /><Relationship Type="http://schemas.openxmlformats.org/officeDocument/2006/relationships/hyperlink" Id="rId21" Target="https://www.loc.gov/research-centers/manuscript/researcher-resources/finding-aids/using-finding-aids/" TargetMode="External" /><Relationship Type="http://schemas.openxmlformats.org/officeDocument/2006/relationships/hyperlink" Id="rId46" Target="https://www.moma.org/collection/works/5101" TargetMode="External" /><Relationship Type="http://schemas.openxmlformats.org/officeDocument/2006/relationships/hyperlink" Id="rId23" Target="https://www.oclc.org/bibformats/en/about/onlinecataloging.html" TargetMode="External" /></Relationships>
</file>

<file path=word/_rels/footnotes.xml.rels><?xml version="1.0" encoding="UTF-8"?><Relationships xmlns="http://schemas.openxmlformats.org/package/2006/relationships"><Relationship Type="http://schemas.openxmlformats.org/officeDocument/2006/relationships/hyperlink" Id="rId25" Target="https://collections.si.edu/search/detail/edanmdm%3Achndm_1962-138-4" TargetMode="External" /><Relationship Type="http://schemas.openxmlformats.org/officeDocument/2006/relationships/hyperlink" Id="rId41" Target="https://collections.si.edu/search/detail/edanmdm%3Achndm_1979-42-4" TargetMode="External" /><Relationship Type="http://schemas.openxmlformats.org/officeDocument/2006/relationships/hyperlink" Id="rId42" Target="https://iiif.io/get-started/how-iiif-works/" TargetMode="External" /><Relationship Type="http://schemas.openxmlformats.org/officeDocument/2006/relationships/hyperlink" Id="rId24" Target="https://rightsstatements.org/en/documentation/" TargetMode="External" /><Relationship Type="http://schemas.openxmlformats.org/officeDocument/2006/relationships/hyperlink" Id="rId22" Target="https://saa-ts-dacs.github.io/dacs/06_part_I/02_chapter_01.html" TargetMode="External" /><Relationship Type="http://schemas.openxmlformats.org/officeDocument/2006/relationships/hyperlink" Id="rId35" Target="https://saa-ts-dacs.github.io/dacs/06_part_I/03_chapter_02/04_date.html" TargetMode="External" /><Relationship Type="http://schemas.openxmlformats.org/officeDocument/2006/relationships/hyperlink" Id="rId43" Target="https://search.worldcat.org/title/The-Vignelli-canon/oclc/630456781" TargetMode="External" /><Relationship Type="http://schemas.openxmlformats.org/officeDocument/2006/relationships/hyperlink" Id="rId44" Target="https://trove.nla.gov.au/help/navigating/trove-records" TargetMode="External" /><Relationship Type="http://schemas.openxmlformats.org/officeDocument/2006/relationships/hyperlink" Id="rId26" Target="https://www.aaa.si.edu/book/export/html/46553" TargetMode="External" /><Relationship Type="http://schemas.openxmlformats.org/officeDocument/2006/relationships/hyperlink" Id="rId34" Target="https://www.archives.gov/research/data-model" TargetMode="External" /><Relationship Type="http://schemas.openxmlformats.org/officeDocument/2006/relationships/hyperlink" Id="rId48" Target="https://www.europeana.eu/en/rights/terms-of-use" TargetMode="External" /><Relationship Type="http://schemas.openxmlformats.org/officeDocument/2006/relationships/hyperlink" Id="rId45" Target="https://www.getty.edu/research/tools/vocabularies/aat/" TargetMode="External" /><Relationship Type="http://schemas.openxmlformats.org/officeDocument/2006/relationships/hyperlink" Id="rId21" Target="https://www.loc.gov/research-centers/manuscript/researcher-resources/finding-aids/using-finding-aids/" TargetMode="External" /><Relationship Type="http://schemas.openxmlformats.org/officeDocument/2006/relationships/hyperlink" Id="rId46" Target="https://www.moma.org/collection/works/5101" TargetMode="External" /><Relationship Type="http://schemas.openxmlformats.org/officeDocument/2006/relationships/hyperlink" Id="rId23" Target="https://www.oclc.org/bibformats/en/about/onlinecatalog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2026-05-30T03:41:03Z</dcterms:created>
  <dcterms:modified xsi:type="dcterms:W3CDTF">2026-05-30T03:41:03Z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