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8d6569495cb66e2b1a03235ae3c01d4376b0a57"/>
    <w:p>
      <w:pPr>
        <w:pStyle w:val="Heading1"/>
      </w:pPr>
      <w:r>
        <w:t xml:space="preserve">Sustainable Humanities Research Infrastructure for a Graphic Design Archive Gateway</w:t>
      </w:r>
    </w:p>
    <w:bookmarkStart w:id="24" w:name="what-sustainability-means-here"/>
    <w:p>
      <w:pPr>
        <w:pStyle w:val="Heading2"/>
      </w:pPr>
      <w:r>
        <w:t xml:space="preserve">What sustainability means here</w:t>
      </w:r>
    </w:p>
    <w:p>
      <w:pPr>
        <w:pStyle w:val="FirstParagraph"/>
      </w:pPr>
      <w:r>
        <w:t xml:space="preserve">In this context,</w:t>
      </w:r>
      <w:r>
        <w:t xml:space="preserve"> </w:t>
      </w:r>
      <w:r>
        <w:rPr>
          <w:b/>
          <w:bCs/>
        </w:rPr>
        <w:t xml:space="preserve">sustainability</w:t>
      </w:r>
      <w:r>
        <w:t xml:space="preserve"> </w:t>
      </w:r>
      <w:r>
        <w:t xml:space="preserve">does not mean simply keeping a website online. In digital humanities, infrastructure is better understood as something</w:t>
      </w:r>
      <w:r>
        <w:t xml:space="preserve"> </w:t>
      </w:r>
      <w:r>
        <w:rPr>
          <w:b/>
          <w:bCs/>
        </w:rPr>
        <w:t xml:space="preserve">relational, ecological, and socio-technical</w:t>
      </w:r>
      <w:r>
        <w:t xml:space="preserve">: Susan Leigh Star described infrastructure as relational rather than self-evident, while CLARIN and DARIAH explicitly describe humanities infrastructures as combinations of</w:t>
      </w:r>
      <w:r>
        <w:t xml:space="preserve"> </w:t>
      </w:r>
      <w:r>
        <w:rPr>
          <w:b/>
          <w:bCs/>
        </w:rPr>
        <w:t xml:space="preserve">technical and social infrastructures</w:t>
      </w:r>
      <w:r>
        <w:t xml:space="preserve">. For humanities researchers specifically, Julia Flanders Tucker argues that digital sustainability has at least four interlocking dimensions—</w:t>
      </w:r>
      <w:r>
        <w:rPr>
          <w:b/>
          <w:bCs/>
        </w:rPr>
        <w:t xml:space="preserve">technological, financial, environmental, and human</w:t>
      </w:r>
      <w:r>
        <w:t xml:space="preserve">. Taken together, those views imply that a sustainable graphic design gateway is a system that keeps not only files and databases alive, but also identifiers, standards, relationships, maintenance labor, and institutional commitments intelligible over time.</w:t>
      </w:r>
      <w:r>
        <w:t xml:space="preserve"> </w:t>
      </w:r>
      <w:hyperlink r:id="rId21">
        <w:r>
          <w:rPr>
            <w:rStyle w:val="Hyperlink"/>
          </w:rPr>
          <w:t xml:space="preserve">[1]</w:t>
        </w:r>
      </w:hyperlink>
    </w:p>
    <w:p>
      <w:pPr>
        <w:pStyle w:val="BodyText"/>
      </w:pPr>
      <w:r>
        <w:t xml:space="preserve">For your project, that means preserving a</w:t>
      </w:r>
      <w:r>
        <w:t xml:space="preserve"> </w:t>
      </w:r>
      <w:r>
        <w:rPr>
          <w:b/>
          <w:bCs/>
        </w:rPr>
        <w:t xml:space="preserve">curated archive graph</w:t>
      </w:r>
      <w:r>
        <w:t xml:space="preserve"> </w:t>
      </w:r>
      <w:r>
        <w:t xml:space="preserve">as an ongoing scholarly infrastructure rather than treating the gateway as a finished publication. The preservation target is not only digitized content but also the workflows that create and interpret it: ingest mappings, provenance trails, rights statements, APIs, documentation, and preservation responsibilities. OAIS frames long-term access as an archival responsibility to a designated community; the TRUST Principles translate trustworthy stewardship into</w:t>
      </w:r>
      <w:r>
        <w:t xml:space="preserve"> </w:t>
      </w:r>
      <w:r>
        <w:rPr>
          <w:b/>
          <w:bCs/>
        </w:rPr>
        <w:t xml:space="preserve">Transparency, Responsibility, User focus, Sustainability, and Technology</w:t>
      </w:r>
      <w:r>
        <w:t xml:space="preserve">; CoreTrustSeal operationalizes repository trust requirements; and tools like DPC RAM and the NDSA Levels turn sustainability into something that can be benchmarked and improved rather than merely promised.</w:t>
      </w:r>
      <w:r>
        <w:t xml:space="preserve"> </w:t>
      </w:r>
      <w:hyperlink r:id="rId22">
        <w:r>
          <w:rPr>
            <w:rStyle w:val="Hyperlink"/>
          </w:rPr>
          <w:t xml:space="preserve">[2]</w:t>
        </w:r>
      </w:hyperlink>
    </w:p>
    <w:p>
      <w:pPr>
        <w:pStyle w:val="BodyText"/>
      </w:pPr>
      <w:r>
        <w:t xml:space="preserve">This shift from “project website” to “research infrastructure” is now well established in DH practice. Ithaka S+R’s work on sustaining the digital humanities argues that institutions need support models</w:t>
      </w:r>
      <w:r>
        <w:t xml:space="preserve"> </w:t>
      </w:r>
      <w:r>
        <w:rPr>
          <w:b/>
          <w:bCs/>
        </w:rPr>
        <w:t xml:space="preserve">beyond the start-up phase</w:t>
      </w:r>
      <w:r>
        <w:t xml:space="preserve">; Katrina Fenlon describes a broad sustainability crisis for DH collections and argues for</w:t>
      </w:r>
      <w:r>
        <w:t xml:space="preserve"> </w:t>
      </w:r>
      <w:r>
        <w:rPr>
          <w:b/>
          <w:bCs/>
        </w:rPr>
        <w:t xml:space="preserve">community-centred strategies</w:t>
      </w:r>
      <w:r>
        <w:t xml:space="preserve">; and Meneses and Furuta show that online DH projects are especially fragile because they depend on</w:t>
      </w:r>
      <w:r>
        <w:t xml:space="preserve"> </w:t>
      </w:r>
      <w:r>
        <w:rPr>
          <w:b/>
          <w:bCs/>
        </w:rPr>
        <w:t xml:space="preserve">distributed resources</w:t>
      </w:r>
      <w:r>
        <w:t xml:space="preserve"> </w:t>
      </w:r>
      <w:r>
        <w:t xml:space="preserve">administered across multiple systems and institutions. In other words, sustainable humanities infrastructure is not a luxury add-on for mature projects. It is the condition that prevents scholarly value from evaporating when a grant ends, a CMS changes, or a key person leaves.</w:t>
      </w:r>
      <w:r>
        <w:t xml:space="preserve"> </w:t>
      </w:r>
      <w:hyperlink r:id="rId23">
        <w:r>
          <w:rPr>
            <w:rStyle w:val="Hyperlink"/>
          </w:rPr>
          <w:t xml:space="preserve">[3]</w:t>
        </w:r>
      </w:hyperlink>
    </w:p>
    <w:bookmarkEnd w:id="24"/>
    <w:bookmarkStart w:id="31" w:name="the-standards-and-framework-stack"/>
    <w:p>
      <w:pPr>
        <w:pStyle w:val="Heading2"/>
      </w:pPr>
      <w:r>
        <w:t xml:space="preserve">The standards and framework stack</w:t>
      </w:r>
    </w:p>
    <w:p>
      <w:pPr>
        <w:pStyle w:val="FirstParagraph"/>
      </w:pPr>
      <w:r>
        <w:t xml:space="preserve">A sustainable archive graph begins with</w:t>
      </w:r>
      <w:r>
        <w:t xml:space="preserve"> </w:t>
      </w:r>
      <w:r>
        <w:rPr>
          <w:b/>
          <w:bCs/>
        </w:rPr>
        <w:t xml:space="preserve">metadata sustainability</w:t>
      </w:r>
      <w:r>
        <w:t xml:space="preserve">. FAIR insists that data and metadata should be findable, machine-readable, and identified with persistent identifiers; the ATLAS Guidelines adapt FAIR specifically for humanities outputs, including ontologies, linked open data, software, and scholarly editions; Europeana’s Data Quality Committee shows that metadata quality must be tied to</w:t>
      </w:r>
      <w:r>
        <w:t xml:space="preserve"> </w:t>
      </w:r>
      <w:r>
        <w:rPr>
          <w:b/>
          <w:bCs/>
        </w:rPr>
        <w:t xml:space="preserve">discovery and reuse scenarios</w:t>
      </w:r>
      <w:r>
        <w:t xml:space="preserve">; and Tóth-Czifra warns that humanities infrastructures can lose “</w:t>
      </w:r>
      <w:r>
        <w:rPr>
          <w:b/>
          <w:bCs/>
        </w:rPr>
        <w:t xml:space="preserve">thick description</w:t>
      </w:r>
      <w:r>
        <w:t xml:space="preserve">” when interpretive nuance is flattened into overly generic data structures. The practical consequence is that your metadata model should have a</w:t>
      </w:r>
      <w:r>
        <w:t xml:space="preserve"> </w:t>
      </w:r>
      <w:r>
        <w:rPr>
          <w:b/>
          <w:bCs/>
        </w:rPr>
        <w:t xml:space="preserve">small durable kernel</w:t>
      </w:r>
      <w:r>
        <w:t xml:space="preserve"> </w:t>
      </w:r>
      <w:r>
        <w:t xml:space="preserve">and</w:t>
      </w:r>
      <w:r>
        <w:t xml:space="preserve"> </w:t>
      </w:r>
      <w:r>
        <w:rPr>
          <w:b/>
          <w:bCs/>
        </w:rPr>
        <w:t xml:space="preserve">rich optional layers</w:t>
      </w:r>
      <w:r>
        <w:t xml:space="preserve">. A kernel might include stable identifier, title/label, type, actor-role, place, date or date range, source institution, source URI, rights, provenance note, and last updated date. Richer layers can then carry design-specific interpretation: printer, commissioner, pedagogical context, movement, exhibition history, medium, critical reception, or uncertainty notes. Just as importantly, original source assertions should be retained alongside normalized local values so that mappings remain reversible and auditable.</w:t>
      </w:r>
      <w:r>
        <w:t xml:space="preserve"> </w:t>
      </w:r>
      <w:hyperlink r:id="rId25">
        <w:r>
          <w:rPr>
            <w:rStyle w:val="Hyperlink"/>
          </w:rPr>
          <w:t xml:space="preserve">[4]</w:t>
        </w:r>
      </w:hyperlink>
    </w:p>
    <w:p>
      <w:pPr>
        <w:pStyle w:val="BodyText"/>
      </w:pPr>
      <w:r>
        <w:rPr>
          <w:b/>
          <w:bCs/>
        </w:rPr>
        <w:t xml:space="preserve">Citation and provenance</w:t>
      </w:r>
      <w:r>
        <w:t xml:space="preserve"> </w:t>
      </w:r>
      <w:r>
        <w:t xml:space="preserve">need to be first-class features, not footer text. W3C PROV defines provenance as information about the entities, activities, and people involved in producing a piece of data, precisely so users can judge quality, reliability, and trustworthiness. DataCite’s schema and guidance explicitly address</w:t>
      </w:r>
      <w:r>
        <w:t xml:space="preserve"> </w:t>
      </w:r>
      <w:r>
        <w:rPr>
          <w:b/>
          <w:bCs/>
        </w:rPr>
        <w:t xml:space="preserve">dynamic datasets</w:t>
      </w:r>
      <w:r>
        <w:t xml:space="preserve">,</w:t>
      </w:r>
      <w:r>
        <w:t xml:space="preserve"> </w:t>
      </w:r>
      <w:r>
        <w:rPr>
          <w:b/>
          <w:bCs/>
        </w:rPr>
        <w:t xml:space="preserve">software citation</w:t>
      </w:r>
      <w:r>
        <w:t xml:space="preserve">, and related resources; DataCite also notes that rapidly updated datasets pose special citation and preservation challenges. FORCE11’s software citation principles make the same point for code: software is part of the scholarly record and should be citable as such. In practice, that means each public record in your gateway should show: what source it came from, when it was harvested, who normalized it, what transformations were applied, what version of the local record the user is seeing, and how to cite it. The codebase and every public dataset release should have explicit citation metadata through mechanisms such as</w:t>
      </w:r>
      <w:r>
        <w:t xml:space="preserve"> </w:t>
      </w:r>
      <w:r>
        <w:rPr>
          <w:b/>
          <w:bCs/>
        </w:rPr>
        <w:t xml:space="preserve">CITATION.cff</w:t>
      </w:r>
      <w:r>
        <w:t xml:space="preserve"> </w:t>
      </w:r>
      <w:r>
        <w:t xml:space="preserve">and</w:t>
      </w:r>
      <w:r>
        <w:t xml:space="preserve"> </w:t>
      </w:r>
      <w:r>
        <w:rPr>
          <w:b/>
          <w:bCs/>
        </w:rPr>
        <w:t xml:space="preserve">CodeMeta</w:t>
      </w:r>
      <w:r>
        <w:t xml:space="preserve">, so that the infrastructure itself is also part of the citable scholarly record.</w:t>
      </w:r>
      <w:r>
        <w:t xml:space="preserve"> </w:t>
      </w:r>
      <w:hyperlink r:id="rId26">
        <w:r>
          <w:rPr>
            <w:rStyle w:val="Hyperlink"/>
          </w:rPr>
          <w:t xml:space="preserve">[5]</w:t>
        </w:r>
      </w:hyperlink>
    </w:p>
    <w:p>
      <w:pPr>
        <w:pStyle w:val="BodyText"/>
      </w:pPr>
      <w:r>
        <w:t xml:space="preserve">A</w:t>
      </w:r>
      <w:r>
        <w:t xml:space="preserve"> </w:t>
      </w:r>
      <w:r>
        <w:rPr>
          <w:b/>
          <w:bCs/>
        </w:rPr>
        <w:t xml:space="preserve">rights-aware image strategy</w:t>
      </w:r>
      <w:r>
        <w:t xml:space="preserve"> </w:t>
      </w:r>
      <w:r>
        <w:t xml:space="preserve">is essential because a distributed gateway almost always combines materials with different legal and ethical statuses. Europeana’s API guidance is especially clear: its metadata are released as</w:t>
      </w:r>
      <w:r>
        <w:t xml:space="preserve"> </w:t>
      </w:r>
      <w:r>
        <w:rPr>
          <w:b/>
          <w:bCs/>
        </w:rPr>
        <w:t xml:space="preserve">CC0</w:t>
      </w:r>
      <w:r>
        <w:t xml:space="preserve">, but linked partner objects remain governed by the rights statement attached to the object metadata. Europeana also emphasizes that rights statements should be</w:t>
      </w:r>
      <w:r>
        <w:t xml:space="preserve"> </w:t>
      </w:r>
      <w:r>
        <w:rPr>
          <w:b/>
          <w:bCs/>
        </w:rPr>
        <w:t xml:space="preserve">clear, simple, and machine-readable</w:t>
      </w:r>
      <w:r>
        <w:t xml:space="preserve">. IIIF’s rights guidance requires the rights, required statement, provider, and identifying metadata to travel with reused manifests, while Linked Art explicitly distinguishes rights attached to physical objects from rights attached to digital representations. For your system, this means you should store rights in structured fields, separate</w:t>
      </w:r>
      <w:r>
        <w:t xml:space="preserve"> </w:t>
      </w:r>
      <w:r>
        <w:rPr>
          <w:b/>
          <w:bCs/>
        </w:rPr>
        <w:t xml:space="preserve">metadata rights</w:t>
      </w:r>
      <w:r>
        <w:t xml:space="preserve"> </w:t>
      </w:r>
      <w:r>
        <w:t xml:space="preserve">from</w:t>
      </w:r>
      <w:r>
        <w:t xml:space="preserve"> </w:t>
      </w:r>
      <w:r>
        <w:rPr>
          <w:b/>
          <w:bCs/>
        </w:rPr>
        <w:t xml:space="preserve">object rights</w:t>
      </w:r>
      <w:r>
        <w:t xml:space="preserve"> </w:t>
      </w:r>
      <w:r>
        <w:t xml:space="preserve">and</w:t>
      </w:r>
      <w:r>
        <w:t xml:space="preserve"> </w:t>
      </w:r>
      <w:r>
        <w:rPr>
          <w:b/>
          <w:bCs/>
        </w:rPr>
        <w:t xml:space="preserve">image rights</w:t>
      </w:r>
      <w:r>
        <w:t xml:space="preserve">, prefer source-served IIIF media where possible, and avoid copying full-resolution image assets unless the reuse conditions are clear. When rights are uncertain, the gateway can still sustain research value by publishing discovery metadata, source links, thumbnails where permitted, and explicit reuse warnings. Open-access models such as Smithsonian Open Access and the Yale Center for British Art show how much reuse becomes possible when rights are unambiguous and machine-readable.</w:t>
      </w:r>
      <w:r>
        <w:t xml:space="preserve"> </w:t>
      </w:r>
      <w:hyperlink r:id="rId27">
        <w:r>
          <w:rPr>
            <w:rStyle w:val="Hyperlink"/>
          </w:rPr>
          <w:t xml:space="preserve">[6]</w:t>
        </w:r>
      </w:hyperlink>
    </w:p>
    <w:p>
      <w:pPr>
        <w:pStyle w:val="BodyText"/>
      </w:pPr>
      <w:r>
        <w:t xml:space="preserve">For</w:t>
      </w:r>
      <w:r>
        <w:t xml:space="preserve"> </w:t>
      </w:r>
      <w:r>
        <w:rPr>
          <w:b/>
          <w:bCs/>
        </w:rPr>
        <w:t xml:space="preserve">open standards and interoperability</w:t>
      </w:r>
      <w:r>
        <w:t xml:space="preserve">, the most coherent stack for your use case is already visible in the cultural heritage sector. IIIF provides open APIs for high-quality, attributed media delivery across institutions; Linked Art 1.0 provides a practical data model for rich cultural relationships; CIDOC CRM remains the broader interoperability ontology behind many heritage knowledge systems; JSON-LD makes linked data usable in ordinary web and API environments; Getty vocabularies serve as linking “glue” across dispersed resources; TEI remains the most mature standard when texts need deep scholarly encoding; and OAI-PMH plus the IIIF Change Discovery API provide workable models for harvesting full records or just updates. A sensible design inference is therefore to publish the archive graph in</w:t>
      </w:r>
      <w:r>
        <w:t xml:space="preserve"> </w:t>
      </w:r>
      <w:r>
        <w:rPr>
          <w:b/>
          <w:bCs/>
        </w:rPr>
        <w:t xml:space="preserve">JSON-LD/Linked Art</w:t>
      </w:r>
      <w:r>
        <w:t xml:space="preserve">, media in</w:t>
      </w:r>
      <w:r>
        <w:t xml:space="preserve"> </w:t>
      </w:r>
      <w:r>
        <w:rPr>
          <w:b/>
          <w:bCs/>
        </w:rPr>
        <w:t xml:space="preserve">IIIF</w:t>
      </w:r>
      <w:r>
        <w:t xml:space="preserve">, texts in</w:t>
      </w:r>
      <w:r>
        <w:t xml:space="preserve"> </w:t>
      </w:r>
      <w:r>
        <w:rPr>
          <w:b/>
          <w:bCs/>
        </w:rPr>
        <w:t xml:space="preserve">TEI</w:t>
      </w:r>
      <w:r>
        <w:t xml:space="preserve"> </w:t>
      </w:r>
      <w:r>
        <w:t xml:space="preserve">when richer encoding is warranted, and simple exports or harvest endpoints for users who cannot consume the full knowledge graph. Persistent identifiers should connect outward as well: ROR is useful for institutions, and ORCID is useful where living researchers or contributors need stable identification.</w:t>
      </w:r>
      <w:r>
        <w:t xml:space="preserve"> </w:t>
      </w:r>
      <w:hyperlink r:id="rId28">
        <w:r>
          <w:rPr>
            <w:rStyle w:val="Hyperlink"/>
          </w:rPr>
          <w:t xml:space="preserve">[7]</w:t>
        </w:r>
      </w:hyperlink>
    </w:p>
    <w:p>
      <w:pPr>
        <w:pStyle w:val="BodyText"/>
      </w:pPr>
      <w:r>
        <w:t xml:space="preserve">A sustainable system must also model</w:t>
      </w:r>
      <w:r>
        <w:t xml:space="preserve"> </w:t>
      </w:r>
      <w:r>
        <w:rPr>
          <w:b/>
          <w:bCs/>
        </w:rPr>
        <w:t xml:space="preserve">versioning and change over time</w:t>
      </w:r>
      <w:r>
        <w:t xml:space="preserve">. DataCite explicitly states that continuously updated datasets create special problems for both preservation and citation, and its versioning guidance points users to formal best-practice work. PAV then adds a lightweight ontology for</w:t>
      </w:r>
      <w:r>
        <w:t xml:space="preserve"> </w:t>
      </w:r>
      <w:r>
        <w:rPr>
          <w:b/>
          <w:bCs/>
        </w:rPr>
        <w:t xml:space="preserve">provenance, authoring, and versioning</w:t>
      </w:r>
      <w:r>
        <w:t xml:space="preserve">, while the IIIF Change Discovery API offers machine-readable create, update, delete, and move events. Wikidata adds an important epistemic lesson: a knowledge graph should not present itself as eternal truth, but as sourced claims tied to particular references, and it now even maintains tooling such as</w:t>
      </w:r>
      <w:r>
        <w:t xml:space="preserve"> </w:t>
      </w:r>
      <w:r>
        <w:rPr>
          <w:b/>
          <w:bCs/>
        </w:rPr>
        <w:t xml:space="preserve">ProVe</w:t>
      </w:r>
      <w:r>
        <w:t xml:space="preserve"> </w:t>
      </w:r>
      <w:r>
        <w:t xml:space="preserve">because reference quality itself decays over time. For your gateway, versioning should therefore operate at several levels at once: source harvest events, local editorial revisions, public dataset releases, and interface versions. Users should be able to tell what changed, when it changed, who changed it, and what previous state a citation referred to.</w:t>
      </w:r>
      <w:r>
        <w:t xml:space="preserve"> </w:t>
      </w:r>
      <w:hyperlink r:id="rId29">
        <w:r>
          <w:rPr>
            <w:rStyle w:val="Hyperlink"/>
          </w:rPr>
          <w:t xml:space="preserve">[8]</w:t>
        </w:r>
      </w:hyperlink>
    </w:p>
    <w:p>
      <w:pPr>
        <w:pStyle w:val="BodyText"/>
      </w:pPr>
      <w:r>
        <w:t xml:space="preserve">Finally,</w:t>
      </w:r>
      <w:r>
        <w:t xml:space="preserve"> </w:t>
      </w:r>
      <w:r>
        <w:rPr>
          <w:b/>
          <w:bCs/>
        </w:rPr>
        <w:t xml:space="preserve">documentation</w:t>
      </w:r>
      <w:r>
        <w:t xml:space="preserve"> </w:t>
      </w:r>
      <w:r>
        <w:t xml:space="preserve">is part of sustainability, not overhead. The Software Sustainability Institute recommends thinking in terms of multiple audiences—users, developers, maintainers, managers—and multiple kinds of documentation, including tutorials, how-to guides, explanations, reference documentation, developer workflows, contributor guidance, licence information, and how-to-cite instructions. Diátaxis provides a simple structure for that distinction. For a humanities gateway, the essential documentation set should include a project charter, scope statement, selection policy, data model and crosswalks, provenance policy, rights policy, moderation policy, changelog, release process, preservation plan, and shutdown or succession plan. If these documents are missing, the infrastructure remains dependent on memory and tacit knowledge, which is one of the fastest ways for DH projects to become unmaintainable.</w:t>
      </w:r>
      <w:r>
        <w:t xml:space="preserve"> </w:t>
      </w:r>
      <w:hyperlink r:id="rId30">
        <w:r>
          <w:rPr>
            <w:rStyle w:val="Hyperlink"/>
          </w:rPr>
          <w:t xml:space="preserve">[9]</w:t>
        </w:r>
      </w:hyperlink>
    </w:p>
    <w:bookmarkEnd w:id="31"/>
    <w:bookmarkStart w:id="35" w:name="governance-community-and-ethics"/>
    <w:p>
      <w:pPr>
        <w:pStyle w:val="Heading2"/>
      </w:pPr>
      <w:r>
        <w:t xml:space="preserve">Governance, community, and ethics</w:t>
      </w:r>
    </w:p>
    <w:p>
      <w:pPr>
        <w:pStyle w:val="FirstParagraph"/>
      </w:pPr>
      <w:r>
        <w:rPr>
          <w:b/>
          <w:bCs/>
        </w:rPr>
        <w:t xml:space="preserve">Community contribution</w:t>
      </w:r>
      <w:r>
        <w:t xml:space="preserve"> </w:t>
      </w:r>
      <w:r>
        <w:t xml:space="preserve">can make a design history infrastructure more durable because many important sources in graphic design are distributed, ephemeral, privately held, or poorly catalogued. But community contribution only becomes sustainable when it is paired with moderation, source verification, and role clarity. The People’s Graphic Design Archive is a useful domain-specific comparator: its mission is to preserve an</w:t>
      </w:r>
      <w:r>
        <w:t xml:space="preserve"> </w:t>
      </w:r>
      <w:r>
        <w:rPr>
          <w:b/>
          <w:bCs/>
        </w:rPr>
        <w:t xml:space="preserve">expansive and inclusive</w:t>
      </w:r>
      <w:r>
        <w:t xml:space="preserve"> </w:t>
      </w:r>
      <w:r>
        <w:t xml:space="preserve">graphic design history; it accepts diverse materials such as images, letters, anecdotes, oral histories, essays, links, and other historical material; its public guidance states that submissions are</w:t>
      </w:r>
      <w:r>
        <w:t xml:space="preserve"> </w:t>
      </w:r>
      <w:r>
        <w:rPr>
          <w:b/>
          <w:bCs/>
        </w:rPr>
        <w:t xml:space="preserve">approved by moderators before appearing on the site</w:t>
      </w:r>
      <w:r>
        <w:t xml:space="preserve">; and its tagging advice stresses the importance of specific identifiers such as designer, studio, and date for discoverability. Zooniverse offers a mature participation model in which volunteers, moderators, researchers, and experts play distinct roles, including moderation powers and “gold standard” validation; Wikidata likewise insists that statements should be verifiable against sources and has developed tooling to monitor reference quality. For your gateway, the durable pattern is not “open editing” in the abstract, but a staged pipeline: suggestion, submission, verification, editorial review, versioned publication, public correction, and logged revision.</w:t>
      </w:r>
      <w:r>
        <w:t xml:space="preserve"> </w:t>
      </w:r>
      <w:hyperlink r:id="rId32">
        <w:r>
          <w:rPr>
            <w:rStyle w:val="Hyperlink"/>
          </w:rPr>
          <w:t xml:space="preserve">[10]</w:t>
        </w:r>
      </w:hyperlink>
    </w:p>
    <w:p>
      <w:pPr>
        <w:pStyle w:val="BodyText"/>
      </w:pPr>
      <w:r>
        <w:rPr>
          <w:b/>
          <w:bCs/>
        </w:rPr>
        <w:t xml:space="preserve">Institutional fragility</w:t>
      </w:r>
      <w:r>
        <w:t xml:space="preserve"> </w:t>
      </w:r>
      <w:r>
        <w:t xml:space="preserve">is often the real sustainability problem. Tucker’s four-part model makes human and financial sustainability coequal with technological sustainability; Meneses and Furuta show how DH sites degrade when collections are distributed across institutions and when projects undergo structural changes, job changes, CMS migration, outages, funding loss, or other disruptions; Fenlon argues that sustaining DH collections requires maintaining socio-technical workflows and community engagement; and Ithaka S+R found that institutions tend to support DH through different long-term organizational models—service, lab, and network. In your case, the most realistic governance pattern is likely a</w:t>
      </w:r>
      <w:r>
        <w:t xml:space="preserve"> </w:t>
      </w:r>
      <w:r>
        <w:rPr>
          <w:b/>
          <w:bCs/>
        </w:rPr>
        <w:t xml:space="preserve">network model</w:t>
      </w:r>
      <w:r>
        <w:t xml:space="preserve">: one lead host for coordination, but with explicit agreements for mirrored storage, code escrow, preservation deposit, and shared stewardship with partner institutions or labs. Sustainability should be written into responsibilities, not left to goodwill.</w:t>
      </w:r>
      <w:r>
        <w:t xml:space="preserve"> </w:t>
      </w:r>
      <w:hyperlink r:id="rId33">
        <w:r>
          <w:rPr>
            <w:rStyle w:val="Hyperlink"/>
          </w:rPr>
          <w:t xml:space="preserve">[11]</w:t>
        </w:r>
      </w:hyperlink>
    </w:p>
    <w:p>
      <w:pPr>
        <w:pStyle w:val="BodyText"/>
      </w:pPr>
      <w:r>
        <w:rPr>
          <w:b/>
          <w:bCs/>
        </w:rPr>
        <w:t xml:space="preserve">Ethical representation</w:t>
      </w:r>
      <w:r>
        <w:t xml:space="preserve"> </w:t>
      </w:r>
      <w:r>
        <w:t xml:space="preserve">is equally infrastructural. CARE insists that data governance must foreground Indigenous peoples’ rights, interests, and self-determination. Mukurtu shows one way to build ethics into the information system itself: it is explicitly community-driven, oriented toward ethical curation, and supports cultural protocols, layered narratives, and local training; more recent Mukurtu materials emphasize fine-grained access control and the use of cultural protocols for both content and media. Reparative description work makes the same argument from archival practice: Archives for Black Lives in Philadelphia offers metadata guidance against racist archival description, while Yale explicitly acknowledges that archival description may still contain racist, colonialist, sexist, homophobic, or other harmful language and commits to more respectful practice. In Australia, ARDC’s HASS and Indigenous Research Data Commons reinforces the importance of co-design and Indigenous partnership in national humanities infrastructure. If your gateway includes Aboriginal and Torres Strait Islander materials, migrant design histories, politically sensitive collections, or underrepresented communities, then sustainable design requires more than inclusion at the interface level. It requires structures for consultation, contextualization, alternative naming, harmful-language notices, and community authority over sensitive materials.</w:t>
      </w:r>
      <w:r>
        <w:t xml:space="preserve"> </w:t>
      </w:r>
      <w:hyperlink r:id="rId34">
        <w:r>
          <w:rPr>
            <w:rStyle w:val="Hyperlink"/>
          </w:rPr>
          <w:t xml:space="preserve">[12]</w:t>
        </w:r>
      </w:hyperlink>
    </w:p>
    <w:bookmarkEnd w:id="35"/>
    <w:bookmarkStart w:id="39" w:name="comparable-systems-and-what-they-teach"/>
    <w:p>
      <w:pPr>
        <w:pStyle w:val="Heading2"/>
      </w:pPr>
      <w:r>
        <w:t xml:space="preserve">Comparable systems and what they teach</w:t>
      </w:r>
    </w:p>
    <w:p>
      <w:pPr>
        <w:pStyle w:val="FirstParagraph"/>
      </w:pPr>
      <w:r>
        <w:t xml:space="preserve">The closest</w:t>
      </w:r>
      <w:r>
        <w:t xml:space="preserve"> </w:t>
      </w:r>
      <w:r>
        <w:rPr>
          <w:b/>
          <w:bCs/>
        </w:rPr>
        <w:t xml:space="preserve">Australian comparators</w:t>
      </w:r>
      <w:r>
        <w:t xml:space="preserve"> </w:t>
      </w:r>
      <w:r>
        <w:t xml:space="preserve">are HuNI, Design and Art Australia Online, and Australian Creative Histories &amp; Futures. HuNI aggregates people, works, events, organizations, places, and concepts, and allows users to assemble collections and create links across a very large entity base. DAAO is part of HuNI and describes itself as an</w:t>
      </w:r>
      <w:r>
        <w:t xml:space="preserve"> </w:t>
      </w:r>
      <w:r>
        <w:rPr>
          <w:b/>
          <w:bCs/>
        </w:rPr>
        <w:t xml:space="preserve">open-source, freely accessible scholarly e-research tool</w:t>
      </w:r>
      <w:r>
        <w:t xml:space="preserve"> </w:t>
      </w:r>
      <w:r>
        <w:t xml:space="preserve">for Australian artists, designers, craftspeople, and curators. ACHF is even more directly relevant to your problem because it is explicitly framed as a</w:t>
      </w:r>
      <w:r>
        <w:t xml:space="preserve"> </w:t>
      </w:r>
      <w:r>
        <w:rPr>
          <w:b/>
          <w:bCs/>
        </w:rPr>
        <w:t xml:space="preserve">research infrastructure</w:t>
      </w:r>
      <w:r>
        <w:t xml:space="preserve"> </w:t>
      </w:r>
      <w:r>
        <w:t xml:space="preserve">project aimed at strengthening the</w:t>
      </w:r>
      <w:r>
        <w:t xml:space="preserve"> </w:t>
      </w:r>
      <w:r>
        <w:rPr>
          <w:b/>
          <w:bCs/>
        </w:rPr>
        <w:t xml:space="preserve">technical and social architectures</w:t>
      </w:r>
      <w:r>
        <w:t xml:space="preserve"> </w:t>
      </w:r>
      <w:r>
        <w:t xml:space="preserve">of major Australian cultural datasets and improving their interoperability. The lesson from this cluster is that design history data lasts longer when it is treated as</w:t>
      </w:r>
      <w:r>
        <w:t xml:space="preserve"> </w:t>
      </w:r>
      <w:r>
        <w:rPr>
          <w:b/>
          <w:bCs/>
        </w:rPr>
        <w:t xml:space="preserve">networked cultural data infrastructure</w:t>
      </w:r>
      <w:r>
        <w:t xml:space="preserve"> </w:t>
      </w:r>
      <w:r>
        <w:t xml:space="preserve">rather than as a single institutional catalogue or exhibition microsite.</w:t>
      </w:r>
      <w:r>
        <w:t xml:space="preserve"> </w:t>
      </w:r>
      <w:hyperlink r:id="rId36">
        <w:r>
          <w:rPr>
            <w:rStyle w:val="Hyperlink"/>
          </w:rPr>
          <w:t xml:space="preserve">[13]</w:t>
        </w:r>
      </w:hyperlink>
    </w:p>
    <w:p>
      <w:pPr>
        <w:pStyle w:val="BodyText"/>
      </w:pPr>
      <w:r>
        <w:t xml:space="preserve">Yale’s</w:t>
      </w:r>
      <w:r>
        <w:t xml:space="preserve"> </w:t>
      </w:r>
      <w:r>
        <w:rPr>
          <w:b/>
          <w:bCs/>
        </w:rPr>
        <w:t xml:space="preserve">LUX</w:t>
      </w:r>
      <w:r>
        <w:t xml:space="preserve"> </w:t>
      </w:r>
      <w:r>
        <w:t xml:space="preserve">is the strongest current model for a cross-collection discovery gateway built on linked cultural data. Yale and Linked Art both present LUX as a standards-based, cross-collection system that connects museums, libraries, and archives through relationship-rich data, and Yale now describes the platform as replicable by other cultural heritage institutions. The Yale Center for British Art provides a complementary image model: it offers public-domain images compliant with IIIF and treats IIIF not merely as image delivery but as part of a broader online research environment. The key lesson is that cross-collection discovery becomes genuinely scholarly when the infrastructure connects entities, events, places, and sources through open standards rather than merely federating search boxes.</w:t>
      </w:r>
      <w:r>
        <w:t xml:space="preserve"> </w:t>
      </w:r>
      <w:hyperlink r:id="rId37">
        <w:r>
          <w:rPr>
            <w:rStyle w:val="Hyperlink"/>
          </w:rPr>
          <w:t xml:space="preserve">[14]</w:t>
        </w:r>
      </w:hyperlink>
    </w:p>
    <w:p>
      <w:pPr>
        <w:pStyle w:val="BodyText"/>
      </w:pPr>
      <w:r>
        <w:rPr>
          <w:b/>
          <w:bCs/>
        </w:rPr>
        <w:t xml:space="preserve">Europeana</w:t>
      </w:r>
      <w:r>
        <w:t xml:space="preserve">,</w:t>
      </w:r>
      <w:r>
        <w:t xml:space="preserve"> </w:t>
      </w:r>
      <w:r>
        <w:rPr>
          <w:b/>
          <w:bCs/>
        </w:rPr>
        <w:t xml:space="preserve">DPLA</w:t>
      </w:r>
      <w:r>
        <w:t xml:space="preserve">,</w:t>
      </w:r>
      <w:r>
        <w:t xml:space="preserve"> </w:t>
      </w:r>
      <w:r>
        <w:rPr>
          <w:b/>
          <w:bCs/>
        </w:rPr>
        <w:t xml:space="preserve">Cooper Hewitt</w:t>
      </w:r>
      <w:r>
        <w:t xml:space="preserve">, and</w:t>
      </w:r>
      <w:r>
        <w:t xml:space="preserve"> </w:t>
      </w:r>
      <w:r>
        <w:rPr>
          <w:b/>
          <w:bCs/>
        </w:rPr>
        <w:t xml:space="preserve">Smithsonian Open Access</w:t>
      </w:r>
      <w:r>
        <w:t xml:space="preserve"> </w:t>
      </w:r>
      <w:r>
        <w:t xml:space="preserve">show four different aspects of infrastructure maturity. Europeana couples large-scale APIs with the Europeana Data Model, validation workflows, and explicit metadata quality tiers tied to reuse and discovery. Its API guidance also cleanly separates CC0 metadata from partner object rights. DPLA likewise builds its API on a formal metadata application profile crosswalking EDM, Dublin Core, MODS, and other standards. Cooper Hewitt demonstrates what a design museum gains from an</w:t>
      </w:r>
      <w:r>
        <w:t xml:space="preserve"> </w:t>
      </w:r>
      <w:r>
        <w:rPr>
          <w:b/>
          <w:bCs/>
        </w:rPr>
        <w:t xml:space="preserve">API-first</w:t>
      </w:r>
      <w:r>
        <w:t xml:space="preserve"> </w:t>
      </w:r>
      <w:r>
        <w:t xml:space="preserve">and</w:t>
      </w:r>
      <w:r>
        <w:t xml:space="preserve"> </w:t>
      </w:r>
      <w:r>
        <w:rPr>
          <w:b/>
          <w:bCs/>
        </w:rPr>
        <w:t xml:space="preserve">open-source</w:t>
      </w:r>
      <w:r>
        <w:t xml:space="preserve"> </w:t>
      </w:r>
      <w:r>
        <w:t xml:space="preserve">stance, while Smithsonian Open Access demonstrates the research and creative value unlocked when rights are unambiguous at scale. The common lesson is that sustainable gateways reduce friction by making metadata harvestable, semantics crosswalkable, and reuse conditions explicit.</w:t>
      </w:r>
      <w:r>
        <w:t xml:space="preserve"> </w:t>
      </w:r>
      <w:hyperlink r:id="rId38">
        <w:r>
          <w:rPr>
            <w:rStyle w:val="Hyperlink"/>
          </w:rPr>
          <w:t xml:space="preserve">[15]</w:t>
        </w:r>
      </w:hyperlink>
    </w:p>
    <w:p>
      <w:pPr>
        <w:pStyle w:val="BodyText"/>
      </w:pPr>
      <w:r>
        <w:t xml:space="preserve">The final comparator pair is</w:t>
      </w:r>
      <w:r>
        <w:t xml:space="preserve"> </w:t>
      </w:r>
      <w:r>
        <w:rPr>
          <w:b/>
          <w:bCs/>
        </w:rPr>
        <w:t xml:space="preserve">PGDA and Mukurtu</w:t>
      </w:r>
      <w:r>
        <w:t xml:space="preserve">, because they foreground the social life of infrastructure. PGDA shows how a graphic design archive can grow via moderated contribution and radically expanded source types, while Mukurtu shows that community authority, granular access, ethical protocols, and local support can be built into the platform rather than appended later. Together they suggest that a sustainable design-history gateway should not choose between openness and accountability. It should be open</w:t>
      </w:r>
      <w:r>
        <w:t xml:space="preserve"> </w:t>
      </w:r>
      <w:r>
        <w:rPr>
          <w:b/>
          <w:bCs/>
        </w:rPr>
        <w:t xml:space="preserve">through</w:t>
      </w:r>
      <w:r>
        <w:t xml:space="preserve"> </w:t>
      </w:r>
      <w:r>
        <w:t xml:space="preserve">accountable structures: clear contributor pathways, visible moderation, contextual metadata, and controlled handling of sensitive materials.</w:t>
      </w:r>
      <w:r>
        <w:t xml:space="preserve"> </w:t>
      </w:r>
      <w:hyperlink r:id="rId32">
        <w:r>
          <w:rPr>
            <w:rStyle w:val="Hyperlink"/>
          </w:rPr>
          <w:t xml:space="preserve">[16]</w:t>
        </w:r>
      </w:hyperlink>
    </w:p>
    <w:bookmarkEnd w:id="39"/>
    <w:bookmarkStart w:id="42" w:name="X6a8a9e33dae733b704561311b7a3b2580b67e25"/>
    <w:p>
      <w:pPr>
        <w:pStyle w:val="Heading2"/>
      </w:pPr>
      <w:r>
        <w:t xml:space="preserve">Risks that commonly undermine digital humanities gateways</w:t>
      </w:r>
    </w:p>
    <w:p>
      <w:pPr>
        <w:pStyle w:val="FirstParagraph"/>
      </w:pPr>
      <w:r>
        <w:t xml:space="preserve">The first major risk is</w:t>
      </w:r>
      <w:r>
        <w:t xml:space="preserve"> </w:t>
      </w:r>
      <w:r>
        <w:rPr>
          <w:b/>
          <w:bCs/>
        </w:rPr>
        <w:t xml:space="preserve">abandoned website syndrome</w:t>
      </w:r>
      <w:r>
        <w:t xml:space="preserve">: a beautiful front end with no durable releases, no deposit strategy, and no preservation exit route. Meneses and Furuta show that DH projects degrade because they depend on distributed resources and institutions that change over time. The practical antidote is to make sure the live application is never the only copy of value. Zenodo can archive GitHub releases and mint a DOI for each release; Software Heritage can preserve precise code versions; the Wayback Machine can capture the public site for future citation; and the GitHub Archive Program exists precisely because software preservation requires long-term thinking beyond current hosting arrangements. The sustainability test should therefore be simple: if the production server vanished tomorrow, would the graph, code, citations, and documentation still be recoverable and intelligible?</w:t>
      </w:r>
      <w:r>
        <w:t xml:space="preserve"> </w:t>
      </w:r>
      <w:hyperlink r:id="rId40">
        <w:r>
          <w:rPr>
            <w:rStyle w:val="Hyperlink"/>
          </w:rPr>
          <w:t xml:space="preserve">[17]</w:t>
        </w:r>
      </w:hyperlink>
    </w:p>
    <w:p>
      <w:pPr>
        <w:pStyle w:val="BodyText"/>
      </w:pPr>
      <w:r>
        <w:t xml:space="preserve">The second major risk is</w:t>
      </w:r>
      <w:r>
        <w:t xml:space="preserve"> </w:t>
      </w:r>
      <w:r>
        <w:rPr>
          <w:b/>
          <w:bCs/>
        </w:rPr>
        <w:t xml:space="preserve">metadata drift and conceptual flattening</w:t>
      </w:r>
      <w:r>
        <w:t xml:space="preserve">. Tóth-Czifra’s warning about losing thick description is particularly acute for graphic design history, where attribution, role, authorship, movement, medium, and meaning are often unstable or contested. If the graph normalizes everything into a single authoritative line, it becomes harder—not easier—to do historically careful work. Wikidata offers a useful counter-model here: a knowledge base should link claims to references rather than pretend to store timeless facts. For your gateway, that means supporting conflicting attributions, date ranges, alternative labels, multiple source statements, and explicit uncertainty or confidence markers. The goal is not to eliminate ambiguity, but to preserve it in a form that remains researchable.</w:t>
      </w:r>
      <w:r>
        <w:t xml:space="preserve"> </w:t>
      </w:r>
      <w:hyperlink r:id="rId41">
        <w:r>
          <w:rPr>
            <w:rStyle w:val="Hyperlink"/>
          </w:rPr>
          <w:t xml:space="preserve">[18]</w:t>
        </w:r>
      </w:hyperlink>
    </w:p>
    <w:p>
      <w:pPr>
        <w:pStyle w:val="BodyText"/>
      </w:pPr>
      <w:r>
        <w:t xml:space="preserve">The third risk is</w:t>
      </w:r>
      <w:r>
        <w:t xml:space="preserve"> </w:t>
      </w:r>
      <w:r>
        <w:rPr>
          <w:b/>
          <w:bCs/>
        </w:rPr>
        <w:t xml:space="preserve">rights and ethics debt</w:t>
      </w:r>
      <w:r>
        <w:t xml:space="preserve">. If rights are stored only as prose, or if reused images lose their source attributions and required statements, the gateway will gradually accumulate legally and ethically opaque records. Europeana, IIIF, and Linked Art all show that rights and attribution must travel with the resource in machine-readable form. CARE, A4BLiP, Yale’s harmful-language statement, and Mukurtu show the parallel ethical requirement: descriptive metadata can reproduce harm, and access itself can require community protocols. If these issues are postponed until “phase two,” they tend to become expensive to retrofit and impossible to scale properly.</w:t>
      </w:r>
      <w:r>
        <w:t xml:space="preserve"> </w:t>
      </w:r>
      <w:hyperlink r:id="rId27">
        <w:r>
          <w:rPr>
            <w:rStyle w:val="Hyperlink"/>
          </w:rPr>
          <w:t xml:space="preserve">[19]</w:t>
        </w:r>
      </w:hyperlink>
    </w:p>
    <w:p>
      <w:pPr>
        <w:pStyle w:val="BodyText"/>
      </w:pPr>
      <w:r>
        <w:t xml:space="preserve">The fourth risk is</w:t>
      </w:r>
      <w:r>
        <w:t xml:space="preserve"> </w:t>
      </w:r>
      <w:r>
        <w:rPr>
          <w:b/>
          <w:bCs/>
        </w:rPr>
        <w:t xml:space="preserve">over-engineering</w:t>
      </w:r>
      <w:r>
        <w:t xml:space="preserve">. A graph with too many custom classes, too many brittle ingest routes, or too much bespoke interface logic can become unsustainable faster than a smaller system with fewer features. Tucker’s emphasis on human sustainability and Ithaka’s emphasis on institutional support both point to the same conclusion: a smaller, well-documented, openly published, and regularly assessed core will often outlast a more ambitious platform that only one or two people can understand.</w:t>
      </w:r>
      <w:r>
        <w:t xml:space="preserve"> </w:t>
      </w:r>
      <w:hyperlink r:id="rId33">
        <w:r>
          <w:rPr>
            <w:rStyle w:val="Hyperlink"/>
          </w:rPr>
          <w:t xml:space="preserve">[20]</w:t>
        </w:r>
      </w:hyperlink>
    </w:p>
    <w:bookmarkEnd w:id="42"/>
    <w:bookmarkStart w:id="44" w:name="Xadc8ce61d72b429509e561e2cdd1cd19b047ac3"/>
    <w:p>
      <w:pPr>
        <w:pStyle w:val="Heading2"/>
      </w:pPr>
      <w:r>
        <w:t xml:space="preserve">Designing an MVP that can survive and grow</w:t>
      </w:r>
    </w:p>
    <w:p>
      <w:pPr>
        <w:pStyle w:val="FirstParagraph"/>
      </w:pPr>
      <w:r>
        <w:t xml:space="preserve">The best</w:t>
      </w:r>
      <w:r>
        <w:t xml:space="preserve"> </w:t>
      </w:r>
      <w:r>
        <w:rPr>
          <w:b/>
          <w:bCs/>
        </w:rPr>
        <w:t xml:space="preserve">MVP strategy</w:t>
      </w:r>
      <w:r>
        <w:t xml:space="preserve"> </w:t>
      </w:r>
      <w:r>
        <w:t xml:space="preserve">is to launch a</w:t>
      </w:r>
      <w:r>
        <w:t xml:space="preserve"> </w:t>
      </w:r>
      <w:r>
        <w:rPr>
          <w:b/>
          <w:bCs/>
        </w:rPr>
        <w:t xml:space="preserve">layered research system</w:t>
      </w:r>
      <w:r>
        <w:t xml:space="preserve">, not a miniaturized dream version of the final site. A robust first release should separate at least four layers: source records preserved as received; a local normalized graph with stable URIs; public APIs and exports; and a front-end gateway. That architecture is a reasoned inference from PROV, Linked Art, CIDOC CRM, JSON-LD, IIIF, and the aggregation approaches visible in Europeana and DPLA: it allows the interface to evolve while leaving identifiers, mappings, provenance, and releases stable.</w:t>
      </w:r>
      <w:r>
        <w:t xml:space="preserve"> </w:t>
      </w:r>
      <w:hyperlink r:id="rId26">
        <w:r>
          <w:rPr>
            <w:rStyle w:val="Hyperlink"/>
          </w:rPr>
          <w:t xml:space="preserve">[21]</w:t>
        </w:r>
      </w:hyperlink>
    </w:p>
    <w:p>
      <w:pPr>
        <w:pStyle w:val="BodyText"/>
      </w:pPr>
      <w:r>
        <w:t xml:space="preserve">For a project of your kind, a strategically small MVP would begin with a</w:t>
      </w:r>
      <w:r>
        <w:t xml:space="preserve"> </w:t>
      </w:r>
      <w:r>
        <w:rPr>
          <w:b/>
          <w:bCs/>
        </w:rPr>
        <w:t xml:space="preserve">narrow entity set</w:t>
      </w:r>
      <w:r>
        <w:t xml:space="preserve">—for example: design object, person, organization, place, event, text, and source record—and a</w:t>
      </w:r>
      <w:r>
        <w:t xml:space="preserve"> </w:t>
      </w:r>
      <w:r>
        <w:rPr>
          <w:b/>
          <w:bCs/>
        </w:rPr>
        <w:t xml:space="preserve">small set of trusted datasets</w:t>
      </w:r>
      <w:r>
        <w:t xml:space="preserve">, such as one museum collection, one biographical authority corpus, and one curated design-text corpus. Publish only the rights-cleared images you can safely reuse; for everything else, publish rich metadata plus source links. Do not wait for scale before publishing structured exports, provenance fields, and release snapshots. The Australian examples are instructive here: HuNI and DAAO grew by linking entities and datasets rather than by attempting to solve every humanities problem at once, while ACHF is explicitly building interoperability by strengthening existing technical and social architectures rather than replacing them wholesale.</w:t>
      </w:r>
      <w:r>
        <w:t xml:space="preserve"> </w:t>
      </w:r>
      <w:hyperlink r:id="rId36">
        <w:r>
          <w:rPr>
            <w:rStyle w:val="Hyperlink"/>
          </w:rPr>
          <w:t xml:space="preserve">[22]</w:t>
        </w:r>
      </w:hyperlink>
    </w:p>
    <w:p>
      <w:pPr>
        <w:pStyle w:val="BodyText"/>
      </w:pPr>
      <w:r>
        <w:t xml:space="preserve">From the first public release, publish a</w:t>
      </w:r>
      <w:r>
        <w:t xml:space="preserve"> </w:t>
      </w:r>
      <w:r>
        <w:rPr>
          <w:b/>
          <w:bCs/>
        </w:rPr>
        <w:t xml:space="preserve">minimum documentation and governance set</w:t>
      </w:r>
      <w:r>
        <w:t xml:space="preserve">: scope and exclusions, selection criteria, data model and crosswalks, identifier policy, citation guidance, provenance policy, rights policy, moderation workflow, changelog, release process, preservation plan, and contingencies for funding loss or host migration. SSI’s documentation guidance is useful because it distinguishes the needs of users, developers, and maintainers; Diátaxis offers a simple structuring method; and DPC RAM, NDSA Levels, and CoreTrustSeal provide practical frameworks for annual self-audit and continuous improvement. Put differently: documentation is not what you write after the infrastructure exists. It is part of the infrastructure that allows future people to keep it alive.</w:t>
      </w:r>
      <w:r>
        <w:t xml:space="preserve"> </w:t>
      </w:r>
      <w:hyperlink r:id="rId30">
        <w:r>
          <w:rPr>
            <w:rStyle w:val="Hyperlink"/>
          </w:rPr>
          <w:t xml:space="preserve">[23]</w:t>
        </w:r>
      </w:hyperlink>
    </w:p>
    <w:p>
      <w:pPr>
        <w:pStyle w:val="BodyText"/>
      </w:pPr>
      <w:r>
        <w:t xml:space="preserve">On the publication side, every visible release of the gateway should create a</w:t>
      </w:r>
      <w:r>
        <w:t xml:space="preserve"> </w:t>
      </w:r>
      <w:r>
        <w:rPr>
          <w:b/>
          <w:bCs/>
        </w:rPr>
        <w:t xml:space="preserve">preservable research package</w:t>
      </w:r>
      <w:r>
        <w:t xml:space="preserve">: a versioned dataset export, code release, citation metadata, and a static or semi-static public description of the release. Zenodo’s GitHub integration, CITATION.cff, CodeMeta, Software Heritage, and archived web captures together make it possible to preserve not only the live system but also the evolving record of the system. This is the most direct way to avoid the common DH pattern in which a project remains useful while funded but becomes uncitable and unmaintainable afterward.</w:t>
      </w:r>
      <w:r>
        <w:t xml:space="preserve"> </w:t>
      </w:r>
      <w:hyperlink r:id="rId43">
        <w:r>
          <w:rPr>
            <w:rStyle w:val="Hyperlink"/>
          </w:rPr>
          <w:t xml:space="preserve">[24]</w:t>
        </w:r>
      </w:hyperlink>
    </w:p>
    <w:p>
      <w:pPr>
        <w:pStyle w:val="BodyText"/>
      </w:pPr>
      <w:r>
        <w:t xml:space="preserve">If you design the gateway this way, “sustainable humanities research infrastructure” means something very concrete in your setting: a</w:t>
      </w:r>
      <w:r>
        <w:t xml:space="preserve"> </w:t>
      </w:r>
      <w:r>
        <w:rPr>
          <w:b/>
          <w:bCs/>
        </w:rPr>
        <w:t xml:space="preserve">versioned, citable, rights-aware, interoperable, ethically governed, and community-maintained graph of modern graphic design history</w:t>
      </w:r>
      <w:r>
        <w:t xml:space="preserve"> </w:t>
      </w:r>
      <w:r>
        <w:t xml:space="preserve">that can survive redesigns, partner turnover, changing scholarship, and funding interruptions. The crucial design decision is therefore not the visual interface. It is the commitment to keep identifiers, metadata, provenance, rights, documentation, moderation, and preservation workflows alive even when the current website, grant, or staffing arrangement changes.</w:t>
      </w:r>
      <w:r>
        <w:t xml:space="preserve"> </w:t>
      </w:r>
      <w:hyperlink r:id="rId33">
        <w:r>
          <w:rPr>
            <w:rStyle w:val="Hyperlink"/>
          </w:rPr>
          <w:t xml:space="preserve">[25]</w:t>
        </w:r>
      </w:hyperlink>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r>
        <w:t xml:space="preserve">https://journals.sagepub.com/doi/10.1177/00027649921955326</w:t>
      </w:r>
    </w:p>
    <w:p>
      <w:pPr>
        <w:pStyle w:val="BodyText"/>
      </w:pPr>
      <w:hyperlink r:id="rId21">
        <w:r>
          <w:rPr>
            <w:rStyle w:val="Hyperlink"/>
          </w:rPr>
          <w:t xml:space="preserve">https://journals.sagepub.com/doi/10.1177/00027649921955326</w:t>
        </w:r>
      </w:hyperlink>
    </w:p>
    <w:p>
      <w:pPr>
        <w:pStyle w:val="BodyText"/>
      </w:pPr>
      <w:hyperlink r:id="rId22">
        <w:r>
          <w:rPr>
            <w:rStyle w:val="Hyperlink"/>
          </w:rPr>
          <w:t xml:space="preserve">[2]</w:t>
        </w:r>
      </w:hyperlink>
      <w:r>
        <w:t xml:space="preserve"> </w:t>
      </w:r>
      <w:r>
        <w:t xml:space="preserve">https://www.oclc.org/research/publications/2014/open-archival-info-system-oais-ref-model-intro-guide-second-ed.html</w:t>
      </w:r>
    </w:p>
    <w:p>
      <w:pPr>
        <w:pStyle w:val="BodyText"/>
      </w:pPr>
      <w:hyperlink r:id="rId22">
        <w:r>
          <w:rPr>
            <w:rStyle w:val="Hyperlink"/>
          </w:rPr>
          <w:t xml:space="preserve">https://www.oclc.org/research/publications/2014/open-archival-info-system-oais-ref-model-intro-guide-second-ed.html</w:t>
        </w:r>
      </w:hyperlink>
    </w:p>
    <w:p>
      <w:pPr>
        <w:pStyle w:val="BodyText"/>
      </w:pPr>
      <w:hyperlink r:id="rId23">
        <w:r>
          <w:rPr>
            <w:rStyle w:val="Hyperlink"/>
          </w:rPr>
          <w:t xml:space="preserve">[3]</w:t>
        </w:r>
      </w:hyperlink>
      <w:r>
        <w:t xml:space="preserve"> </w:t>
      </w:r>
      <w:r>
        <w:t xml:space="preserve">https://sr.ithaka.org/publications/sustaining-the-digital-humanities/</w:t>
      </w:r>
    </w:p>
    <w:p>
      <w:pPr>
        <w:pStyle w:val="BodyText"/>
      </w:pPr>
      <w:hyperlink r:id="rId23">
        <w:r>
          <w:rPr>
            <w:rStyle w:val="Hyperlink"/>
          </w:rPr>
          <w:t xml:space="preserve">https://sr.ithaka.org/publications/sustaining-the-digital-humanities/</w:t>
        </w:r>
      </w:hyperlink>
    </w:p>
    <w:p>
      <w:pPr>
        <w:pStyle w:val="BodyText"/>
      </w:pPr>
      <w:hyperlink r:id="rId25">
        <w:r>
          <w:rPr>
            <w:rStyle w:val="Hyperlink"/>
          </w:rPr>
          <w:t xml:space="preserve">[4]</w:t>
        </w:r>
      </w:hyperlink>
      <w:r>
        <w:t xml:space="preserve"> </w:t>
      </w:r>
      <w:r>
        <w:t xml:space="preserve">https://www.nature.com/articles/sdata201618</w:t>
      </w:r>
    </w:p>
    <w:p>
      <w:pPr>
        <w:pStyle w:val="BodyText"/>
      </w:pPr>
      <w:hyperlink r:id="rId25">
        <w:r>
          <w:rPr>
            <w:rStyle w:val="Hyperlink"/>
          </w:rPr>
          <w:t xml:space="preserve">https://www.nature.com/articles/sdata201618</w:t>
        </w:r>
      </w:hyperlink>
    </w:p>
    <w:p>
      <w:pPr>
        <w:pStyle w:val="BodyText"/>
      </w:pPr>
      <w:hyperlink r:id="rId26">
        <w:r>
          <w:rPr>
            <w:rStyle w:val="Hyperlink"/>
          </w:rPr>
          <w:t xml:space="preserve">[5]</w:t>
        </w:r>
      </w:hyperlink>
      <w:r>
        <w:t xml:space="preserve"> </w:t>
      </w:r>
      <w:hyperlink r:id="rId26">
        <w:r>
          <w:rPr>
            <w:rStyle w:val="Hyperlink"/>
          </w:rPr>
          <w:t xml:space="preserve">[21]</w:t>
        </w:r>
      </w:hyperlink>
      <w:r>
        <w:t xml:space="preserve"> </w:t>
      </w:r>
      <w:r>
        <w:t xml:space="preserve">https://www.w3.org/TR/prov-overview/</w:t>
      </w:r>
    </w:p>
    <w:p>
      <w:pPr>
        <w:pStyle w:val="BodyText"/>
      </w:pPr>
      <w:hyperlink r:id="rId26">
        <w:r>
          <w:rPr>
            <w:rStyle w:val="Hyperlink"/>
          </w:rPr>
          <w:t xml:space="preserve">https://www.w3.org/TR/prov-overview/</w:t>
        </w:r>
      </w:hyperlink>
    </w:p>
    <w:p>
      <w:pPr>
        <w:pStyle w:val="BodyText"/>
      </w:pPr>
      <w:hyperlink r:id="rId27">
        <w:r>
          <w:rPr>
            <w:rStyle w:val="Hyperlink"/>
          </w:rPr>
          <w:t xml:space="preserve">[6]</w:t>
        </w:r>
      </w:hyperlink>
      <w:r>
        <w:t xml:space="preserve"> </w:t>
      </w:r>
      <w:hyperlink r:id="rId27">
        <w:r>
          <w:rPr>
            <w:rStyle w:val="Hyperlink"/>
          </w:rPr>
          <w:t xml:space="preserve">[19]</w:t>
        </w:r>
      </w:hyperlink>
      <w:r>
        <w:t xml:space="preserve"> </w:t>
      </w:r>
      <w:r>
        <w:t xml:space="preserve">https://europeana.atlassian.net/wiki/spaces/EF/pages/2360508417/Europeana%2BAPI%2BFAQ</w:t>
      </w:r>
    </w:p>
    <w:p>
      <w:pPr>
        <w:pStyle w:val="BodyText"/>
      </w:pPr>
      <w:hyperlink r:id="rId27">
        <w:r>
          <w:rPr>
            <w:rStyle w:val="Hyperlink"/>
          </w:rPr>
          <w:t xml:space="preserve">https://europeana.atlassian.net/wiki/spaces/EF/pages/2360508417/Europeana%2BAPI%2BFAQ</w:t>
        </w:r>
      </w:hyperlink>
    </w:p>
    <w:p>
      <w:pPr>
        <w:pStyle w:val="BodyText"/>
      </w:pPr>
      <w:hyperlink r:id="rId28">
        <w:r>
          <w:rPr>
            <w:rStyle w:val="Hyperlink"/>
          </w:rPr>
          <w:t xml:space="preserve">[7]</w:t>
        </w:r>
      </w:hyperlink>
      <w:r>
        <w:t xml:space="preserve"> </w:t>
      </w:r>
      <w:r>
        <w:t xml:space="preserve">https://iiif.io/</w:t>
      </w:r>
    </w:p>
    <w:p>
      <w:pPr>
        <w:pStyle w:val="BodyText"/>
      </w:pPr>
      <w:hyperlink r:id="rId28">
        <w:r>
          <w:rPr>
            <w:rStyle w:val="Hyperlink"/>
          </w:rPr>
          <w:t xml:space="preserve">https://iiif.io/</w:t>
        </w:r>
      </w:hyperlink>
    </w:p>
    <w:p>
      <w:pPr>
        <w:pStyle w:val="BodyText"/>
      </w:pPr>
      <w:hyperlink r:id="rId29">
        <w:r>
          <w:rPr>
            <w:rStyle w:val="Hyperlink"/>
          </w:rPr>
          <w:t xml:space="preserve">[8]</w:t>
        </w:r>
      </w:hyperlink>
      <w:r>
        <w:t xml:space="preserve"> </w:t>
      </w:r>
      <w:r>
        <w:t xml:space="preserve">https://datacite-metadata-schema.readthedocs.io/en/4.5/guidance/dynamic-datasets/</w:t>
      </w:r>
    </w:p>
    <w:p>
      <w:pPr>
        <w:pStyle w:val="BodyText"/>
      </w:pPr>
      <w:hyperlink r:id="rId29">
        <w:r>
          <w:rPr>
            <w:rStyle w:val="Hyperlink"/>
          </w:rPr>
          <w:t xml:space="preserve">https://datacite-metadata-schema.readthedocs.io/en/4.5/guidance/dynamic-datasets/</w:t>
        </w:r>
      </w:hyperlink>
    </w:p>
    <w:p>
      <w:pPr>
        <w:pStyle w:val="BodyText"/>
      </w:pPr>
      <w:hyperlink r:id="rId30">
        <w:r>
          <w:rPr>
            <w:rStyle w:val="Hyperlink"/>
          </w:rPr>
          <w:t xml:space="preserve">[9]</w:t>
        </w:r>
      </w:hyperlink>
      <w:r>
        <w:t xml:space="preserve"> </w:t>
      </w:r>
      <w:hyperlink r:id="rId30">
        <w:r>
          <w:rPr>
            <w:rStyle w:val="Hyperlink"/>
          </w:rPr>
          <w:t xml:space="preserve">[23]</w:t>
        </w:r>
      </w:hyperlink>
      <w:r>
        <w:t xml:space="preserve"> </w:t>
      </w:r>
      <w:r>
        <w:t xml:space="preserve">https://www.software.ac.uk/blog/what-are-best-practices-research-software-documentation</w:t>
      </w:r>
    </w:p>
    <w:p>
      <w:pPr>
        <w:pStyle w:val="BodyText"/>
      </w:pPr>
      <w:hyperlink r:id="rId30">
        <w:r>
          <w:rPr>
            <w:rStyle w:val="Hyperlink"/>
          </w:rPr>
          <w:t xml:space="preserve">https://www.software.ac.uk/blog/what-are-best-practices-research-software-documentation</w:t>
        </w:r>
      </w:hyperlink>
    </w:p>
    <w:p>
      <w:pPr>
        <w:pStyle w:val="BodyText"/>
      </w:pPr>
      <w:hyperlink r:id="rId32">
        <w:r>
          <w:rPr>
            <w:rStyle w:val="Hyperlink"/>
          </w:rPr>
          <w:t xml:space="preserve">[10]</w:t>
        </w:r>
      </w:hyperlink>
      <w:r>
        <w:t xml:space="preserve"> </w:t>
      </w:r>
      <w:hyperlink r:id="rId32">
        <w:r>
          <w:rPr>
            <w:rStyle w:val="Hyperlink"/>
          </w:rPr>
          <w:t xml:space="preserve">[16]</w:t>
        </w:r>
      </w:hyperlink>
      <w:r>
        <w:t xml:space="preserve"> </w:t>
      </w:r>
      <w:r>
        <w:t xml:space="preserve">https://peoplesgdarchive.org/about</w:t>
      </w:r>
    </w:p>
    <w:p>
      <w:pPr>
        <w:pStyle w:val="BodyText"/>
      </w:pPr>
      <w:hyperlink r:id="rId32">
        <w:r>
          <w:rPr>
            <w:rStyle w:val="Hyperlink"/>
          </w:rPr>
          <w:t xml:space="preserve">https://peoplesgdarchive.org/about</w:t>
        </w:r>
      </w:hyperlink>
    </w:p>
    <w:p>
      <w:pPr>
        <w:pStyle w:val="BodyText"/>
      </w:pPr>
      <w:hyperlink r:id="rId33">
        <w:r>
          <w:rPr>
            <w:rStyle w:val="Hyperlink"/>
          </w:rPr>
          <w:t xml:space="preserve">[11]</w:t>
        </w:r>
      </w:hyperlink>
      <w:r>
        <w:t xml:space="preserve"> </w:t>
      </w:r>
      <w:hyperlink r:id="rId33">
        <w:r>
          <w:rPr>
            <w:rStyle w:val="Hyperlink"/>
          </w:rPr>
          <w:t xml:space="preserve">[20]</w:t>
        </w:r>
      </w:hyperlink>
      <w:r>
        <w:t xml:space="preserve"> </w:t>
      </w:r>
      <w:hyperlink r:id="rId33">
        <w:r>
          <w:rPr>
            <w:rStyle w:val="Hyperlink"/>
          </w:rPr>
          <w:t xml:space="preserve">[25]</w:t>
        </w:r>
      </w:hyperlink>
      <w:r>
        <w:t xml:space="preserve"> </w:t>
      </w:r>
      <w:r>
        <w:t xml:space="preserve">https://www.thebritishacademy.ac.uk/publishing/journal-british-academy/10/facing-the-challenge-of-digital-sustainability-as-humanities-researchers/</w:t>
      </w:r>
    </w:p>
    <w:p>
      <w:pPr>
        <w:pStyle w:val="BodyText"/>
      </w:pPr>
      <w:hyperlink r:id="rId33">
        <w:r>
          <w:rPr>
            <w:rStyle w:val="Hyperlink"/>
          </w:rPr>
          <w:t xml:space="preserve">https://www.thebritishacademy.ac.uk/publishing/journal-british-academy/10/facing-the-challenge-of-digital-sustainability-as-humanities-researchers/</w:t>
        </w:r>
      </w:hyperlink>
    </w:p>
    <w:p>
      <w:pPr>
        <w:pStyle w:val="BodyText"/>
      </w:pPr>
      <w:hyperlink r:id="rId34">
        <w:r>
          <w:rPr>
            <w:rStyle w:val="Hyperlink"/>
          </w:rPr>
          <w:t xml:space="preserve">[12]</w:t>
        </w:r>
      </w:hyperlink>
      <w:r>
        <w:t xml:space="preserve"> </w:t>
      </w:r>
      <w:r>
        <w:t xml:space="preserve">https://ardc.edu.au/resource/the-care-principles/</w:t>
      </w:r>
    </w:p>
    <w:p>
      <w:pPr>
        <w:pStyle w:val="BodyText"/>
      </w:pPr>
      <w:hyperlink r:id="rId34">
        <w:r>
          <w:rPr>
            <w:rStyle w:val="Hyperlink"/>
          </w:rPr>
          <w:t xml:space="preserve">https://ardc.edu.au/resource/the-care-principles/</w:t>
        </w:r>
      </w:hyperlink>
    </w:p>
    <w:p>
      <w:pPr>
        <w:pStyle w:val="BodyText"/>
      </w:pPr>
      <w:hyperlink r:id="rId36">
        <w:r>
          <w:rPr>
            <w:rStyle w:val="Hyperlink"/>
          </w:rPr>
          <w:t xml:space="preserve">[13]</w:t>
        </w:r>
      </w:hyperlink>
      <w:r>
        <w:t xml:space="preserve"> </w:t>
      </w:r>
      <w:hyperlink r:id="rId36">
        <w:r>
          <w:rPr>
            <w:rStyle w:val="Hyperlink"/>
          </w:rPr>
          <w:t xml:space="preserve">[22]</w:t>
        </w:r>
      </w:hyperlink>
      <w:r>
        <w:t xml:space="preserve"> </w:t>
      </w:r>
      <w:r>
        <w:t xml:space="preserve">https://researchdata.edu.au/huni-humanities-networked-infrastructure/1306783</w:t>
      </w:r>
    </w:p>
    <w:p>
      <w:pPr>
        <w:pStyle w:val="BodyText"/>
      </w:pPr>
      <w:hyperlink r:id="rId36">
        <w:r>
          <w:rPr>
            <w:rStyle w:val="Hyperlink"/>
          </w:rPr>
          <w:t xml:space="preserve">https://researchdata.edu.au/huni-humanities-networked-infrastructure/1306783</w:t>
        </w:r>
      </w:hyperlink>
    </w:p>
    <w:p>
      <w:pPr>
        <w:pStyle w:val="BodyText"/>
      </w:pPr>
      <w:hyperlink r:id="rId37">
        <w:r>
          <w:rPr>
            <w:rStyle w:val="Hyperlink"/>
          </w:rPr>
          <w:t xml:space="preserve">[14]</w:t>
        </w:r>
      </w:hyperlink>
      <w:r>
        <w:t xml:space="preserve"> </w:t>
      </w:r>
      <w:r>
        <w:t xml:space="preserve">https://news.yale.edu/2025/02/24/breaking-digital-silos-share-cultural-heritage-collections</w:t>
      </w:r>
    </w:p>
    <w:p>
      <w:pPr>
        <w:pStyle w:val="BodyText"/>
      </w:pPr>
      <w:hyperlink r:id="rId37">
        <w:r>
          <w:rPr>
            <w:rStyle w:val="Hyperlink"/>
          </w:rPr>
          <w:t xml:space="preserve">https://news.yale.edu/2025/02/24/breaking-digital-silos-share-cultural-heritage-collections</w:t>
        </w:r>
      </w:hyperlink>
    </w:p>
    <w:p>
      <w:pPr>
        <w:pStyle w:val="BodyText"/>
      </w:pPr>
      <w:hyperlink r:id="rId38">
        <w:r>
          <w:rPr>
            <w:rStyle w:val="Hyperlink"/>
          </w:rPr>
          <w:t xml:space="preserve">[15]</w:t>
        </w:r>
      </w:hyperlink>
      <w:r>
        <w:t xml:space="preserve"> </w:t>
      </w:r>
      <w:r>
        <w:t xml:space="preserve">https://pro.europeana.eu/page/edm-documentation</w:t>
      </w:r>
    </w:p>
    <w:p>
      <w:pPr>
        <w:pStyle w:val="BodyText"/>
      </w:pPr>
      <w:hyperlink r:id="rId38">
        <w:r>
          <w:rPr>
            <w:rStyle w:val="Hyperlink"/>
          </w:rPr>
          <w:t xml:space="preserve">https://pro.europeana.eu/page/edm-documentation</w:t>
        </w:r>
      </w:hyperlink>
    </w:p>
    <w:p>
      <w:pPr>
        <w:pStyle w:val="BodyText"/>
      </w:pPr>
      <w:hyperlink r:id="rId40">
        <w:r>
          <w:rPr>
            <w:rStyle w:val="Hyperlink"/>
          </w:rPr>
          <w:t xml:space="preserve">[17]</w:t>
        </w:r>
      </w:hyperlink>
      <w:r>
        <w:t xml:space="preserve"> </w:t>
      </w:r>
      <w:r>
        <w:t xml:space="preserve">https://academic.oup.com/dsh/article/34/Supplement_1/i129/5270841</w:t>
      </w:r>
    </w:p>
    <w:p>
      <w:pPr>
        <w:pStyle w:val="BodyText"/>
      </w:pPr>
      <w:hyperlink r:id="rId40">
        <w:r>
          <w:rPr>
            <w:rStyle w:val="Hyperlink"/>
          </w:rPr>
          <w:t xml:space="preserve">https://academic.oup.com/dsh/article/34/Supplement_1/i129/5270841</w:t>
        </w:r>
      </w:hyperlink>
    </w:p>
    <w:p>
      <w:pPr>
        <w:pStyle w:val="BodyText"/>
      </w:pPr>
      <w:hyperlink r:id="rId41">
        <w:r>
          <w:rPr>
            <w:rStyle w:val="Hyperlink"/>
          </w:rPr>
          <w:t xml:space="preserve">[18]</w:t>
        </w:r>
      </w:hyperlink>
      <w:r>
        <w:t xml:space="preserve"> </w:t>
      </w:r>
      <w:r>
        <w:t xml:space="preserve">https://www.openbookpublishers.com/books/10.11647/obp.0192/chapters/10.11647/obp.0192.10</w:t>
      </w:r>
    </w:p>
    <w:p>
      <w:pPr>
        <w:pStyle w:val="BodyText"/>
      </w:pPr>
      <w:hyperlink r:id="rId41">
        <w:r>
          <w:rPr>
            <w:rStyle w:val="Hyperlink"/>
          </w:rPr>
          <w:t xml:space="preserve">https://www.openbookpublishers.com/books/10.11647/obp.0192/chapters/10.11647/obp.0192.10</w:t>
        </w:r>
      </w:hyperlink>
    </w:p>
    <w:p>
      <w:pPr>
        <w:pStyle w:val="BodyText"/>
      </w:pPr>
      <w:hyperlink r:id="rId43">
        <w:r>
          <w:rPr>
            <w:rStyle w:val="Hyperlink"/>
          </w:rPr>
          <w:t xml:space="preserve">[24]</w:t>
        </w:r>
      </w:hyperlink>
      <w:r>
        <w:t xml:space="preserve"> </w:t>
      </w:r>
      <w:r>
        <w:t xml:space="preserve">https://citation-file-format.github.io/</w:t>
      </w:r>
    </w:p>
    <w:p>
      <w:pPr>
        <w:pStyle w:val="BodyText"/>
      </w:pPr>
      <w:hyperlink r:id="rId43">
        <w:r>
          <w:rPr>
            <w:rStyle w:val="Hyperlink"/>
          </w:rPr>
          <w:t xml:space="preserve">https://citation-file-format.github.io/</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academic.oup.com/dsh/article/34/Supplement_1/i129/5270841" TargetMode="External" /><Relationship Type="http://schemas.openxmlformats.org/officeDocument/2006/relationships/hyperlink" Id="rId34" Target="https://ardc.edu.au/resource/the-care-principles/" TargetMode="External" /><Relationship Type="http://schemas.openxmlformats.org/officeDocument/2006/relationships/hyperlink" Id="rId43" Target="https://citation-file-format.github.io/" TargetMode="External" /><Relationship Type="http://schemas.openxmlformats.org/officeDocument/2006/relationships/hyperlink" Id="rId29" Target="https://datacite-metadata-schema.readthedocs.io/en/4.5/guidance/dynamic-datasets/" TargetMode="External" /><Relationship Type="http://schemas.openxmlformats.org/officeDocument/2006/relationships/hyperlink" Id="rId27" Target="https://europeana.atlassian.net/wiki/spaces/EF/pages/2360508417/Europeana%2BAPI%2BFAQ" TargetMode="External" /><Relationship Type="http://schemas.openxmlformats.org/officeDocument/2006/relationships/hyperlink" Id="rId28" Target="https://iiif.io/" TargetMode="External" /><Relationship Type="http://schemas.openxmlformats.org/officeDocument/2006/relationships/hyperlink" Id="rId21" Target="https://journals.sagepub.com/doi/10.1177/00027649921955326" TargetMode="External" /><Relationship Type="http://schemas.openxmlformats.org/officeDocument/2006/relationships/hyperlink" Id="rId37" Target="https://news.yale.edu/2025/02/24/breaking-digital-silos-share-cultural-heritage-collections" TargetMode="External" /><Relationship Type="http://schemas.openxmlformats.org/officeDocument/2006/relationships/hyperlink" Id="rId32" Target="https://peoplesgdarchive.org/about" TargetMode="External" /><Relationship Type="http://schemas.openxmlformats.org/officeDocument/2006/relationships/hyperlink" Id="rId38" Target="https://pro.europeana.eu/page/edm-documentation" TargetMode="External" /><Relationship Type="http://schemas.openxmlformats.org/officeDocument/2006/relationships/hyperlink" Id="rId36" Target="https://researchdata.edu.au/huni-humanities-networked-infrastructure/1306783" TargetMode="External" /><Relationship Type="http://schemas.openxmlformats.org/officeDocument/2006/relationships/hyperlink" Id="rId23" Target="https://sr.ithaka.org/publications/sustaining-the-digital-humanities/" TargetMode="External" /><Relationship Type="http://schemas.openxmlformats.org/officeDocument/2006/relationships/hyperlink" Id="rId25" Target="https://www.nature.com/articles/sdata201618" TargetMode="External" /><Relationship Type="http://schemas.openxmlformats.org/officeDocument/2006/relationships/hyperlink" Id="rId22" Target="https://www.oclc.org/research/publications/2014/open-archival-info-system-oais-ref-model-intro-guide-second-ed.html" TargetMode="External" /><Relationship Type="http://schemas.openxmlformats.org/officeDocument/2006/relationships/hyperlink" Id="rId41" Target="https://www.openbookpublishers.com/books/10.11647/obp.0192/chapters/10.11647/obp.0192.10" TargetMode="External" /><Relationship Type="http://schemas.openxmlformats.org/officeDocument/2006/relationships/hyperlink" Id="rId30" Target="https://www.software.ac.uk/blog/what-are-best-practices-research-software-documentation" TargetMode="External" /><Relationship Type="http://schemas.openxmlformats.org/officeDocument/2006/relationships/hyperlink" Id="rId33" Target="https://www.thebritishacademy.ac.uk/publishing/journal-british-academy/10/facing-the-challenge-of-digital-sustainability-as-humanities-researchers/" TargetMode="External" /><Relationship Type="http://schemas.openxmlformats.org/officeDocument/2006/relationships/hyperlink" Id="rId26" Target="https://www.w3.org/TR/prov-overview/" TargetMode="External" /></Relationships>
</file>

<file path=word/_rels/footnotes.xml.rels><?xml version="1.0" encoding="UTF-8"?><Relationships xmlns="http://schemas.openxmlformats.org/package/2006/relationships"><Relationship Type="http://schemas.openxmlformats.org/officeDocument/2006/relationships/hyperlink" Id="rId40" Target="https://academic.oup.com/dsh/article/34/Supplement_1/i129/5270841" TargetMode="External" /><Relationship Type="http://schemas.openxmlformats.org/officeDocument/2006/relationships/hyperlink" Id="rId34" Target="https://ardc.edu.au/resource/the-care-principles/" TargetMode="External" /><Relationship Type="http://schemas.openxmlformats.org/officeDocument/2006/relationships/hyperlink" Id="rId43" Target="https://citation-file-format.github.io/" TargetMode="External" /><Relationship Type="http://schemas.openxmlformats.org/officeDocument/2006/relationships/hyperlink" Id="rId29" Target="https://datacite-metadata-schema.readthedocs.io/en/4.5/guidance/dynamic-datasets/" TargetMode="External" /><Relationship Type="http://schemas.openxmlformats.org/officeDocument/2006/relationships/hyperlink" Id="rId27" Target="https://europeana.atlassian.net/wiki/spaces/EF/pages/2360508417/Europeana%2BAPI%2BFAQ" TargetMode="External" /><Relationship Type="http://schemas.openxmlformats.org/officeDocument/2006/relationships/hyperlink" Id="rId28" Target="https://iiif.io/" TargetMode="External" /><Relationship Type="http://schemas.openxmlformats.org/officeDocument/2006/relationships/hyperlink" Id="rId21" Target="https://journals.sagepub.com/doi/10.1177/00027649921955326" TargetMode="External" /><Relationship Type="http://schemas.openxmlformats.org/officeDocument/2006/relationships/hyperlink" Id="rId37" Target="https://news.yale.edu/2025/02/24/breaking-digital-silos-share-cultural-heritage-collections" TargetMode="External" /><Relationship Type="http://schemas.openxmlformats.org/officeDocument/2006/relationships/hyperlink" Id="rId32" Target="https://peoplesgdarchive.org/about" TargetMode="External" /><Relationship Type="http://schemas.openxmlformats.org/officeDocument/2006/relationships/hyperlink" Id="rId38" Target="https://pro.europeana.eu/page/edm-documentation" TargetMode="External" /><Relationship Type="http://schemas.openxmlformats.org/officeDocument/2006/relationships/hyperlink" Id="rId36" Target="https://researchdata.edu.au/huni-humanities-networked-infrastructure/1306783" TargetMode="External" /><Relationship Type="http://schemas.openxmlformats.org/officeDocument/2006/relationships/hyperlink" Id="rId23" Target="https://sr.ithaka.org/publications/sustaining-the-digital-humanities/" TargetMode="External" /><Relationship Type="http://schemas.openxmlformats.org/officeDocument/2006/relationships/hyperlink" Id="rId25" Target="https://www.nature.com/articles/sdata201618" TargetMode="External" /><Relationship Type="http://schemas.openxmlformats.org/officeDocument/2006/relationships/hyperlink" Id="rId22" Target="https://www.oclc.org/research/publications/2014/open-archival-info-system-oais-ref-model-intro-guide-second-ed.html" TargetMode="External" /><Relationship Type="http://schemas.openxmlformats.org/officeDocument/2006/relationships/hyperlink" Id="rId41" Target="https://www.openbookpublishers.com/books/10.11647/obp.0192/chapters/10.11647/obp.0192.10" TargetMode="External" /><Relationship Type="http://schemas.openxmlformats.org/officeDocument/2006/relationships/hyperlink" Id="rId30" Target="https://www.software.ac.uk/blog/what-are-best-practices-research-software-documentation" TargetMode="External" /><Relationship Type="http://schemas.openxmlformats.org/officeDocument/2006/relationships/hyperlink" Id="rId33" Target="https://www.thebritishacademy.ac.uk/publishing/journal-british-academy/10/facing-the-challenge-of-digital-sustainability-as-humanities-researchers/" TargetMode="External" /><Relationship Type="http://schemas.openxmlformats.org/officeDocument/2006/relationships/hyperlink" Id="rId26" Target="https://www.w3.org/TR/prov-overvie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2026-05-29T05:24:26Z</dcterms:created>
  <dcterms:modified xsi:type="dcterms:W3CDTF">2026-05-29T05:24:26Z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