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32505fd7d38734100ef29d91df7eaf7b0b63e79"/>
    <w:p>
      <w:pPr>
        <w:pStyle w:val="Heading1"/>
      </w:pPr>
      <w:r>
        <w:t xml:space="preserve">Text Enrichment Methodology for a Rights-Aware Archive Index of Modern Graphic Design History</w:t>
      </w:r>
    </w:p>
    <w:bookmarkStart w:id="24" w:name="Xdaa49e687261ca731daa99a09996d96743c02a5"/>
    <w:p>
      <w:pPr>
        <w:pStyle w:val="Heading2"/>
      </w:pPr>
      <w:r>
        <w:t xml:space="preserve">Methodology for readable, grounded archive text</w:t>
      </w:r>
    </w:p>
    <w:p>
      <w:pPr>
        <w:pStyle w:val="FirstParagraph"/>
      </w:pPr>
      <w:r>
        <w:t xml:space="preserve">A strong archive sheet should read like a concise, source-grounded research note rather than a raw database dump. The best available standards point in the same direction: cataloging should gather and cross-reference information from multiple sources, because objects usually have more than one story; scope-and-content text should help users judge relevance; and a descriptive note should be a single coherent statement that gives nuance without replacing controlled metadata. Getty also explicitly recommends that descriptive notes be objective, clearly and concisely written, derived from authoritative sources, cited by source and page, and paraphrased rather than copied verbatim.</w:t>
      </w:r>
      <w:r>
        <w:t xml:space="preserve"> </w:t>
      </w:r>
      <w:hyperlink r:id="rId21">
        <w:r>
          <w:rPr>
            <w:rStyle w:val="Hyperlink"/>
          </w:rPr>
          <w:t xml:space="preserve">[1]</w:t>
        </w:r>
      </w:hyperlink>
    </w:p>
    <w:p>
      <w:pPr>
        <w:pStyle w:val="BodyText"/>
      </w:pPr>
      <w:r>
        <w:t xml:space="preserve">For this project, that means each main sheet should be built from</w:t>
      </w:r>
      <w:r>
        <w:t xml:space="preserve"> </w:t>
      </w:r>
      <w:r>
        <w:rPr>
          <w:b/>
          <w:bCs/>
        </w:rPr>
        <w:t xml:space="preserve">four distinct textual layers</w:t>
      </w:r>
      <w:r>
        <w:t xml:space="preserve"> </w:t>
      </w:r>
      <w:r>
        <w:t xml:space="preserve">kept separate in both writing and data storage. The first layer is</w:t>
      </w:r>
      <w:r>
        <w:t xml:space="preserve"> </w:t>
      </w:r>
      <w:r>
        <w:rPr>
          <w:b/>
          <w:bCs/>
        </w:rPr>
        <w:t xml:space="preserve">source text</w:t>
      </w:r>
      <w:r>
        <w:t xml:space="preserve">: catalog copy, finding-aid language, exhibition label text, OCR snippets, titles, captions, or bibliographic metadata captured as evidence. The second is a</w:t>
      </w:r>
      <w:r>
        <w:t xml:space="preserve"> </w:t>
      </w:r>
      <w:r>
        <w:rPr>
          <w:b/>
          <w:bCs/>
        </w:rPr>
        <w:t xml:space="preserve">normalized summary</w:t>
      </w:r>
      <w:r>
        <w:t xml:space="preserve">: a short editorial paraphrase that restates supported facts in a consistent house style. The third is an</w:t>
      </w:r>
      <w:r>
        <w:t xml:space="preserve"> </w:t>
      </w:r>
      <w:r>
        <w:rPr>
          <w:b/>
          <w:bCs/>
        </w:rPr>
        <w:t xml:space="preserve">editorial context note</w:t>
      </w:r>
      <w:r>
        <w:t xml:space="preserve">: a compact explanation of why the record matters in graphic-design history, but only when that context is directly grounded in citable institutional or scholarly sources. The fourth is an</w:t>
      </w:r>
      <w:r>
        <w:t xml:space="preserve"> </w:t>
      </w:r>
      <w:r>
        <w:rPr>
          <w:b/>
          <w:bCs/>
        </w:rPr>
        <w:t xml:space="preserve">interpretive claim</w:t>
      </w:r>
      <w:r>
        <w:t xml:space="preserve">: any statement about influence, significance, circulation, innovation, reception, or relation to a movement. That fourth layer should either be directly supported by a cited source or explicitly marked as an editor’s inference based on multiple cited sources. Getty’s guidance is especially useful here: free-text notes are supplements to controlled fields, not substitutes for them, and important facts named in prose should still be indexed elsewhere.</w:t>
      </w:r>
      <w:r>
        <w:t xml:space="preserve"> </w:t>
      </w:r>
      <w:hyperlink r:id="rId22">
        <w:r>
          <w:rPr>
            <w:rStyle w:val="Hyperlink"/>
          </w:rPr>
          <w:t xml:space="preserve">[2]</w:t>
        </w:r>
      </w:hyperlink>
    </w:p>
    <w:p>
      <w:pPr>
        <w:pStyle w:val="BodyText"/>
      </w:pPr>
      <w:r>
        <w:t xml:space="preserve">The practical goal is not to turn every sheet into an essay. It is to make each sheet answer, in readable prose, the questions a user actually has after scanning the evidence tables:</w:t>
      </w:r>
      <w:r>
        <w:t xml:space="preserve"> </w:t>
      </w:r>
      <w:r>
        <w:rPr>
          <w:b/>
          <w:bCs/>
        </w:rPr>
        <w:t xml:space="preserve">what is this, who made or issued it, when and where does it belong, how is it described by authoritative sources, and why is it grouped here?</w:t>
      </w:r>
      <w:r>
        <w:t xml:space="preserve"> </w:t>
      </w:r>
      <w:r>
        <w:t xml:space="preserve">A good main-sheet note will usually be enough to orient the reader in roughly one short paragraph for object-level records and one to two short paragraphs for folder introductions. Getty advises a coherent statement covering salient characteristics and historical significance; DACS likewise treats scope-and-content as a relevance judgment tool rather than a field for exhaustive transcription. In your environment, a practical target is</w:t>
      </w:r>
      <w:r>
        <w:t xml:space="preserve"> </w:t>
      </w:r>
      <w:r>
        <w:rPr>
          <w:b/>
          <w:bCs/>
        </w:rPr>
        <w:t xml:space="preserve">about 100–250 words for most main sheets</w:t>
      </w:r>
      <w:r>
        <w:t xml:space="preserve">,</w:t>
      </w:r>
      <w:r>
        <w:t xml:space="preserve"> </w:t>
      </w:r>
      <w:r>
        <w:rPr>
          <w:b/>
          <w:bCs/>
        </w:rPr>
        <w:t xml:space="preserve">150–350 words for folder intros</w:t>
      </w:r>
      <w:r>
        <w:t xml:space="preserve">, and</w:t>
      </w:r>
      <w:r>
        <w:t xml:space="preserve"> </w:t>
      </w:r>
      <w:r>
        <w:rPr>
          <w:b/>
          <w:bCs/>
        </w:rPr>
        <w:t xml:space="preserve">60–120 words only for thin-but-eligible sheets that are explicitly flagged as thin</w:t>
      </w:r>
      <w:r>
        <w:t xml:space="preserve">.</w:t>
      </w:r>
      <w:r>
        <w:t xml:space="preserve"> </w:t>
      </w:r>
      <w:hyperlink r:id="rId22">
        <w:r>
          <w:rPr>
            <w:rStyle w:val="Hyperlink"/>
          </w:rPr>
          <w:t xml:space="preserve">[3]</w:t>
        </w:r>
      </w:hyperlink>
    </w:p>
    <w:p>
      <w:pPr>
        <w:pStyle w:val="BodyText"/>
      </w:pPr>
      <w:r>
        <w:t xml:space="preserve">Because this is a rights-aware public index, the prose must also distinguish the rights on the</w:t>
      </w:r>
      <w:r>
        <w:t xml:space="preserve"> </w:t>
      </w:r>
      <w:r>
        <w:rPr>
          <w:b/>
          <w:bCs/>
        </w:rPr>
        <w:t xml:space="preserve">description</w:t>
      </w:r>
      <w:r>
        <w:t xml:space="preserve"> </w:t>
      </w:r>
      <w:r>
        <w:t xml:space="preserve">from the rights on the</w:t>
      </w:r>
      <w:r>
        <w:t xml:space="preserve"> </w:t>
      </w:r>
      <w:r>
        <w:rPr>
          <w:b/>
          <w:bCs/>
        </w:rPr>
        <w:t xml:space="preserve">digital object or image</w:t>
      </w:r>
      <w:r>
        <w:t xml:space="preserve">. DACS requires a rights statement for the archival description itself, while RightsStatements.org and Europeana’s guidance treat rights statements as descriptive labels for digital objects, typically expressed through a stable rights URI. Those are different layers and should not be collapsed into one generic copyright sentence.</w:t>
      </w:r>
      <w:r>
        <w:t xml:space="preserve"> </w:t>
      </w:r>
      <w:hyperlink r:id="rId23">
        <w:r>
          <w:rPr>
            <w:rStyle w:val="Hyperlink"/>
          </w:rPr>
          <w:t xml:space="preserve">[4]</w:t>
        </w:r>
      </w:hyperlink>
    </w:p>
    <w:bookmarkEnd w:id="24"/>
    <w:bookmarkStart w:id="27" w:name="X7cbfa52792bd5e579969b66124ce96bcb1657cf"/>
    <w:p>
      <w:pPr>
        <w:pStyle w:val="Heading2"/>
      </w:pPr>
      <w:r>
        <w:t xml:space="preserve">Source hierarchy and how each source type should be used</w:t>
      </w:r>
    </w:p>
    <w:p>
      <w:pPr>
        <w:pStyle w:val="FirstParagraph"/>
      </w:pPr>
      <w:r>
        <w:t xml:space="preserve">The most reliable enrichment method is</w:t>
      </w:r>
      <w:r>
        <w:t xml:space="preserve"> </w:t>
      </w:r>
      <w:r>
        <w:rPr>
          <w:b/>
          <w:bCs/>
        </w:rPr>
        <w:t xml:space="preserve">hierarchical and additive</w:t>
      </w:r>
      <w:r>
        <w:t xml:space="preserve">. Start with object-level institutional records, then move outward to collection-level descriptions, then exhibition texts, then institutional histories, then scholarly publications, then contemporary periodicals and newspapers. Cataloging standards support this order: DACS says devised titles and creator information may be taken from reliable internal and external sources, and scope-and-content should be derived from the materials themselves and relevant documentation. Crossref, WorldCat, Getty vocabularies, VIAF, and id.loc.gov are then useful for making the bibliographic and authority layer stable, searchable, and reproducible.</w:t>
      </w:r>
      <w:r>
        <w:t xml:space="preserve"> </w:t>
      </w:r>
      <w:hyperlink r:id="rId25">
        <w:r>
          <w:rPr>
            <w:rStyle w:val="Hyperlink"/>
          </w:rPr>
          <w:t xml:space="preserve">[5]</w:t>
        </w:r>
      </w:hyperlink>
    </w:p>
    <w:p>
      <w:pPr>
        <w:pStyle w:val="BodyText"/>
      </w:pPr>
      <w:r>
        <w:t xml:space="preserve">A workable source hierarchy for your sheets is this:</w:t>
      </w:r>
      <w:r>
        <w:t xml:space="preserve"> </w:t>
      </w:r>
      <w:r>
        <w:rPr>
          <w:b/>
          <w:bCs/>
        </w:rPr>
        <w:t xml:space="preserve">museum or archive object record first; collection or finding aid second; exhibition text third; institutional history fourth; scholarly books, articles, catalogue essays, and manuals fifth; OCR-discovered periodical or newspaper evidence sixth</w:t>
      </w:r>
      <w:r>
        <w:t xml:space="preserve">. That order reflects not absolute truth, but best use. Institutional object records are strongest for identification, medium, dimensions, accession context, and short formal description. Exhibition texts are often strong for historically situated framing, but they are more interpretive and time-bound. Institutional histories are particularly useful for authority records, movement folders, and school or studio intros, but they should not by themselves settle disputed object-level claims. Books and articles are strongest for synthesis and historiography; bibliographic services make them citable and discoverable, but they do not replace reading the actual source. OCR text is a discovery layer first and an evidentiary snippet layer second.</w:t>
      </w:r>
      <w:r>
        <w:t xml:space="preserve"> </w:t>
      </w:r>
      <w:hyperlink r:id="rId22">
        <w:r>
          <w:rPr>
            <w:rStyle w:val="Hyperlink"/>
          </w:rPr>
          <w:t xml:space="preserve">[6]</w:t>
        </w:r>
      </w:hyperlink>
    </w:p>
    <w:bookmarkStart w:id="26" w:name="source-use-matrix"/>
    <w:p>
      <w:pPr>
        <w:pStyle w:val="Heading3"/>
      </w:pPr>
      <w:r>
        <w:t xml:space="preserve">Source-use matrix</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Source type</w:t>
            </w:r>
          </w:p>
        </w:tc>
        <w:tc>
          <w:tcPr/>
          <w:p>
            <w:pPr>
              <w:pStyle w:val="Compact"/>
            </w:pPr>
            <w:r>
              <w:t xml:space="preserve">Typical examples</w:t>
            </w:r>
          </w:p>
        </w:tc>
        <w:tc>
          <w:tcPr/>
          <w:p>
            <w:pPr>
              <w:pStyle w:val="Compact"/>
            </w:pPr>
            <w:r>
              <w:t xml:space="preserve">Reliability</w:t>
            </w:r>
          </w:p>
        </w:tc>
        <w:tc>
          <w:tcPr/>
          <w:p>
            <w:pPr>
              <w:pStyle w:val="Compact"/>
            </w:pPr>
            <w:r>
              <w:t xml:space="preserve">Citation requirement</w:t>
            </w:r>
          </w:p>
        </w:tc>
        <w:tc>
          <w:tcPr/>
          <w:p>
            <w:pPr>
              <w:pStyle w:val="Compact"/>
            </w:pPr>
            <w:r>
              <w:t xml:space="preserve">Quotations</w:t>
            </w:r>
          </w:p>
        </w:tc>
        <w:tc>
          <w:tcPr/>
          <w:p>
            <w:pPr>
              <w:pStyle w:val="Compact"/>
            </w:pPr>
            <w:r>
              <w:t xml:space="preserve">Copyright-safe practice</w:t>
            </w:r>
          </w:p>
        </w:tc>
        <w:tc>
          <w:tcPr/>
          <w:p>
            <w:pPr>
              <w:pStyle w:val="Compact"/>
            </w:pPr>
            <w:r>
              <w:t xml:space="preserve">Storage rule</w:t>
            </w:r>
          </w:p>
        </w:tc>
        <w:tc>
          <w:tcPr/>
          <w:p>
            <w:pPr>
              <w:pStyle w:val="Compact"/>
            </w:pPr>
            <w:r>
              <w:t xml:space="preserve">Uncertainty and missing data</w:t>
            </w:r>
          </w:p>
        </w:tc>
        <w:tc>
          <w:tcPr/>
          <w:p>
            <w:pPr>
              <w:pStyle w:val="Compact"/>
            </w:pPr>
            <w:r>
              <w:t xml:space="preserve">Best use in a 100–250 word note</w:t>
            </w:r>
          </w:p>
        </w:tc>
      </w:tr>
      <w:tr>
        <w:tc>
          <w:tcPr/>
          <w:p>
            <w:pPr>
              <w:pStyle w:val="Compact"/>
            </w:pPr>
            <w:r>
              <w:t xml:space="preserve">Institutional object or catalogue description</w:t>
            </w:r>
          </w:p>
        </w:tc>
        <w:tc>
          <w:tcPr/>
          <w:p>
            <w:pPr>
              <w:pStyle w:val="Compact"/>
            </w:pPr>
            <w:r>
              <w:t xml:space="preserve">Museum object page, archive item record, library catalogue with curator-written note</w:t>
            </w:r>
          </w:p>
        </w:tc>
        <w:tc>
          <w:tcPr/>
          <w:p>
            <w:pPr>
              <w:pStyle w:val="Compact"/>
            </w:pPr>
            <w:r>
              <w:t xml:space="preserve">High for identification and object facts; medium for significance</w:t>
            </w:r>
          </w:p>
        </w:tc>
        <w:tc>
          <w:tcPr/>
          <w:p>
            <w:pPr>
              <w:pStyle w:val="Compact"/>
            </w:pPr>
            <w:r>
              <w:t xml:space="preserve">Cite institution, object title, URL/ID, access date or stable object page</w:t>
            </w:r>
          </w:p>
        </w:tc>
        <w:tc>
          <w:tcPr/>
          <w:p>
            <w:pPr>
              <w:pStyle w:val="Compact"/>
            </w:pPr>
            <w:r>
              <w:t xml:space="preserve">Short quotation only if phrasing itself matters; otherwise paraphrase</w:t>
            </w:r>
          </w:p>
        </w:tc>
        <w:tc>
          <w:tcPr/>
          <w:p>
            <w:pPr>
              <w:pStyle w:val="Compact"/>
            </w:pPr>
            <w:r>
              <w:t xml:space="preserve">Prefer paraphrase; avoid copying the full object essay</w:t>
            </w:r>
          </w:p>
        </w:tc>
        <w:tc>
          <w:tcPr/>
          <w:p>
            <w:pPr>
              <w:pStyle w:val="Compact"/>
            </w:pPr>
            <w:r>
              <w:t xml:space="preserve">Keep verbatim in</w:t>
            </w:r>
            <w:r>
              <w:t xml:space="preserve"> </w:t>
            </w:r>
            <w:r>
              <w:rPr>
                <w:rStyle w:val="VerbatimChar"/>
              </w:rPr>
              <w:t xml:space="preserve">source_description_raw</w:t>
            </w:r>
            <w:r>
              <w:t xml:space="preserve">; paraphrase into</w:t>
            </w:r>
            <w:r>
              <w:t xml:space="preserve"> </w:t>
            </w:r>
            <w:r>
              <w:rPr>
                <w:rStyle w:val="VerbatimChar"/>
              </w:rPr>
              <w:t xml:space="preserve">editorial_summary</w:t>
            </w:r>
          </w:p>
        </w:tc>
        <w:tc>
          <w:tcPr/>
          <w:p>
            <w:pPr>
              <w:pStyle w:val="Compact"/>
            </w:pPr>
            <w:r>
              <w:t xml:space="preserve">If creator/date/place are absent, do not infer; mark as not established</w:t>
            </w:r>
          </w:p>
        </w:tc>
        <w:tc>
          <w:tcPr/>
          <w:p>
            <w:pPr>
              <w:pStyle w:val="Compact"/>
            </w:pPr>
            <w:r>
              <w:t xml:space="preserve">Best default base text for object/work and poster sheets</w:t>
            </w:r>
          </w:p>
        </w:tc>
      </w:tr>
      <w:tr>
        <w:tc>
          <w:tcPr/>
          <w:p>
            <w:pPr>
              <w:pStyle w:val="Compact"/>
            </w:pPr>
            <w:r>
              <w:t xml:space="preserve">Finding aid or collection page</w:t>
            </w:r>
          </w:p>
        </w:tc>
        <w:tc>
          <w:tcPr/>
          <w:p>
            <w:pPr>
              <w:pStyle w:val="Compact"/>
            </w:pPr>
            <w:r>
              <w:t xml:space="preserve">Collection abstract, scope note, historical note</w:t>
            </w:r>
          </w:p>
        </w:tc>
        <w:tc>
          <w:tcPr/>
          <w:p>
            <w:pPr>
              <w:pStyle w:val="Compact"/>
            </w:pPr>
            <w:r>
              <w:t xml:space="preserve">High for repository context and relation structure</w:t>
            </w:r>
          </w:p>
        </w:tc>
        <w:tc>
          <w:tcPr/>
          <w:p>
            <w:pPr>
              <w:pStyle w:val="Compact"/>
            </w:pPr>
            <w:r>
              <w:t xml:space="preserve">Cite repository, collection title, section heading</w:t>
            </w:r>
          </w:p>
        </w:tc>
        <w:tc>
          <w:tcPr/>
          <w:p>
            <w:pPr>
              <w:pStyle w:val="Compact"/>
            </w:pPr>
            <w:r>
              <w:t xml:space="preserve">Very short quotations allowed</w:t>
            </w:r>
          </w:p>
        </w:tc>
        <w:tc>
          <w:tcPr/>
          <w:p>
            <w:pPr>
              <w:pStyle w:val="Compact"/>
            </w:pPr>
            <w:r>
              <w:t xml:space="preserve">Quote only distinctive wording; otherwise summarize</w:t>
            </w:r>
          </w:p>
        </w:tc>
        <w:tc>
          <w:tcPr/>
          <w:p>
            <w:pPr>
              <w:pStyle w:val="Compact"/>
            </w:pPr>
            <w:r>
              <w:t xml:space="preserve">Keep verbatim in</w:t>
            </w:r>
            <w:r>
              <w:t xml:space="preserve"> </w:t>
            </w:r>
            <w:r>
              <w:rPr>
                <w:rStyle w:val="VerbatimChar"/>
              </w:rPr>
              <w:t xml:space="preserve">source_notes_raw</w:t>
            </w:r>
          </w:p>
        </w:tc>
        <w:tc>
          <w:tcPr/>
          <w:p>
            <w:pPr>
              <w:pStyle w:val="Compact"/>
            </w:pPr>
            <w:r>
              <w:t xml:space="preserve">Use to explain provenance, scope, gaps, or grouping</w:t>
            </w:r>
          </w:p>
        </w:tc>
        <w:tc>
          <w:tcPr/>
          <w:p>
            <w:pPr>
              <w:pStyle w:val="Compact"/>
            </w:pPr>
            <w:r>
              <w:t xml:space="preserve">Best for institution/person sheets and compound records</w:t>
            </w:r>
          </w:p>
        </w:tc>
      </w:tr>
      <w:tr>
        <w:tc>
          <w:tcPr/>
          <w:p>
            <w:pPr>
              <w:pStyle w:val="Compact"/>
            </w:pPr>
            <w:r>
              <w:t xml:space="preserve">Exhibition text or wall text</w:t>
            </w:r>
          </w:p>
        </w:tc>
        <w:tc>
          <w:tcPr/>
          <w:p>
            <w:pPr>
              <w:pStyle w:val="Compact"/>
            </w:pPr>
            <w:r>
              <w:t xml:space="preserve">Museum exhibition page, curatorial intro, online label</w:t>
            </w:r>
          </w:p>
        </w:tc>
        <w:tc>
          <w:tcPr/>
          <w:p>
            <w:pPr>
              <w:pStyle w:val="Compact"/>
            </w:pPr>
            <w:r>
              <w:t xml:space="preserve">Medium-high for framed historical context; lower for hard metadata</w:t>
            </w:r>
          </w:p>
        </w:tc>
        <w:tc>
          <w:tcPr/>
          <w:p>
            <w:pPr>
              <w:pStyle w:val="Compact"/>
            </w:pPr>
            <w:r>
              <w:t xml:space="preserve">Cite exhibition title, institution, curator if named, year/page</w:t>
            </w:r>
          </w:p>
        </w:tc>
        <w:tc>
          <w:tcPr/>
          <w:p>
            <w:pPr>
              <w:pStyle w:val="Compact"/>
            </w:pPr>
            <w:r>
              <w:t xml:space="preserve">Use sparingly</w:t>
            </w:r>
          </w:p>
        </w:tc>
        <w:tc>
          <w:tcPr/>
          <w:p>
            <w:pPr>
              <w:pStyle w:val="Compact"/>
            </w:pPr>
            <w:r>
              <w:t xml:space="preserve">Prefer paraphrase; avoid reproducing long label text</w:t>
            </w:r>
          </w:p>
        </w:tc>
        <w:tc>
          <w:tcPr/>
          <w:p>
            <w:pPr>
              <w:pStyle w:val="Compact"/>
            </w:pPr>
            <w:r>
              <w:t xml:space="preserve">Store verbatim excerpt only if short and necessary</w:t>
            </w:r>
          </w:p>
        </w:tc>
        <w:tc>
          <w:tcPr/>
          <w:p>
            <w:pPr>
              <w:pStyle w:val="Compact"/>
            </w:pPr>
            <w:r>
              <w:t xml:space="preserve">Mark as curatorial framing, not neutral fact, if claim is interpretive</w:t>
            </w:r>
          </w:p>
        </w:tc>
        <w:tc>
          <w:tcPr/>
          <w:p>
            <w:pPr>
              <w:pStyle w:val="Compact"/>
            </w:pPr>
            <w:r>
              <w:t xml:space="preserve">Best for context, reception, themes, and why a work is grouped in a folder</w:t>
            </w:r>
          </w:p>
        </w:tc>
      </w:tr>
      <w:tr>
        <w:tc>
          <w:tcPr/>
          <w:p>
            <w:pPr>
              <w:pStyle w:val="Compact"/>
            </w:pPr>
            <w:r>
              <w:t xml:space="preserve">Institutional history</w:t>
            </w:r>
          </w:p>
        </w:tc>
        <w:tc>
          <w:tcPr/>
          <w:p>
            <w:pPr>
              <w:pStyle w:val="Compact"/>
            </w:pPr>
            <w:r>
              <w:t xml:space="preserve">School, archive, museum, studio history page</w:t>
            </w:r>
          </w:p>
        </w:tc>
        <w:tc>
          <w:tcPr/>
          <w:p>
            <w:pPr>
              <w:pStyle w:val="Compact"/>
            </w:pPr>
            <w:r>
              <w:t xml:space="preserve">Medium-high for authority/background</w:t>
            </w:r>
          </w:p>
        </w:tc>
        <w:tc>
          <w:tcPr/>
          <w:p>
            <w:pPr>
              <w:pStyle w:val="Compact"/>
            </w:pPr>
            <w:r>
              <w:t xml:space="preserve">Cite institution page and section</w:t>
            </w:r>
          </w:p>
        </w:tc>
        <w:tc>
          <w:tcPr/>
          <w:p>
            <w:pPr>
              <w:pStyle w:val="Compact"/>
            </w:pPr>
            <w:r>
              <w:t xml:space="preserve">Usually paraphrase</w:t>
            </w:r>
          </w:p>
        </w:tc>
        <w:tc>
          <w:tcPr/>
          <w:p>
            <w:pPr>
              <w:pStyle w:val="Compact"/>
            </w:pPr>
            <w:r>
              <w:t xml:space="preserve">Avoid copying promotional wording</w:t>
            </w:r>
          </w:p>
        </w:tc>
        <w:tc>
          <w:tcPr/>
          <w:p>
            <w:pPr>
              <w:pStyle w:val="Compact"/>
            </w:pPr>
            <w:r>
              <w:t xml:space="preserve">Put verbatim in</w:t>
            </w:r>
            <w:r>
              <w:t xml:space="preserve"> </w:t>
            </w:r>
            <w:r>
              <w:rPr>
                <w:rStyle w:val="VerbatimChar"/>
              </w:rPr>
              <w:t xml:space="preserve">source_notes_raw</w:t>
            </w:r>
            <w:r>
              <w:t xml:space="preserve">; use paraphrase in context note</w:t>
            </w:r>
          </w:p>
        </w:tc>
        <w:tc>
          <w:tcPr/>
          <w:p>
            <w:pPr>
              <w:pStyle w:val="Compact"/>
            </w:pPr>
            <w:r>
              <w:t xml:space="preserve">Do not use alone for object attribution</w:t>
            </w:r>
          </w:p>
        </w:tc>
        <w:tc>
          <w:tcPr/>
          <w:p>
            <w:pPr>
              <w:pStyle w:val="Compact"/>
            </w:pPr>
            <w:r>
              <w:t xml:space="preserve">Best for folder intros and authority sheets</w:t>
            </w:r>
          </w:p>
        </w:tc>
      </w:tr>
      <w:tr>
        <w:tc>
          <w:tcPr/>
          <w:p>
            <w:pPr>
              <w:pStyle w:val="Compact"/>
            </w:pPr>
            <w:r>
              <w:t xml:space="preserve">Books, articles, catalogue essays, design manuals</w:t>
            </w:r>
          </w:p>
        </w:tc>
        <w:tc>
          <w:tcPr/>
          <w:p>
            <w:pPr>
              <w:pStyle w:val="Compact"/>
            </w:pPr>
            <w:r>
              <w:t xml:space="preserve">Monographs, journal articles, scholarly essays, handbooks</w:t>
            </w:r>
          </w:p>
        </w:tc>
        <w:tc>
          <w:tcPr/>
          <w:p>
            <w:pPr>
              <w:pStyle w:val="Compact"/>
            </w:pPr>
            <w:r>
              <w:t xml:space="preserve">High when reputable and specifically relevant</w:t>
            </w:r>
          </w:p>
        </w:tc>
        <w:tc>
          <w:tcPr/>
          <w:p>
            <w:pPr>
              <w:pStyle w:val="Compact"/>
            </w:pPr>
            <w:r>
              <w:t xml:space="preserve">Full bibliographic citation with page range; DOI/WorldCat/HathiTrust if possible</w:t>
            </w:r>
          </w:p>
        </w:tc>
        <w:tc>
          <w:tcPr/>
          <w:p>
            <w:pPr>
              <w:pStyle w:val="Compact"/>
            </w:pPr>
            <w:r>
              <w:t xml:space="preserve">Short quotations only when wording matters</w:t>
            </w:r>
          </w:p>
        </w:tc>
        <w:tc>
          <w:tcPr/>
          <w:p>
            <w:pPr>
              <w:pStyle w:val="Compact"/>
            </w:pPr>
            <w:r>
              <w:t xml:space="preserve">Prefer paraphrase plus exact page citation</w:t>
            </w:r>
          </w:p>
        </w:tc>
        <w:tc>
          <w:tcPr/>
          <w:p>
            <w:pPr>
              <w:pStyle w:val="Compact"/>
            </w:pPr>
            <w:r>
              <w:t xml:space="preserve">Store short quoted or paraphrased passage in</w:t>
            </w:r>
            <w:r>
              <w:t xml:space="preserve"> </w:t>
            </w:r>
            <w:r>
              <w:rPr>
                <w:rStyle w:val="VerbatimChar"/>
              </w:rPr>
              <w:t xml:space="preserve">source_notes_raw</w:t>
            </w:r>
            <w:r>
              <w:t xml:space="preserve"> </w:t>
            </w:r>
            <w:r>
              <w:t xml:space="preserve">with page number</w:t>
            </w:r>
          </w:p>
        </w:tc>
        <w:tc>
          <w:tcPr/>
          <w:p>
            <w:pPr>
              <w:pStyle w:val="Compact"/>
            </w:pPr>
            <w:r>
              <w:t xml:space="preserve">If scholars disagree, state that disagreement explicitly</w:t>
            </w:r>
          </w:p>
        </w:tc>
        <w:tc>
          <w:tcPr/>
          <w:p>
            <w:pPr>
              <w:pStyle w:val="Compact"/>
            </w:pPr>
            <w:r>
              <w:t xml:space="preserve">Best for interpretive but supported context</w:t>
            </w:r>
          </w:p>
        </w:tc>
      </w:tr>
      <w:tr>
        <w:tc>
          <w:tcPr/>
          <w:p>
            <w:pPr>
              <w:pStyle w:val="Compact"/>
            </w:pPr>
            <w:r>
              <w:t xml:space="preserve">Bibliographies and authority files</w:t>
            </w:r>
          </w:p>
        </w:tc>
        <w:tc>
          <w:tcPr/>
          <w:p>
            <w:pPr>
              <w:pStyle w:val="Compact"/>
            </w:pPr>
            <w:r>
              <w:t xml:space="preserve">WorldCat, Crossref, Getty AAT/ULAN/TGN, VIAF, id.loc.gov</w:t>
            </w:r>
          </w:p>
        </w:tc>
        <w:tc>
          <w:tcPr/>
          <w:p>
            <w:pPr>
              <w:pStyle w:val="Compact"/>
            </w:pPr>
            <w:r>
              <w:t xml:space="preserve">High for identifiers and name control; low for narrative history</w:t>
            </w:r>
          </w:p>
        </w:tc>
        <w:tc>
          <w:tcPr/>
          <w:p>
            <w:pPr>
              <w:pStyle w:val="Compact"/>
            </w:pPr>
            <w:r>
              <w:t xml:space="preserve">Cite service and identifier</w:t>
            </w:r>
          </w:p>
        </w:tc>
        <w:tc>
          <w:tcPr/>
          <w:p>
            <w:pPr>
              <w:pStyle w:val="Compact"/>
            </w:pPr>
            <w:r>
              <w:t xml:space="preserve">Generally no quotation needed</w:t>
            </w:r>
          </w:p>
        </w:tc>
        <w:tc>
          <w:tcPr/>
          <w:p>
            <w:pPr>
              <w:pStyle w:val="Compact"/>
            </w:pPr>
            <w:r>
              <w:t xml:space="preserve">No issue for short factual metadata, but do not treat authority data as full narrative evidence</w:t>
            </w:r>
          </w:p>
        </w:tc>
        <w:tc>
          <w:tcPr/>
          <w:p>
            <w:pPr>
              <w:pStyle w:val="Compact"/>
            </w:pPr>
            <w:r>
              <w:t xml:space="preserve">Store in</w:t>
            </w:r>
            <w:r>
              <w:t xml:space="preserve"> </w:t>
            </w:r>
            <w:r>
              <w:rPr>
                <w:rStyle w:val="VerbatimChar"/>
              </w:rPr>
              <w:t xml:space="preserve">citation_basis</w:t>
            </w:r>
            <w:r>
              <w:t xml:space="preserve"> </w:t>
            </w:r>
            <w:r>
              <w:t xml:space="preserve">and authority fields</w:t>
            </w:r>
          </w:p>
        </w:tc>
        <w:tc>
          <w:tcPr/>
          <w:p>
            <w:pPr>
              <w:pStyle w:val="Compact"/>
            </w:pPr>
            <w:r>
              <w:t xml:space="preserve">Use variant forms, identifiers, and parallel names; do not overread them</w:t>
            </w:r>
          </w:p>
        </w:tc>
        <w:tc>
          <w:tcPr/>
          <w:p>
            <w:pPr>
              <w:pStyle w:val="Compact"/>
            </w:pPr>
            <w:r>
              <w:t xml:space="preserve">Best for normalization, disambiguation, and multilingual control</w:t>
            </w:r>
          </w:p>
        </w:tc>
      </w:tr>
      <w:tr>
        <w:tc>
          <w:tcPr/>
          <w:p>
            <w:pPr>
              <w:pStyle w:val="Compact"/>
            </w:pPr>
            <w:r>
              <w:t xml:space="preserve">OCR from periodicals and newspapers</w:t>
            </w:r>
          </w:p>
        </w:tc>
        <w:tc>
          <w:tcPr/>
          <w:p>
            <w:pPr>
              <w:pStyle w:val="Compact"/>
            </w:pPr>
            <w:r>
              <w:t xml:space="preserve">Trove, Chronicling America, NDL OCR, HNDM, NewspaperSG</w:t>
            </w:r>
          </w:p>
        </w:tc>
        <w:tc>
          <w:tcPr/>
          <w:p>
            <w:pPr>
              <w:pStyle w:val="Compact"/>
            </w:pPr>
            <w:r>
              <w:t xml:space="preserve">Medium for discovery; only medium-low until image-verified</w:t>
            </w:r>
          </w:p>
        </w:tc>
        <w:tc>
          <w:tcPr/>
          <w:p>
            <w:pPr>
              <w:pStyle w:val="Compact"/>
            </w:pPr>
            <w:r>
              <w:t xml:space="preserve">Cite archive, title, date, page/item ID, and note OCR if uncorrected</w:t>
            </w:r>
          </w:p>
        </w:tc>
        <w:tc>
          <w:tcPr/>
          <w:p>
            <w:pPr>
              <w:pStyle w:val="Compact"/>
            </w:pPr>
            <w:r>
              <w:t xml:space="preserve">Very short snippets only</w:t>
            </w:r>
          </w:p>
        </w:tc>
        <w:tc>
          <w:tcPr/>
          <w:p>
            <w:pPr>
              <w:pStyle w:val="Compact"/>
            </w:pPr>
            <w:r>
              <w:t xml:space="preserve">Verify against page image before quoting; do not overquote</w:t>
            </w:r>
          </w:p>
        </w:tc>
        <w:tc>
          <w:tcPr/>
          <w:p>
            <w:pPr>
              <w:pStyle w:val="Compact"/>
            </w:pPr>
            <w:r>
              <w:t xml:space="preserve">Put uncorrected or corrected text in</w:t>
            </w:r>
            <w:r>
              <w:t xml:space="preserve"> </w:t>
            </w:r>
            <w:r>
              <w:rPr>
                <w:rStyle w:val="VerbatimChar"/>
              </w:rPr>
              <w:t xml:space="preserve">extracted_text_snippet</w:t>
            </w:r>
            <w:r>
              <w:t xml:space="preserve"> </w:t>
            </w:r>
            <w:r>
              <w:t xml:space="preserve">only</w:t>
            </w:r>
          </w:p>
        </w:tc>
        <w:tc>
          <w:tcPr/>
          <w:p>
            <w:pPr>
              <w:pStyle w:val="Compact"/>
            </w:pPr>
            <w:r>
              <w:t xml:space="preserve">Always mark OCR uncertainty; if corrupted, do not smooth silently</w:t>
            </w:r>
          </w:p>
        </w:tc>
        <w:tc>
          <w:tcPr/>
          <w:p>
            <w:pPr>
              <w:pStyle w:val="Compact"/>
            </w:pPr>
            <w:r>
              <w:t xml:space="preserve">Best for contemporary reception, advertisements, notices, and terminology</w:t>
            </w:r>
          </w:p>
        </w:tc>
      </w:tr>
      <w:tr>
        <w:tc>
          <w:tcPr/>
          <w:p>
            <w:pPr>
              <w:pStyle w:val="Compact"/>
            </w:pPr>
            <w:r>
              <w:t xml:space="preserve">Multilingual source and translation layer</w:t>
            </w:r>
          </w:p>
        </w:tc>
        <w:tc>
          <w:tcPr/>
          <w:p>
            <w:pPr>
              <w:pStyle w:val="Compact"/>
            </w:pPr>
            <w:r>
              <w:t xml:space="preserve">Parallel catalogue pages, translated exhibition pages, romanized names</w:t>
            </w:r>
          </w:p>
        </w:tc>
        <w:tc>
          <w:tcPr/>
          <w:p>
            <w:pPr>
              <w:pStyle w:val="Compact"/>
            </w:pPr>
            <w:r>
              <w:t xml:space="preserve">Depends on source; translation often secondary</w:t>
            </w:r>
          </w:p>
        </w:tc>
        <w:tc>
          <w:tcPr/>
          <w:p>
            <w:pPr>
              <w:pStyle w:val="Compact"/>
            </w:pPr>
            <w:r>
              <w:t xml:space="preserve">Cite original-language source first; translation source second if used</w:t>
            </w:r>
          </w:p>
        </w:tc>
        <w:tc>
          <w:tcPr/>
          <w:p>
            <w:pPr>
              <w:pStyle w:val="Compact"/>
            </w:pPr>
            <w:r>
              <w:t xml:space="preserve">Quote in original only when necessary and short</w:t>
            </w:r>
          </w:p>
        </w:tc>
        <w:tc>
          <w:tcPr/>
          <w:p>
            <w:pPr>
              <w:pStyle w:val="Compact"/>
            </w:pPr>
            <w:r>
              <w:t xml:space="preserve">Prefer translated paraphrase plus original-language evidence</w:t>
            </w:r>
          </w:p>
        </w:tc>
        <w:tc>
          <w:tcPr/>
          <w:p>
            <w:pPr>
              <w:pStyle w:val="Compact"/>
            </w:pPr>
            <w:r>
              <w:t xml:space="preserve">Keep original in</w:t>
            </w:r>
            <w:r>
              <w:t xml:space="preserve"> </w:t>
            </w:r>
            <w:r>
              <w:rPr>
                <w:rStyle w:val="VerbatimChar"/>
              </w:rPr>
              <w:t xml:space="preserve">source_description_raw</w:t>
            </w:r>
            <w:r>
              <w:t xml:space="preserve">; translation in</w:t>
            </w:r>
            <w:r>
              <w:t xml:space="preserve"> </w:t>
            </w:r>
            <w:r>
              <w:rPr>
                <w:rStyle w:val="VerbatimChar"/>
              </w:rPr>
              <w:t xml:space="preserve">editorial_summary</w:t>
            </w:r>
            <w:r>
              <w:t xml:space="preserve"> </w:t>
            </w:r>
            <w:r>
              <w:t xml:space="preserve">or note fields</w:t>
            </w:r>
          </w:p>
        </w:tc>
        <w:tc>
          <w:tcPr/>
          <w:p>
            <w:pPr>
              <w:pStyle w:val="Compact"/>
            </w:pPr>
            <w:r>
              <w:t xml:space="preserve">Record language/script, transliteration standard, and any variant names</w:t>
            </w:r>
          </w:p>
        </w:tc>
        <w:tc>
          <w:tcPr/>
          <w:p>
            <w:pPr>
              <w:pStyle w:val="Compact"/>
            </w:pPr>
            <w:r>
              <w:t xml:space="preserve">Best for global coverage and non-Western record integrity</w:t>
            </w:r>
          </w:p>
        </w:tc>
      </w:tr>
    </w:tbl>
    <w:p>
      <w:pPr>
        <w:pStyle w:val="BodyText"/>
      </w:pPr>
      <w:r>
        <w:t xml:space="preserve">The matrix above operationalizes several consistent external rules: DACS allows reliable internal and external sources for devised titles and creator information, derives scope/content from materials and relevant documentation, and uses authority records to capture names, variants, and relationships; Getty requires objective and concise descriptive notes, warns against plagiarism, recommends paraphrase with citation and page number, and says notes should supplement rather than replace indexed fields; rights guidance requires explicit, stable communication of digital-object rights and separate policy for the description itself.</w:t>
      </w:r>
      <w:r>
        <w:t xml:space="preserve"> </w:t>
      </w:r>
      <w:hyperlink r:id="rId25">
        <w:r>
          <w:rPr>
            <w:rStyle w:val="Hyperlink"/>
          </w:rPr>
          <w:t xml:space="preserve">[7]</w:t>
        </w:r>
      </w:hyperlink>
    </w:p>
    <w:bookmarkEnd w:id="26"/>
    <w:bookmarkEnd w:id="27"/>
    <w:bookmarkStart w:id="33" w:name="Xd50bd9b8b1bcb23d4101beaf4e35628fca202d4"/>
    <w:p>
      <w:pPr>
        <w:pStyle w:val="Heading2"/>
      </w:pPr>
      <w:r>
        <w:t xml:space="preserve">Field model and the rule separating evidence, description, and interpretation</w:t>
      </w:r>
    </w:p>
    <w:p>
      <w:pPr>
        <w:pStyle w:val="FirstParagraph"/>
      </w:pPr>
      <w:r>
        <w:t xml:space="preserve">Your proposed field set is solid. The key is to make each field answer a different question, so the sheet remains auditable.</w:t>
      </w:r>
    </w:p>
    <w:bookmarkStart w:id="28" w:name="recommended-field-model"/>
    <w:p>
      <w:pPr>
        <w:pStyle w:val="Heading3"/>
      </w:pPr>
      <w:r>
        <w:t xml:space="preserve">Recommended field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What it stores</w:t>
            </w:r>
          </w:p>
        </w:tc>
        <w:tc>
          <w:tcPr/>
          <w:p>
            <w:pPr>
              <w:pStyle w:val="Compact"/>
            </w:pPr>
            <w:r>
              <w:t xml:space="preserve">What it must not store</w:t>
            </w:r>
          </w:p>
        </w:tc>
      </w:tr>
      <w:tr>
        <w:tc>
          <w:tcPr/>
          <w:p>
            <w:pPr>
              <w:pStyle w:val="Compact"/>
            </w:pPr>
            <w:r>
              <w:rPr>
                <w:rStyle w:val="VerbatimChar"/>
              </w:rPr>
              <w:t xml:space="preserve">source_description_raw</w:t>
            </w:r>
          </w:p>
        </w:tc>
        <w:tc>
          <w:tcPr/>
          <w:p>
            <w:pPr>
              <w:pStyle w:val="Compact"/>
            </w:pPr>
            <w:r>
              <w:t xml:space="preserve">Verbatim short description from an institutional record or source page, in original language if applicable</w:t>
            </w:r>
          </w:p>
        </w:tc>
        <w:tc>
          <w:tcPr/>
          <w:p>
            <w:pPr>
              <w:pStyle w:val="Compact"/>
            </w:pPr>
            <w:r>
              <w:t xml:space="preserve">Editorial paraphrase disguised as source text</w:t>
            </w:r>
          </w:p>
        </w:tc>
      </w:tr>
      <w:tr>
        <w:tc>
          <w:tcPr/>
          <w:p>
            <w:pPr>
              <w:pStyle w:val="Compact"/>
            </w:pPr>
            <w:r>
              <w:rPr>
                <w:rStyle w:val="VerbatimChar"/>
              </w:rPr>
              <w:t xml:space="preserve">source_notes_raw</w:t>
            </w:r>
          </w:p>
        </w:tc>
        <w:tc>
          <w:tcPr/>
          <w:p>
            <w:pPr>
              <w:pStyle w:val="Compact"/>
            </w:pPr>
            <w:r>
              <w:t xml:space="preserve">Verbatim archival note, collection note, exhibition note, bibliographic excerpt, or curator statement with source details</w:t>
            </w:r>
          </w:p>
        </w:tc>
        <w:tc>
          <w:tcPr/>
          <w:p>
            <w:pPr>
              <w:pStyle w:val="Compact"/>
            </w:pPr>
            <w:r>
              <w:t xml:space="preserve">Uncited invention, merged summaries from multiple sources without labeling</w:t>
            </w:r>
          </w:p>
        </w:tc>
      </w:tr>
      <w:tr>
        <w:tc>
          <w:tcPr/>
          <w:p>
            <w:pPr>
              <w:pStyle w:val="Compact"/>
            </w:pPr>
            <w:r>
              <w:rPr>
                <w:rStyle w:val="VerbatimChar"/>
              </w:rPr>
              <w:t xml:space="preserve">source_subjects_raw</w:t>
            </w:r>
          </w:p>
        </w:tc>
        <w:tc>
          <w:tcPr/>
          <w:p>
            <w:pPr>
              <w:pStyle w:val="Compact"/>
            </w:pPr>
            <w:r>
              <w:t xml:space="preserve">Source-provided keywords, subjects, descriptors, movement terms, or controlled headings</w:t>
            </w:r>
          </w:p>
        </w:tc>
        <w:tc>
          <w:tcPr/>
          <w:p>
            <w:pPr>
              <w:pStyle w:val="Compact"/>
            </w:pPr>
            <w:r>
              <w:t xml:space="preserve">Locally invented subject strings without rationale</w:t>
            </w:r>
          </w:p>
        </w:tc>
      </w:tr>
      <w:tr>
        <w:tc>
          <w:tcPr/>
          <w:p>
            <w:pPr>
              <w:pStyle w:val="Compact"/>
            </w:pPr>
            <w:r>
              <w:rPr>
                <w:rStyle w:val="VerbatimChar"/>
              </w:rPr>
              <w:t xml:space="preserve">extracted_text_snippet</w:t>
            </w:r>
          </w:p>
        </w:tc>
        <w:tc>
          <w:tcPr/>
          <w:p>
            <w:pPr>
              <w:pStyle w:val="Compact"/>
            </w:pPr>
            <w:r>
              <w:t xml:space="preserve">Verified OCR, inscription, caption, colophon, masthead, advertisement fragment, or short transcribed snippet</w:t>
            </w:r>
          </w:p>
        </w:tc>
        <w:tc>
          <w:tcPr/>
          <w:p>
            <w:pPr>
              <w:pStyle w:val="Compact"/>
            </w:pPr>
            <w:r>
              <w:t xml:space="preserve">Long copied passages, unverified OCR, or whole articles</w:t>
            </w:r>
          </w:p>
        </w:tc>
      </w:tr>
      <w:tr>
        <w:tc>
          <w:tcPr/>
          <w:p>
            <w:pPr>
              <w:pStyle w:val="Compact"/>
            </w:pPr>
            <w:r>
              <w:rPr>
                <w:rStyle w:val="VerbatimChar"/>
              </w:rPr>
              <w:t xml:space="preserve">editorial_summary</w:t>
            </w:r>
          </w:p>
        </w:tc>
        <w:tc>
          <w:tcPr/>
          <w:p>
            <w:pPr>
              <w:pStyle w:val="Compact"/>
            </w:pPr>
            <w:r>
              <w:t xml:space="preserve">Neutral normalized paraphrase of what authoritative sources say</w:t>
            </w:r>
          </w:p>
        </w:tc>
        <w:tc>
          <w:tcPr/>
          <w:p>
            <w:pPr>
              <w:pStyle w:val="Compact"/>
            </w:pPr>
            <w:r>
              <w:t xml:space="preserve">Significance claims not directly supported</w:t>
            </w:r>
          </w:p>
        </w:tc>
      </w:tr>
      <w:tr>
        <w:tc>
          <w:tcPr/>
          <w:p>
            <w:pPr>
              <w:pStyle w:val="Compact"/>
            </w:pPr>
            <w:r>
              <w:rPr>
                <w:rStyle w:val="VerbatimChar"/>
              </w:rPr>
              <w:t xml:space="preserve">historical_context_note</w:t>
            </w:r>
          </w:p>
        </w:tc>
        <w:tc>
          <w:tcPr/>
          <w:p>
            <w:pPr>
              <w:pStyle w:val="Compact"/>
            </w:pPr>
            <w:r>
              <w:t xml:space="preserve">Compact contextual explanation grounded in cited institutional/scholarly sources</w:t>
            </w:r>
          </w:p>
        </w:tc>
        <w:tc>
          <w:tcPr/>
          <w:p>
            <w:pPr>
              <w:pStyle w:val="Compact"/>
            </w:pPr>
            <w:r>
              <w:t xml:space="preserve">Free speculation or broad history not tied back to the record</w:t>
            </w:r>
          </w:p>
        </w:tc>
      </w:tr>
      <w:tr>
        <w:tc>
          <w:tcPr/>
          <w:p>
            <w:pPr>
              <w:pStyle w:val="Compact"/>
            </w:pPr>
            <w:r>
              <w:rPr>
                <w:rStyle w:val="VerbatimChar"/>
              </w:rPr>
              <w:t xml:space="preserve">classification_rationale</w:t>
            </w:r>
          </w:p>
        </w:tc>
        <w:tc>
          <w:tcPr/>
          <w:p>
            <w:pPr>
              <w:pStyle w:val="Compact"/>
            </w:pPr>
            <w:r>
              <w:t xml:space="preserve">Why the record sits in a Region/Theme/Medium/Movement folder, tied to cited evidence</w:t>
            </w:r>
          </w:p>
        </w:tc>
        <w:tc>
          <w:tcPr/>
          <w:p>
            <w:pPr>
              <w:pStyle w:val="Compact"/>
            </w:pPr>
            <w:r>
              <w:t xml:space="preserve">Subjective taste, inspiration language, or unsourced taxonomy</w:t>
            </w:r>
          </w:p>
        </w:tc>
      </w:tr>
      <w:tr>
        <w:tc>
          <w:tcPr/>
          <w:p>
            <w:pPr>
              <w:pStyle w:val="Compact"/>
            </w:pPr>
            <w:r>
              <w:rPr>
                <w:rStyle w:val="VerbatimChar"/>
              </w:rPr>
              <w:t xml:space="preserve">uncertainty_note</w:t>
            </w:r>
          </w:p>
        </w:tc>
        <w:tc>
          <w:tcPr/>
          <w:p>
            <w:pPr>
              <w:pStyle w:val="Compact"/>
            </w:pPr>
            <w:r>
              <w:t xml:space="preserve">Explicit statement of missing, disputed, approximate, or conflicting facts</w:t>
            </w:r>
          </w:p>
        </w:tc>
        <w:tc>
          <w:tcPr/>
          <w:p>
            <w:pPr>
              <w:pStyle w:val="Compact"/>
            </w:pPr>
            <w:r>
              <w:t xml:space="preserve">Silent normalization or hidden editorial guesswork</w:t>
            </w:r>
          </w:p>
        </w:tc>
      </w:tr>
      <w:tr>
        <w:tc>
          <w:tcPr/>
          <w:p>
            <w:pPr>
              <w:pStyle w:val="Compact"/>
            </w:pPr>
            <w:r>
              <w:rPr>
                <w:rStyle w:val="VerbatimChar"/>
              </w:rPr>
              <w:t xml:space="preserve">rights_note</w:t>
            </w:r>
          </w:p>
        </w:tc>
        <w:tc>
          <w:tcPr/>
          <w:p>
            <w:pPr>
              <w:pStyle w:val="Compact"/>
            </w:pPr>
            <w:r>
              <w:t xml:space="preserve">Rights status of digital object and separate rights status of description, plus reuse caveat</w:t>
            </w:r>
          </w:p>
        </w:tc>
        <w:tc>
          <w:tcPr/>
          <w:p>
            <w:pPr>
              <w:pStyle w:val="Compact"/>
            </w:pPr>
            <w:r>
              <w:t xml:space="preserve">Generic “copyright may apply” without source or URI</w:t>
            </w:r>
          </w:p>
        </w:tc>
      </w:tr>
      <w:tr>
        <w:tc>
          <w:tcPr/>
          <w:p>
            <w:pPr>
              <w:pStyle w:val="Compact"/>
            </w:pPr>
            <w:r>
              <w:rPr>
                <w:rStyle w:val="VerbatimChar"/>
              </w:rPr>
              <w:t xml:space="preserve">citation_basis</w:t>
            </w:r>
          </w:p>
        </w:tc>
        <w:tc>
          <w:tcPr/>
          <w:p>
            <w:pPr>
              <w:pStyle w:val="Compact"/>
            </w:pPr>
            <w:r>
              <w:t xml:space="preserve">Human-readable source list and stable identifiers used to support the sheet</w:t>
            </w:r>
          </w:p>
        </w:tc>
        <w:tc>
          <w:tcPr/>
          <w:p>
            <w:pPr>
              <w:pStyle w:val="Compact"/>
            </w:pPr>
            <w:r>
              <w:t xml:space="preserve">Bare URLs without source labeling or page/item granularity</w:t>
            </w:r>
          </w:p>
        </w:tc>
      </w:tr>
    </w:tbl>
    <w:p>
      <w:pPr>
        <w:pStyle w:val="BodyText"/>
      </w:pPr>
      <w:r>
        <w:t xml:space="preserve">The logic of this model follows both DACS and Getty. DACS separates titles, creators, scope, rights, and authority context; Getty separates free-text description from indexed categories and requires salient facts in prose to remain structured elsewhere. That is exactly the split your system needs: a sheet should be readable, but no sentence should become an uncitable black box.</w:t>
      </w:r>
      <w:r>
        <w:t xml:space="preserve"> </w:t>
      </w:r>
      <w:hyperlink r:id="rId25">
        <w:r>
          <w:rPr>
            <w:rStyle w:val="Hyperlink"/>
          </w:rPr>
          <w:t xml:space="preserve">[8]</w:t>
        </w:r>
      </w:hyperlink>
    </w:p>
    <w:bookmarkEnd w:id="28"/>
    <w:bookmarkStart w:id="29" w:name="the-evidence-boundary"/>
    <w:p>
      <w:pPr>
        <w:pStyle w:val="Heading3"/>
      </w:pPr>
      <w:r>
        <w:t xml:space="preserve">The evidence boundary</w:t>
      </w:r>
    </w:p>
    <w:p>
      <w:pPr>
        <w:pStyle w:val="FirstParagraph"/>
      </w:pPr>
      <w:r>
        <w:t xml:space="preserve">Use this editorial test before publishing any sentence:</w:t>
      </w:r>
    </w:p>
    <w:p>
      <w:pPr>
        <w:pStyle w:val="BodyText"/>
      </w:pPr>
      <w:r>
        <w:rPr>
          <w:b/>
          <w:bCs/>
        </w:rPr>
        <w:t xml:space="preserve">Evidence</w:t>
      </w:r>
      <w:r>
        <w:t xml:space="preserve"> </w:t>
      </w:r>
      <w:r>
        <w:t xml:space="preserve">is directly recoverable from a source record, stable identifier, verified image, or transcribed snippet.</w:t>
      </w:r>
      <w:r>
        <w:br/>
      </w:r>
      <w:r>
        <w:rPr>
          <w:b/>
          <w:bCs/>
        </w:rPr>
        <w:t xml:space="preserve">Description</w:t>
      </w:r>
      <w:r>
        <w:t xml:space="preserve"> </w:t>
      </w:r>
      <w:r>
        <w:t xml:space="preserve">is a faithful paraphrase of evidence that does not extend the claim.</w:t>
      </w:r>
      <w:r>
        <w:br/>
      </w:r>
      <w:r>
        <w:rPr>
          <w:b/>
          <w:bCs/>
        </w:rPr>
        <w:t xml:space="preserve">Interpretation</w:t>
      </w:r>
      <w:r>
        <w:t xml:space="preserve"> </w:t>
      </w:r>
      <w:r>
        <w:t xml:space="preserve">adds significance, comparison, causality, influence, reception, or movement placement.</w:t>
      </w:r>
    </w:p>
    <w:p>
      <w:pPr>
        <w:pStyle w:val="BodyText"/>
      </w:pPr>
      <w:r>
        <w:t xml:space="preserve">That distinction matters because different kinds of sentences need different proof thresholds. A sentence such as “Printed by offset lithography in Tokyo” may be evidence or description if the source states it. A sentence such as “This work exemplifies the postwar internationalization of Japanese tourism graphics” is interpretive and needs either a cited source saying so or a clearly labeled editor’s inference built from multiple cited sources. Getty explicitly advises objectivity, citation, paraphrase, and caution with uncertain or literary sources; DACS likewise treats contextual and authority information as separate from object-level description.</w:t>
      </w:r>
      <w:r>
        <w:t xml:space="preserve"> </w:t>
      </w:r>
      <w:hyperlink r:id="rId22">
        <w:r>
          <w:rPr>
            <w:rStyle w:val="Hyperlink"/>
          </w:rPr>
          <w:t xml:space="preserve">[9]</w:t>
        </w:r>
      </w:hyperlink>
    </w:p>
    <w:bookmarkEnd w:id="29"/>
    <w:bookmarkStart w:id="30" w:name="Xefb01da7a20e761fecd27fc3a6d6d21951d9dd4"/>
    <w:p>
      <w:pPr>
        <w:pStyle w:val="Heading3"/>
      </w:pPr>
      <w:r>
        <w:t xml:space="preserve">Uncertainty and missing creator, date, or place</w:t>
      </w:r>
    </w:p>
    <w:p>
      <w:pPr>
        <w:pStyle w:val="FirstParagraph"/>
      </w:pPr>
      <w:r>
        <w:t xml:space="preserve">Never silently repair gaps. If a creator is unknown, follow the logic of DACS: do not invent a creator name, and devise a neutral identifying title based on the material itself and reliable sources. If names exist in multiple languages or scripts, store the authorized form in the preferred record language and record parallel or variant forms separately. For non-Roman scripts, adopt one transparent transliteration convention and keep the original script alongside it; the Library of Congress and ALA-LC tables remain a defensible standard when your source ecosystem does not already supply a better local convention. W3C guidance also supports explicit language metadata for strings, which is especially important when your archive mixes original-language text, transliteration, and translation.</w:t>
      </w:r>
      <w:r>
        <w:t xml:space="preserve"> </w:t>
      </w:r>
      <w:hyperlink r:id="rId25">
        <w:r>
          <w:rPr>
            <w:rStyle w:val="Hyperlink"/>
          </w:rPr>
          <w:t xml:space="preserve">[10]</w:t>
        </w:r>
      </w:hyperlink>
    </w:p>
    <w:p>
      <w:pPr>
        <w:pStyle w:val="BodyText"/>
      </w:pPr>
      <w:r>
        <w:t xml:space="preserve">For dates and places, use a visible house style such as “circa 1955,” “place not established,” “date not established,” or “issued between 1960 and 1965” only when the basis is visible in the record or source. If the sheet is built from conflicting sources, say that plainly in</w:t>
      </w:r>
      <w:r>
        <w:t xml:space="preserve"> </w:t>
      </w:r>
      <w:r>
        <w:rPr>
          <w:rStyle w:val="VerbatimChar"/>
        </w:rPr>
        <w:t xml:space="preserve">uncertainty_note</w:t>
      </w:r>
      <w:r>
        <w:t xml:space="preserve"> </w:t>
      </w:r>
      <w:r>
        <w:t xml:space="preserve">and avoid smoothing the ambiguity away. That is historically safer than filling empty cells with plausible but uncited data.</w:t>
      </w:r>
      <w:r>
        <w:t xml:space="preserve"> </w:t>
      </w:r>
      <w:hyperlink r:id="rId22">
        <w:r>
          <w:rPr>
            <w:rStyle w:val="Hyperlink"/>
          </w:rPr>
          <w:t xml:space="preserve">[11]</w:t>
        </w:r>
      </w:hyperlink>
    </w:p>
    <w:bookmarkEnd w:id="30"/>
    <w:bookmarkStart w:id="32" w:name="Xea0f4f35a0b80fea0c34421c176e7cb00df468a"/>
    <w:p>
      <w:pPr>
        <w:pStyle w:val="Heading3"/>
      </w:pPr>
      <w:r>
        <w:t xml:space="preserve">When a record should remain a card, stub, child record, or appendix</w:t>
      </w:r>
    </w:p>
    <w:p>
      <w:pPr>
        <w:pStyle w:val="FirstParagraph"/>
      </w:pPr>
      <w:r>
        <w:t xml:space="preserve">Your proposed thresholds are sound and can be sharpened into policy:</w:t>
      </w:r>
    </w:p>
    <w:p>
      <w:pPr>
        <w:pStyle w:val="Compact"/>
        <w:numPr>
          <w:ilvl w:val="0"/>
          <w:numId w:val="1001"/>
        </w:numPr>
      </w:pPr>
      <w:r>
        <w:rPr>
          <w:b/>
          <w:bCs/>
        </w:rPr>
        <w:t xml:space="preserve">Main sheet</w:t>
      </w:r>
      <w:r>
        <w:t xml:space="preserve">: at least</w:t>
      </w:r>
      <w:r>
        <w:t xml:space="preserve"> </w:t>
      </w:r>
      <w:r>
        <w:rPr>
          <w:b/>
          <w:bCs/>
        </w:rPr>
        <w:t xml:space="preserve">180 grounded characters</w:t>
      </w:r>
      <w:r>
        <w:t xml:space="preserve"> </w:t>
      </w:r>
      <w:r>
        <w:t xml:space="preserve">of contextual description, plus one strong citation basis.</w:t>
      </w:r>
    </w:p>
    <w:p>
      <w:pPr>
        <w:pStyle w:val="Compact"/>
        <w:numPr>
          <w:ilvl w:val="0"/>
          <w:numId w:val="1001"/>
        </w:numPr>
      </w:pPr>
      <w:r>
        <w:rPr>
          <w:b/>
          <w:bCs/>
        </w:rPr>
        <w:t xml:space="preserve">Thin main sheet</w:t>
      </w:r>
      <w:r>
        <w:t xml:space="preserve">:</w:t>
      </w:r>
      <w:r>
        <w:t xml:space="preserve"> </w:t>
      </w:r>
      <w:r>
        <w:rPr>
          <w:b/>
          <w:bCs/>
        </w:rPr>
        <w:t xml:space="preserve">80–179 grounded characters</w:t>
      </w:r>
      <w:r>
        <w:t xml:space="preserve">, but only when image or source value is strong and the thinness is visibly flagged.</w:t>
      </w:r>
    </w:p>
    <w:p>
      <w:pPr>
        <w:pStyle w:val="Compact"/>
        <w:numPr>
          <w:ilvl w:val="0"/>
          <w:numId w:val="1001"/>
        </w:numPr>
      </w:pPr>
      <w:r>
        <w:rPr>
          <w:b/>
          <w:bCs/>
        </w:rPr>
        <w:t xml:space="preserve">Card or stub</w:t>
      </w:r>
      <w:r>
        <w:t xml:space="preserve">: under</w:t>
      </w:r>
      <w:r>
        <w:t xml:space="preserve"> </w:t>
      </w:r>
      <w:r>
        <w:rPr>
          <w:b/>
          <w:bCs/>
        </w:rPr>
        <w:t xml:space="preserve">80 grounded characters</w:t>
      </w:r>
      <w:r>
        <w:t xml:space="preserve"> </w:t>
      </w:r>
      <w:r>
        <w:t xml:space="preserve">with no contextual source, or only unverified OCR, or only repeating tabular metadata.</w:t>
      </w:r>
    </w:p>
    <w:p>
      <w:pPr>
        <w:pStyle w:val="Compact"/>
        <w:numPr>
          <w:ilvl w:val="0"/>
          <w:numId w:val="1001"/>
        </w:numPr>
      </w:pPr>
      <w:r>
        <w:rPr>
          <w:b/>
          <w:bCs/>
        </w:rPr>
        <w:t xml:space="preserve">Compound child record</w:t>
      </w:r>
      <w:r>
        <w:t xml:space="preserve">: when the item is better understood as part of an issue, series, set, campaign, exhibition, or archive grouping than as an autonomous interpreted object.</w:t>
      </w:r>
    </w:p>
    <w:p>
      <w:pPr>
        <w:pStyle w:val="Compact"/>
        <w:numPr>
          <w:ilvl w:val="0"/>
          <w:numId w:val="1001"/>
        </w:numPr>
      </w:pPr>
      <w:r>
        <w:rPr>
          <w:b/>
          <w:bCs/>
        </w:rPr>
        <w:t xml:space="preserve">Folder appendix</w:t>
      </w:r>
      <w:r>
        <w:t xml:space="preserve">: when context comes from a strong authority/history source but object-level evidence remains sparse.</w:t>
      </w:r>
    </w:p>
    <w:p>
      <w:pPr>
        <w:pStyle w:val="Compact"/>
        <w:numPr>
          <w:ilvl w:val="0"/>
          <w:numId w:val="1001"/>
        </w:numPr>
      </w:pPr>
      <w:r>
        <w:rPr>
          <w:b/>
          <w:bCs/>
        </w:rPr>
        <w:t xml:space="preserve">IMG04 text-only sheet</w:t>
      </w:r>
      <w:r>
        <w:t xml:space="preserve">: allowed when a strong text source or authority source exists and citation/source links are solid, but not as a default rescue for failed image parsing.</w:t>
      </w:r>
    </w:p>
    <w:p>
      <w:pPr>
        <w:pStyle w:val="FirstParagraph"/>
      </w:pPr>
      <w:r>
        <w:t xml:space="preserve">This is consistent with CDWA and DACS on group-level versus item-level description: not every component or member requires a standalone interpretive record, and group-level cataloging is often preferable when the whole carries the salient characteristics.</w:t>
      </w:r>
      <w:r>
        <w:t xml:space="preserve"> </w:t>
      </w:r>
      <w:hyperlink r:id="rId31">
        <w:r>
          <w:rPr>
            <w:rStyle w:val="Hyperlink"/>
          </w:rPr>
          <w:t xml:space="preserve">[12]</w:t>
        </w:r>
      </w:hyperlink>
    </w:p>
    <w:bookmarkEnd w:id="32"/>
    <w:bookmarkEnd w:id="33"/>
    <w:bookmarkStart w:id="48" w:name="X5948ff50d6ae2d38a9a92d947bc16754a8ae2a4"/>
    <w:p>
      <w:pPr>
        <w:pStyle w:val="Heading2"/>
      </w:pPr>
      <w:r>
        <w:t xml:space="preserve">Writing templates for sheets and folder intros</w:t>
      </w:r>
    </w:p>
    <w:p>
      <w:pPr>
        <w:pStyle w:val="FirstParagraph"/>
      </w:pPr>
      <w:r>
        <w:t xml:space="preserve">These templates are deliberately short. They are meant to sit above or beside your evidence tables, not replace them.</w:t>
      </w:r>
    </w:p>
    <w:bookmarkStart w:id="34" w:name="object-or-work-sheet"/>
    <w:p>
      <w:pPr>
        <w:pStyle w:val="Heading3"/>
      </w:pPr>
      <w:r>
        <w:t xml:space="preserve">Object or work sheet</w:t>
      </w:r>
    </w:p>
    <w:p>
      <w:pPr>
        <w:pStyle w:val="FirstParagraph"/>
      </w:pPr>
      <w:r>
        <w:rPr>
          <w:b/>
          <w:bCs/>
        </w:rPr>
        <w:t xml:space="preserve">Template</w:t>
      </w:r>
    </w:p>
    <w:p>
      <w:pPr>
        <w:pStyle w:val="BodyText"/>
      </w:pPr>
      <w:r>
        <w:rPr>
          <w:b/>
          <w:bCs/>
        </w:rPr>
        <w:t xml:space="preserve">Identification sentence:</w:t>
      </w:r>
      <w:r>
        <w:br/>
      </w:r>
      <w:r>
        <w:rPr>
          <w:rStyle w:val="VerbatimChar"/>
        </w:rPr>
        <w:t xml:space="preserve">[Preferred title]</w:t>
      </w:r>
      <w:r>
        <w:t xml:space="preserve"> </w:t>
      </w:r>
      <w:r>
        <w:t xml:space="preserve">is a</w:t>
      </w:r>
      <w:r>
        <w:t xml:space="preserve"> </w:t>
      </w:r>
      <w:r>
        <w:rPr>
          <w:rStyle w:val="VerbatimChar"/>
        </w:rPr>
        <w:t xml:space="preserve">[object/work type]</w:t>
      </w:r>
      <w:r>
        <w:t xml:space="preserve"> </w:t>
      </w:r>
      <w:r>
        <w:t xml:space="preserve">attributed to</w:t>
      </w:r>
      <w:r>
        <w:t xml:space="preserve"> </w:t>
      </w:r>
      <w:r>
        <w:rPr>
          <w:rStyle w:val="VerbatimChar"/>
        </w:rPr>
        <w:t xml:space="preserve">[creator or issuing body]</w:t>
      </w:r>
      <w:r>
        <w:t xml:space="preserve">, produced</w:t>
      </w:r>
      <w:r>
        <w:t xml:space="preserve"> </w:t>
      </w:r>
      <w:r>
        <w:rPr>
          <w:rStyle w:val="VerbatimChar"/>
        </w:rPr>
        <w:t xml:space="preserve">[date or date range]</w:t>
      </w:r>
      <w:r>
        <w:t xml:space="preserve"> </w:t>
      </w:r>
      <w:r>
        <w:t xml:space="preserve">in</w:t>
      </w:r>
      <w:r>
        <w:t xml:space="preserve"> </w:t>
      </w:r>
      <w:r>
        <w:rPr>
          <w:rStyle w:val="VerbatimChar"/>
        </w:rPr>
        <w:t xml:space="preserve">[place if known]</w:t>
      </w:r>
      <w:r>
        <w:t xml:space="preserve">.</w:t>
      </w:r>
    </w:p>
    <w:p>
      <w:pPr>
        <w:pStyle w:val="BodyText"/>
      </w:pPr>
      <w:r>
        <w:rPr>
          <w:b/>
          <w:bCs/>
        </w:rPr>
        <w:t xml:space="preserve">Source-grounded description:</w:t>
      </w:r>
      <w:r>
        <w:br/>
      </w:r>
      <w:r>
        <w:t xml:space="preserve">Institutional or bibliographic sources describe it as</w:t>
      </w:r>
      <w:r>
        <w:t xml:space="preserve"> </w:t>
      </w:r>
      <w:r>
        <w:rPr>
          <w:rStyle w:val="VerbatimChar"/>
        </w:rPr>
        <w:t xml:space="preserve">[medium / format / function / notable formal feature]</w:t>
      </w:r>
      <w:r>
        <w:t xml:space="preserve">. If inscriptions, colophon data, issue information, or repository notes materially shape identification, summarize them here.</w:t>
      </w:r>
    </w:p>
    <w:p>
      <w:pPr>
        <w:pStyle w:val="BodyText"/>
      </w:pPr>
      <w:r>
        <w:rPr>
          <w:b/>
          <w:bCs/>
        </w:rPr>
        <w:t xml:space="preserve">Context sentence:</w:t>
      </w:r>
      <w:r>
        <w:br/>
      </w:r>
      <w:r>
        <w:t xml:space="preserve">In this archive it is grouped under</w:t>
      </w:r>
      <w:r>
        <w:t xml:space="preserve"> </w:t>
      </w:r>
      <w:r>
        <w:rPr>
          <w:rStyle w:val="VerbatimChar"/>
        </w:rPr>
        <w:t xml:space="preserve">[movement / medium / region / theme]</w:t>
      </w:r>
      <w:r>
        <w:t xml:space="preserve"> </w:t>
      </w:r>
      <w:r>
        <w:t xml:space="preserve">because</w:t>
      </w:r>
      <w:r>
        <w:t xml:space="preserve"> </w:t>
      </w:r>
      <w:r>
        <w:rPr>
          <w:rStyle w:val="VerbatimChar"/>
        </w:rPr>
        <w:t xml:space="preserve">[classification rationale grounded in cited evidence]</w:t>
      </w:r>
      <w:r>
        <w:t xml:space="preserve">.</w:t>
      </w:r>
    </w:p>
    <w:p>
      <w:pPr>
        <w:pStyle w:val="BodyText"/>
      </w:pPr>
      <w:r>
        <w:rPr>
          <w:b/>
          <w:bCs/>
        </w:rPr>
        <w:t xml:space="preserve">Uncertainty sentence if needed:</w:t>
      </w:r>
      <w:r>
        <w:br/>
      </w:r>
      <w:r>
        <w:rPr>
          <w:rStyle w:val="VerbatimChar"/>
        </w:rPr>
        <w:t xml:space="preserve">[Creator / date / place / relation]</w:t>
      </w:r>
      <w:r>
        <w:t xml:space="preserve"> </w:t>
      </w:r>
      <w:r>
        <w:t xml:space="preserve">remains uncertain because</w:t>
      </w:r>
      <w:r>
        <w:t xml:space="preserve"> </w:t>
      </w:r>
      <w:r>
        <w:rPr>
          <w:rStyle w:val="VerbatimChar"/>
        </w:rPr>
        <w:t xml:space="preserve">[reason]</w:t>
      </w:r>
      <w:r>
        <w:t xml:space="preserve">.</w:t>
      </w:r>
    </w:p>
    <w:bookmarkEnd w:id="34"/>
    <w:bookmarkStart w:id="35" w:name="poster-sheet"/>
    <w:p>
      <w:pPr>
        <w:pStyle w:val="Heading3"/>
      </w:pPr>
      <w:r>
        <w:t xml:space="preserve">Poster sheet</w:t>
      </w:r>
    </w:p>
    <w:p>
      <w:pPr>
        <w:pStyle w:val="FirstParagraph"/>
      </w:pPr>
      <w:r>
        <w:rPr>
          <w:b/>
          <w:bCs/>
        </w:rPr>
        <w:t xml:space="preserve">Template</w:t>
      </w:r>
    </w:p>
    <w:p>
      <w:pPr>
        <w:pStyle w:val="BodyText"/>
      </w:pPr>
      <w:r>
        <w:rPr>
          <w:rStyle w:val="VerbatimChar"/>
        </w:rPr>
        <w:t xml:space="preserve">[Title]</w:t>
      </w:r>
      <w:r>
        <w:t xml:space="preserve"> </w:t>
      </w:r>
      <w:r>
        <w:t xml:space="preserve">is a poster / affiche / placard issued by</w:t>
      </w:r>
      <w:r>
        <w:t xml:space="preserve"> </w:t>
      </w:r>
      <w:r>
        <w:rPr>
          <w:rStyle w:val="VerbatimChar"/>
        </w:rPr>
        <w:t xml:space="preserve">[client / institution / publisher]</w:t>
      </w:r>
      <w:r>
        <w:t xml:space="preserve"> </w:t>
      </w:r>
      <w:r>
        <w:t xml:space="preserve">and designed by</w:t>
      </w:r>
      <w:r>
        <w:t xml:space="preserve"> </w:t>
      </w:r>
      <w:r>
        <w:rPr>
          <w:rStyle w:val="VerbatimChar"/>
        </w:rPr>
        <w:t xml:space="preserve">[designer if known]</w:t>
      </w:r>
      <w:r>
        <w:t xml:space="preserve">. Source records identify the work as</w:t>
      </w:r>
      <w:r>
        <w:t xml:space="preserve"> </w:t>
      </w:r>
      <w:r>
        <w:rPr>
          <w:rStyle w:val="VerbatimChar"/>
        </w:rPr>
        <w:t xml:space="preserve">[printing method, dimensions, or language]</w:t>
      </w:r>
      <w:r>
        <w:t xml:space="preserve"> </w:t>
      </w:r>
      <w:r>
        <w:t xml:space="preserve">and emphasize</w:t>
      </w:r>
      <w:r>
        <w:t xml:space="preserve"> </w:t>
      </w:r>
      <w:r>
        <w:rPr>
          <w:rStyle w:val="VerbatimChar"/>
        </w:rPr>
        <w:t xml:space="preserve">[main visual or textual characteristic]</w:t>
      </w:r>
      <w:r>
        <w:t xml:space="preserve">. A responsible archive note should stay close to what object pages, collection notes, or contemporary printed evidence actually support: formal description, issuing context, and documented circulation or exhibition history only if cited. If later scholarship or museum text assigns broader significance, introduce that separately as attributed context rather than as bare fact.</w:t>
      </w:r>
      <w:r>
        <w:t xml:space="preserve"> </w:t>
      </w:r>
      <w:hyperlink r:id="rId22">
        <w:r>
          <w:rPr>
            <w:rStyle w:val="Hyperlink"/>
          </w:rPr>
          <w:t xml:space="preserve">[11]</w:t>
        </w:r>
      </w:hyperlink>
    </w:p>
    <w:bookmarkEnd w:id="35"/>
    <w:bookmarkStart w:id="37" w:name="periodical-issue-sheet"/>
    <w:p>
      <w:pPr>
        <w:pStyle w:val="Heading3"/>
      </w:pPr>
      <w:r>
        <w:t xml:space="preserve">Periodical issue sheet</w:t>
      </w:r>
    </w:p>
    <w:p>
      <w:pPr>
        <w:pStyle w:val="FirstParagraph"/>
      </w:pPr>
      <w:r>
        <w:rPr>
          <w:b/>
          <w:bCs/>
        </w:rPr>
        <w:t xml:space="preserve">Template</w:t>
      </w:r>
    </w:p>
    <w:p>
      <w:pPr>
        <w:pStyle w:val="BodyText"/>
      </w:pPr>
      <w:r>
        <w:rPr>
          <w:rStyle w:val="VerbatimChar"/>
        </w:rPr>
        <w:t xml:space="preserve">[Issue title / magazine title, volume, issue, date]</w:t>
      </w:r>
      <w:r>
        <w:t xml:space="preserve"> </w:t>
      </w:r>
      <w:r>
        <w:t xml:space="preserve">is a periodical issue produced by</w:t>
      </w:r>
      <w:r>
        <w:t xml:space="preserve"> </w:t>
      </w:r>
      <w:r>
        <w:rPr>
          <w:rStyle w:val="VerbatimChar"/>
        </w:rPr>
        <w:t xml:space="preserve">[publisher / editor / design director if known]</w:t>
      </w:r>
      <w:r>
        <w:t xml:space="preserve">. The note should identify the issue as an issue-level object first: masthead, date, place of publication, publisher, issue numbering, principal contents, and any design features explicitly supported by catalogue or issue evidence. If context comes from OCR, use only short verified snippets and keep them separate from the normalized summary. If issue-level context is too thin, downgrade to a card and place longer interpretation at the series or title level.</w:t>
      </w:r>
      <w:r>
        <w:t xml:space="preserve"> </w:t>
      </w:r>
      <w:hyperlink r:id="rId36">
        <w:r>
          <w:rPr>
            <w:rStyle w:val="Hyperlink"/>
          </w:rPr>
          <w:t xml:space="preserve">[13]</w:t>
        </w:r>
      </w:hyperlink>
    </w:p>
    <w:bookmarkEnd w:id="37"/>
    <w:bookmarkStart w:id="38" w:name="book-catalogue-or-manual-sheet"/>
    <w:p>
      <w:pPr>
        <w:pStyle w:val="Heading3"/>
      </w:pPr>
      <w:r>
        <w:t xml:space="preserve">Book, catalogue, or manual sheet</w:t>
      </w:r>
    </w:p>
    <w:p>
      <w:pPr>
        <w:pStyle w:val="FirstParagraph"/>
      </w:pPr>
      <w:r>
        <w:rPr>
          <w:b/>
          <w:bCs/>
        </w:rPr>
        <w:t xml:space="preserve">Template</w:t>
      </w:r>
    </w:p>
    <w:p>
      <w:pPr>
        <w:pStyle w:val="BodyText"/>
      </w:pPr>
      <w:r>
        <w:rPr>
          <w:rStyle w:val="VerbatimChar"/>
        </w:rPr>
        <w:t xml:space="preserve">[Title]</w:t>
      </w:r>
      <w:r>
        <w:t xml:space="preserve"> </w:t>
      </w:r>
      <w:r>
        <w:t xml:space="preserve">is a</w:t>
      </w:r>
      <w:r>
        <w:t xml:space="preserve"> </w:t>
      </w:r>
      <w:r>
        <w:rPr>
          <w:rStyle w:val="VerbatimChar"/>
        </w:rPr>
        <w:t xml:space="preserve">[book / exhibition catalogue / manual / primer]</w:t>
      </w:r>
      <w:r>
        <w:t xml:space="preserve"> </w:t>
      </w:r>
      <w:r>
        <w:t xml:space="preserve">issued by</w:t>
      </w:r>
      <w:r>
        <w:t xml:space="preserve"> </w:t>
      </w:r>
      <w:r>
        <w:rPr>
          <w:rStyle w:val="VerbatimChar"/>
        </w:rPr>
        <w:t xml:space="preserve">[author / editor / publisher]</w:t>
      </w:r>
      <w:r>
        <w:t xml:space="preserve"> </w:t>
      </w:r>
      <w:r>
        <w:t xml:space="preserve">in</w:t>
      </w:r>
      <w:r>
        <w:t xml:space="preserve"> </w:t>
      </w:r>
      <w:r>
        <w:rPr>
          <w:rStyle w:val="VerbatimChar"/>
        </w:rPr>
        <w:t xml:space="preserve">[place]</w:t>
      </w:r>
      <w:r>
        <w:t xml:space="preserve"> </w:t>
      </w:r>
      <w:r>
        <w:t xml:space="preserve">in</w:t>
      </w:r>
      <w:r>
        <w:t xml:space="preserve"> </w:t>
      </w:r>
      <w:r>
        <w:rPr>
          <w:rStyle w:val="VerbatimChar"/>
        </w:rPr>
        <w:t xml:space="preserve">[year]</w:t>
      </w:r>
      <w:r>
        <w:t xml:space="preserve">. Sources describe it as</w:t>
      </w:r>
      <w:r>
        <w:t xml:space="preserve"> </w:t>
      </w:r>
      <w:r>
        <w:rPr>
          <w:rStyle w:val="VerbatimChar"/>
        </w:rPr>
        <w:t xml:space="preserve">[format, intended use, or subject focus]</w:t>
      </w:r>
      <w:r>
        <w:t xml:space="preserve">. The archive note should prioritize edition-specific facts: title-page data, publisher, edition or printing, design credit where available, and a measured statement of relevance to</w:t>
      </w:r>
      <w:r>
        <w:t xml:space="preserve"> </w:t>
      </w:r>
      <w:r>
        <w:rPr>
          <w:rStyle w:val="VerbatimChar"/>
        </w:rPr>
        <w:t xml:space="preserve">[typography / pedagogy / exhibition culture / visual communication]</w:t>
      </w:r>
      <w:r>
        <w:t xml:space="preserve">. If a secondary source frames the work as influential or canonical, attribute that viewpoint explicitly rather than presenting it as self-evident.</w:t>
      </w:r>
      <w:r>
        <w:t xml:space="preserve"> </w:t>
      </w:r>
      <w:hyperlink r:id="rId22">
        <w:r>
          <w:rPr>
            <w:rStyle w:val="Hyperlink"/>
          </w:rPr>
          <w:t xml:space="preserve">[14]</w:t>
        </w:r>
      </w:hyperlink>
    </w:p>
    <w:bookmarkEnd w:id="38"/>
    <w:bookmarkStart w:id="40" w:name="movement-folder-intro"/>
    <w:p>
      <w:pPr>
        <w:pStyle w:val="Heading3"/>
      </w:pPr>
      <w:r>
        <w:t xml:space="preserve">Movement folder intro</w:t>
      </w:r>
    </w:p>
    <w:p>
      <w:pPr>
        <w:pStyle w:val="FirstParagraph"/>
      </w:pPr>
      <w:r>
        <w:rPr>
          <w:b/>
          <w:bCs/>
        </w:rPr>
        <w:t xml:space="preserve">Template</w:t>
      </w:r>
    </w:p>
    <w:p>
      <w:pPr>
        <w:pStyle w:val="BodyText"/>
      </w:pPr>
      <w:r>
        <w:t xml:space="preserve">This folder gathers records associated with</w:t>
      </w:r>
      <w:r>
        <w:t xml:space="preserve"> </w:t>
      </w:r>
      <w:r>
        <w:rPr>
          <w:rStyle w:val="VerbatimChar"/>
        </w:rPr>
        <w:t xml:space="preserve">[movement name]</w:t>
      </w:r>
      <w:r>
        <w:t xml:space="preserve"> </w:t>
      </w:r>
      <w:r>
        <w:t xml:space="preserve">as used in cited archival, institutional, and scholarly sources. The intro should define the term as a historical classification problem, not an aesthetic mood board. State where and when the term is used, who or which institutions are associated with it, how the archive applies it, and what falls just outside it. Record disputed boundaries and alternative labels in an uncertainty note. Use authority sources and institutional histories to control names and variants; use object and issue records to show actual membership.</w:t>
      </w:r>
      <w:r>
        <w:t xml:space="preserve"> </w:t>
      </w:r>
      <w:hyperlink r:id="rId39">
        <w:r>
          <w:rPr>
            <w:rStyle w:val="Hyperlink"/>
          </w:rPr>
          <w:t xml:space="preserve">[15]</w:t>
        </w:r>
      </w:hyperlink>
    </w:p>
    <w:bookmarkEnd w:id="40"/>
    <w:bookmarkStart w:id="42" w:name="region-folder-intro"/>
    <w:p>
      <w:pPr>
        <w:pStyle w:val="Heading3"/>
      </w:pPr>
      <w:r>
        <w:t xml:space="preserve">Region folder intro</w:t>
      </w:r>
    </w:p>
    <w:p>
      <w:pPr>
        <w:pStyle w:val="FirstParagraph"/>
      </w:pPr>
      <w:r>
        <w:rPr>
          <w:b/>
          <w:bCs/>
        </w:rPr>
        <w:t xml:space="preserve">Template</w:t>
      </w:r>
    </w:p>
    <w:p>
      <w:pPr>
        <w:pStyle w:val="BodyText"/>
      </w:pPr>
      <w:r>
        <w:t xml:space="preserve">This folder organizes records by region for discovery and comparison, not to assign a single national essence. The intro should explain the folder’s geographic scope, language environment, production and circulation context, and any transliteration or naming conventions used. Where cross-border histories matter, say so directly. Store original-language place names and variant forms, and make the folder text point users to the authority logic behind them.</w:t>
      </w:r>
      <w:r>
        <w:t xml:space="preserve"> </w:t>
      </w:r>
      <w:hyperlink r:id="rId41">
        <w:r>
          <w:rPr>
            <w:rStyle w:val="Hyperlink"/>
          </w:rPr>
          <w:t xml:space="preserve">[16]</w:t>
        </w:r>
      </w:hyperlink>
    </w:p>
    <w:bookmarkEnd w:id="42"/>
    <w:bookmarkStart w:id="44" w:name="medium-folder-intro"/>
    <w:p>
      <w:pPr>
        <w:pStyle w:val="Heading3"/>
      </w:pPr>
      <w:r>
        <w:t xml:space="preserve">Medium folder intro</w:t>
      </w:r>
    </w:p>
    <w:p>
      <w:pPr>
        <w:pStyle w:val="FirstParagraph"/>
      </w:pPr>
      <w:r>
        <w:rPr>
          <w:b/>
          <w:bCs/>
        </w:rPr>
        <w:t xml:space="preserve">Template</w:t>
      </w:r>
    </w:p>
    <w:p>
      <w:pPr>
        <w:pStyle w:val="BodyText"/>
      </w:pPr>
      <w:r>
        <w:t xml:space="preserve">This folder groups records by medium as a retrieval aid. The intro should define the medium pragmatically—poster, book, manual, periodical, exhibition catalogue, packaging, ephemera, etc.—and note where sources disagree between bibliographic and design vocabularies. A medium intro should explain how the archive uses the term, what neighboring formats are excluded, and when issue-, object-, or group-level sheets are preferred. Letterform Archive’s public explanation of building a design-specific vocabulary is especially instructive here: graphic design often falls awkwardly between existing fine-art, architecture, and library vocabularies.</w:t>
      </w:r>
      <w:r>
        <w:t xml:space="preserve"> </w:t>
      </w:r>
      <w:hyperlink r:id="rId43">
        <w:r>
          <w:rPr>
            <w:rStyle w:val="Hyperlink"/>
          </w:rPr>
          <w:t xml:space="preserve">[17]</w:t>
        </w:r>
      </w:hyperlink>
    </w:p>
    <w:bookmarkEnd w:id="44"/>
    <w:bookmarkStart w:id="45" w:name="institution-or-person-authority-sheet"/>
    <w:p>
      <w:pPr>
        <w:pStyle w:val="Heading3"/>
      </w:pPr>
      <w:r>
        <w:t xml:space="preserve">Institution or person authority sheet</w:t>
      </w:r>
    </w:p>
    <w:p>
      <w:pPr>
        <w:pStyle w:val="FirstParagraph"/>
      </w:pPr>
      <w:r>
        <w:rPr>
          <w:b/>
          <w:bCs/>
        </w:rPr>
        <w:t xml:space="preserve">Template</w:t>
      </w:r>
    </w:p>
    <w:p>
      <w:pPr>
        <w:pStyle w:val="BodyText"/>
      </w:pPr>
      <w:r>
        <w:rPr>
          <w:rStyle w:val="VerbatimChar"/>
        </w:rPr>
        <w:t xml:space="preserve">[Authorized name]</w:t>
      </w:r>
      <w:r>
        <w:t xml:space="preserve"> </w:t>
      </w:r>
      <w:r>
        <w:t xml:space="preserve">is the preferred form used in this archive for</w:t>
      </w:r>
      <w:r>
        <w:t xml:space="preserve"> </w:t>
      </w:r>
      <w:r>
        <w:rPr>
          <w:rStyle w:val="VerbatimChar"/>
        </w:rPr>
        <w:t xml:space="preserve">[person / corporate body / school / publisher / studio]</w:t>
      </w:r>
      <w:r>
        <w:t xml:space="preserve">. Variant forms include</w:t>
      </w:r>
      <w:r>
        <w:t xml:space="preserve"> </w:t>
      </w:r>
      <w:r>
        <w:rPr>
          <w:rStyle w:val="VerbatimChar"/>
        </w:rPr>
        <w:t xml:space="preserve">[parallel names, acronyms, romanizations, former names]</w:t>
      </w:r>
      <w:r>
        <w:t xml:space="preserve">. The historical summary should be brief and source-based: founding, function, dates of existence, principal places, and role in the records linked from this archive. Use authority identifiers where possible, and keep relationships explicit: founder of, publisher of, taught at, exhibited at, influenced by, or collaborated with. DACS is especially clear that authority records are for identifying entities, documenting relationships, and controlling access points.</w:t>
      </w:r>
      <w:r>
        <w:t xml:space="preserve"> </w:t>
      </w:r>
      <w:hyperlink r:id="rId39">
        <w:r>
          <w:rPr>
            <w:rStyle w:val="Hyperlink"/>
          </w:rPr>
          <w:t xml:space="preserve">[18]</w:t>
        </w:r>
      </w:hyperlink>
    </w:p>
    <w:bookmarkEnd w:id="45"/>
    <w:bookmarkStart w:id="46" w:name="img00-empty-image-sheet"/>
    <w:p>
      <w:pPr>
        <w:pStyle w:val="Heading3"/>
      </w:pPr>
      <w:r>
        <w:t xml:space="preserve">IMG00 empty-image sheet</w:t>
      </w:r>
    </w:p>
    <w:p>
      <w:pPr>
        <w:pStyle w:val="FirstParagraph"/>
      </w:pPr>
      <w:r>
        <w:rPr>
          <w:b/>
          <w:bCs/>
        </w:rPr>
        <w:t xml:space="preserve">Template</w:t>
      </w:r>
    </w:p>
    <w:p>
      <w:pPr>
        <w:pStyle w:val="BodyText"/>
      </w:pPr>
      <w:r>
        <w:t xml:space="preserve">No digital image is currently available for this record. This sheet remains public because the metadata, citations, or text evidence are strong enough to support discovery and future verification. The note should name the evidence basis clearly: repository record, finding aid, catalogue entry, periodical citation, or authority source. If the missing image results from rights, access restrictions, or lack of digitization, say so. If identification rests on OCR or a secondary mention only, flag that explicitly and avoid visual description.</w:t>
      </w:r>
      <w:r>
        <w:t xml:space="preserve"> </w:t>
      </w:r>
      <w:hyperlink r:id="rId23">
        <w:r>
          <w:rPr>
            <w:rStyle w:val="Hyperlink"/>
          </w:rPr>
          <w:t xml:space="preserve">[19]</w:t>
        </w:r>
      </w:hyperlink>
    </w:p>
    <w:bookmarkEnd w:id="46"/>
    <w:bookmarkStart w:id="47" w:name="img04-text-only-sheet"/>
    <w:p>
      <w:pPr>
        <w:pStyle w:val="Heading3"/>
      </w:pPr>
      <w:r>
        <w:t xml:space="preserve">IMG04 text-only sheet</w:t>
      </w:r>
    </w:p>
    <w:p>
      <w:pPr>
        <w:pStyle w:val="FirstParagraph"/>
      </w:pPr>
      <w:r>
        <w:rPr>
          <w:b/>
          <w:bCs/>
        </w:rPr>
        <w:t xml:space="preserve">Template</w:t>
      </w:r>
    </w:p>
    <w:p>
      <w:pPr>
        <w:pStyle w:val="BodyText"/>
      </w:pPr>
      <w:r>
        <w:t xml:space="preserve">This sheet is text-led because the strongest current evidence is textual rather than visual. Valid uses include authoritative catalogue descriptions, collection notes, exhibition texts, institutional histories, or bibliographic evidence with stable citations and source links. The note should explain why the text source is sufficient for public usefulness and what remains unverified visually. IMG04 should not be used simply because image parsing failed; it should exist only when the textual authority is independently strong enough to support a responsible public note.</w:t>
      </w:r>
      <w:r>
        <w:t xml:space="preserve"> </w:t>
      </w:r>
      <w:hyperlink r:id="rId22">
        <w:r>
          <w:rPr>
            <w:rStyle w:val="Hyperlink"/>
          </w:rPr>
          <w:t xml:space="preserve">[20]</w:t>
        </w:r>
      </w:hyperlink>
    </w:p>
    <w:bookmarkEnd w:id="47"/>
    <w:bookmarkEnd w:id="48"/>
    <w:bookmarkStart w:id="58" w:name="X8ca32cf3890a8a37089e469969d898898b8e248"/>
    <w:p>
      <w:pPr>
        <w:pStyle w:val="Heading2"/>
      </w:pPr>
      <w:r>
        <w:t xml:space="preserve">Practical workflow and sample archive-sheet text</w:t>
      </w:r>
    </w:p>
    <w:p>
      <w:pPr>
        <w:pStyle w:val="FirstParagraph"/>
      </w:pPr>
      <w:r>
        <w:t xml:space="preserve">A reproducible workflow can stay simple if every step leaves an audit trail.</w:t>
      </w:r>
    </w:p>
    <w:p>
      <w:pPr>
        <w:pStyle w:val="BodyText"/>
      </w:pPr>
      <w:r>
        <w:rPr>
          <w:b/>
          <w:bCs/>
        </w:rPr>
        <w:t xml:space="preserve">Capture metadata first.</w:t>
      </w:r>
      <w:r>
        <w:t xml:space="preserve"> </w:t>
      </w:r>
      <w:r>
        <w:t xml:space="preserve">Record identifier, title, creator, date, place, repository, rights URI, object URL, and source type. Use standardized names where possible, drawing on Getty vocabularies, VIAF, or id.loc.gov for stable authority control.</w:t>
      </w:r>
      <w:r>
        <w:t xml:space="preserve"> </w:t>
      </w:r>
      <w:hyperlink r:id="rId49">
        <w:r>
          <w:rPr>
            <w:rStyle w:val="Hyperlink"/>
          </w:rPr>
          <w:t xml:space="preserve">[21]</w:t>
        </w:r>
      </w:hyperlink>
    </w:p>
    <w:p>
      <w:pPr>
        <w:pStyle w:val="BodyText"/>
      </w:pPr>
      <w:r>
        <w:rPr>
          <w:b/>
          <w:bCs/>
        </w:rPr>
        <w:t xml:space="preserve">Capture available source text second.</w:t>
      </w:r>
      <w:r>
        <w:t xml:space="preserve"> </w:t>
      </w:r>
      <w:r>
        <w:t xml:space="preserve">Save the raw institutional description, collection abstract, exhibition paragraph, title-page data, colophon, or verified OCR snippet into the raw fields without rewriting it yet. DACS and Getty both support deriving notes from reliable documentation while keeping the formal record structure intact.</w:t>
      </w:r>
      <w:r>
        <w:t xml:space="preserve"> </w:t>
      </w:r>
      <w:hyperlink r:id="rId50">
        <w:r>
          <w:rPr>
            <w:rStyle w:val="Hyperlink"/>
          </w:rPr>
          <w:t xml:space="preserve">[22]</w:t>
        </w:r>
      </w:hyperlink>
    </w:p>
    <w:p>
      <w:pPr>
        <w:pStyle w:val="BodyText"/>
      </w:pPr>
      <w:r>
        <w:rPr>
          <w:b/>
          <w:bCs/>
        </w:rPr>
        <w:t xml:space="preserve">Find one contextual source third.</w:t>
      </w:r>
      <w:r>
        <w:t xml:space="preserve"> </w:t>
      </w:r>
      <w:r>
        <w:t xml:space="preserve">If the object record is thin, add one contextual source that actually explains the item’s historical placement: a finding aid, school history, exhibition intro, or scholarly publication. Avoid stacking shallow sources when one strong one will do better. Europeana’s publishing guidance is useful here: richer metadata and rights information materially improve how cultural-heritage records can be surfaced and used.</w:t>
      </w:r>
      <w:r>
        <w:t xml:space="preserve"> </w:t>
      </w:r>
      <w:hyperlink r:id="rId51">
        <w:r>
          <w:rPr>
            <w:rStyle w:val="Hyperlink"/>
          </w:rPr>
          <w:t xml:space="preserve">[23]</w:t>
        </w:r>
      </w:hyperlink>
    </w:p>
    <w:p>
      <w:pPr>
        <w:pStyle w:val="BodyText"/>
      </w:pPr>
      <w:r>
        <w:rPr>
          <w:b/>
          <w:bCs/>
        </w:rPr>
        <w:t xml:space="preserve">Write the grounded summary fourth.</w:t>
      </w:r>
      <w:r>
        <w:t xml:space="preserve"> </w:t>
      </w:r>
      <w:r>
        <w:t xml:space="preserve">Start with object identity and function, then add one source-grounded contextual sentence, then one classification sentence, then one uncertainty sentence if needed. Keep authorial voice neutral and do not flatten disagreement. Getty’s advice to be objective, concise, and source-led should be treated as your house style.</w:t>
      </w:r>
      <w:r>
        <w:t xml:space="preserve"> </w:t>
      </w:r>
      <w:hyperlink r:id="rId22">
        <w:r>
          <w:rPr>
            <w:rStyle w:val="Hyperlink"/>
          </w:rPr>
          <w:t xml:space="preserve">[24]</w:t>
        </w:r>
      </w:hyperlink>
    </w:p>
    <w:p>
      <w:pPr>
        <w:pStyle w:val="BodyText"/>
      </w:pPr>
      <w:r>
        <w:rPr>
          <w:b/>
          <w:bCs/>
        </w:rPr>
        <w:t xml:space="preserve">Attach citations fifth.</w:t>
      </w:r>
      <w:r>
        <w:t xml:space="preserve"> </w:t>
      </w:r>
      <w:r>
        <w:t xml:space="preserve">Each interpretive or load-bearing sentence should point to a stable object page, finding aid section, page range, issue/page, or rights URI. For books and articles, use full bibliographic reference plus page numbers; Crossref and WorldCat are valuable because they stabilize citation metadata even when the full text is elsewhere.</w:t>
      </w:r>
      <w:r>
        <w:t xml:space="preserve"> </w:t>
      </w:r>
      <w:hyperlink r:id="rId52">
        <w:r>
          <w:rPr>
            <w:rStyle w:val="Hyperlink"/>
          </w:rPr>
          <w:t xml:space="preserve">[25]</w:t>
        </w:r>
      </w:hyperlink>
    </w:p>
    <w:p>
      <w:pPr>
        <w:pStyle w:val="BodyText"/>
      </w:pPr>
      <w:r>
        <w:rPr>
          <w:b/>
          <w:bCs/>
        </w:rPr>
        <w:t xml:space="preserve">Review uncertainty sixth.</w:t>
      </w:r>
      <w:r>
        <w:t xml:space="preserve"> </w:t>
      </w:r>
      <w:r>
        <w:t xml:space="preserve">Before publishing, ask whether any sentence repairs a gap too neatly. If so, move that material into</w:t>
      </w:r>
      <w:r>
        <w:t xml:space="preserve"> </w:t>
      </w:r>
      <w:r>
        <w:rPr>
          <w:rStyle w:val="VerbatimChar"/>
        </w:rPr>
        <w:t xml:space="preserve">uncertainty_note</w:t>
      </w:r>
      <w:r>
        <w:t xml:space="preserve"> </w:t>
      </w:r>
      <w:r>
        <w:t xml:space="preserve">or delete it. OCR-derived claims should be rechecked against the image, because major newspaper repositories explicitly warn that OCR is imperfect and sometimes unproofread.</w:t>
      </w:r>
      <w:r>
        <w:t xml:space="preserve"> </w:t>
      </w:r>
      <w:hyperlink r:id="rId36">
        <w:r>
          <w:rPr>
            <w:rStyle w:val="Hyperlink"/>
          </w:rPr>
          <w:t xml:space="preserve">[26]</w:t>
        </w:r>
      </w:hyperlink>
    </w:p>
    <w:p>
      <w:pPr>
        <w:pStyle w:val="BodyText"/>
      </w:pPr>
      <w:r>
        <w:rPr>
          <w:b/>
          <w:bCs/>
        </w:rPr>
        <w:t xml:space="preserve">Decide sheet, card, or stub last.</w:t>
      </w:r>
      <w:r>
        <w:t xml:space="preserve"> </w:t>
      </w:r>
      <w:r>
        <w:t xml:space="preserve">If the prose cannot responsibly exceed a thin summary without speculation, keep the record small. A short, honest card is better than a full sheet padded with unsupported general history. That preserves the research value of the archive instead of performing completeness.</w:t>
      </w:r>
      <w:r>
        <w:t xml:space="preserve"> </w:t>
      </w:r>
      <w:hyperlink r:id="rId21">
        <w:r>
          <w:rPr>
            <w:rStyle w:val="Hyperlink"/>
          </w:rPr>
          <w:t xml:space="preserve">[27]</w:t>
        </w:r>
      </w:hyperlink>
    </w:p>
    <w:bookmarkStart w:id="57" w:name="sample-archive-sheet-text"/>
    <w:p>
      <w:pPr>
        <w:pStyle w:val="Heading3"/>
      </w:pPr>
      <w:r>
        <w:t xml:space="preserve">Sample archive-sheet text</w:t>
      </w:r>
    </w:p>
    <w:p>
      <w:pPr>
        <w:pStyle w:val="FirstParagraph"/>
      </w:pPr>
      <w:r>
        <w:rPr>
          <w:b/>
          <w:bCs/>
        </w:rPr>
        <w:t xml:space="preserve">Poster-sheet example</w:t>
      </w:r>
    </w:p>
    <w:p>
      <w:pPr>
        <w:pStyle w:val="BodyText"/>
      </w:pPr>
      <w:r>
        <w:rPr>
          <w:i/>
          <w:iCs/>
        </w:rPr>
        <w:t xml:space="preserve">Model text based on museum-style catalogue language:</w:t>
      </w:r>
      <w:r>
        <w:br/>
      </w:r>
      <w:r>
        <w:t xml:space="preserve">This poster presents Bob Dylan in profile against a white ground, with the hair rendered as dense, flowing bands of saturated color. MoMA describes the composition as drawing on a Marcel Duchamp self-portrait and connects the swirling color to the visual effects associated with psychedelic counterculture. In an archive sheet, those points are strong enough for a concise formal and contextual note because they come from an institutional object description. Stronger claims—about distribution, audience, or influence—should not be added unless separate evidence is cited.</w:t>
      </w:r>
      <w:r>
        <w:t xml:space="preserve"> </w:t>
      </w:r>
      <w:hyperlink r:id="rId53">
        <w:r>
          <w:rPr>
            <w:rStyle w:val="Hyperlink"/>
          </w:rPr>
          <w:t xml:space="preserve">[28]</w:t>
        </w:r>
      </w:hyperlink>
    </w:p>
    <w:p>
      <w:pPr>
        <w:pStyle w:val="BodyText"/>
      </w:pPr>
      <w:r>
        <w:rPr>
          <w:b/>
          <w:bCs/>
        </w:rPr>
        <w:t xml:space="preserve">Authority-sheet example</w:t>
      </w:r>
    </w:p>
    <w:p>
      <w:pPr>
        <w:pStyle w:val="BodyText"/>
      </w:pPr>
      <w:r>
        <w:rPr>
          <w:i/>
          <w:iCs/>
        </w:rPr>
        <w:t xml:space="preserve">Model text based on institutional history:</w:t>
      </w:r>
      <w:r>
        <w:br/>
      </w:r>
      <w:r>
        <w:t xml:space="preserve">The Ulm School of Design was founded by Inge Scholl, Otl Aicher, and Max Bill and became an internationally recognized center for design education in the 1950s and 1960s. Official history pages describe its departments as including visual communication, industrial design, building, information, and later film, and note that its methods continued to shape design teaching after the school closed in 1968. A responsible authority sheet should therefore focus on founding, function, departments, and institutional reach, while leaving specific claims about influence on individual designers or national scenes to cited object- and person-level records.</w:t>
      </w:r>
      <w:r>
        <w:t xml:space="preserve"> </w:t>
      </w:r>
      <w:hyperlink r:id="rId54">
        <w:r>
          <w:rPr>
            <w:rStyle w:val="Hyperlink"/>
          </w:rPr>
          <w:t xml:space="preserve">[29]</w:t>
        </w:r>
      </w:hyperlink>
    </w:p>
    <w:p>
      <w:pPr>
        <w:pStyle w:val="BodyText"/>
      </w:pPr>
      <w:r>
        <w:rPr>
          <w:b/>
          <w:bCs/>
        </w:rPr>
        <w:t xml:space="preserve">Book or series-context example</w:t>
      </w:r>
    </w:p>
    <w:p>
      <w:pPr>
        <w:pStyle w:val="BodyText"/>
      </w:pPr>
      <w:r>
        <w:rPr>
          <w:i/>
          <w:iCs/>
        </w:rPr>
        <w:t xml:space="preserve">Model text based on collection description:</w:t>
      </w:r>
      <w:r>
        <w:br/>
      </w:r>
      <w:r>
        <w:t xml:space="preserve">Marie Neurath’s postwar information books extend the pictorial logic of Isotype into children’s publishing. The University of Reading describes her as part of the team behind the International System of Typographic Picture Education in 1920s Vienna and notes her later work on visually oriented book series produced from the late 1940s into the 1970s. For an archive sheet on one title in that orbit, the note should connect the specific book to this documented publishing and design context without implying that every title used identical methods or personnel unless the individual record proves it.</w:t>
      </w:r>
      <w:r>
        <w:t xml:space="preserve"> </w:t>
      </w:r>
      <w:hyperlink r:id="rId55">
        <w:r>
          <w:rPr>
            <w:rStyle w:val="Hyperlink"/>
          </w:rPr>
          <w:t xml:space="preserve">[30]</w:t>
        </w:r>
      </w:hyperlink>
    </w:p>
    <w:p>
      <w:pPr>
        <w:pStyle w:val="BodyText"/>
      </w:pPr>
      <w:r>
        <w:rPr>
          <w:b/>
          <w:bCs/>
        </w:rPr>
        <w:t xml:space="preserve">Periodical or annual example</w:t>
      </w:r>
    </w:p>
    <w:p>
      <w:pPr>
        <w:pStyle w:val="BodyText"/>
      </w:pPr>
      <w:r>
        <w:rPr>
          <w:i/>
          <w:iCs/>
        </w:rPr>
        <w:t xml:space="preserve">Model text based on handlist-style catalogue information:</w:t>
      </w:r>
      <w:r>
        <w:br/>
      </w:r>
      <w:r>
        <w:rPr>
          <w:i/>
          <w:iCs/>
        </w:rPr>
        <w:t xml:space="preserve">The Penrose Annual</w:t>
      </w:r>
      <w:r>
        <w:t xml:space="preserve">, when described at the issue or volume level, should be treated first as a dated bibliographic object and only second as a general design-history landmark. A Reading handlist identifies it as a London-based review of the graphic arts printed nearly annually from 1895 to 1982, and notes that Volume 51 from 1957 was edited by R. B. Fishenden and designed and typographed by Charles Hasler. That is enough to support a responsible issue note identifying the annual, its editorial/design credit, and its relevance to mid-century graphic-arts discourse; broader claims about prestige, readership, or influence require separate citation.</w:t>
      </w:r>
      <w:r>
        <w:t xml:space="preserve"> </w:t>
      </w:r>
      <w:hyperlink r:id="rId56">
        <w:r>
          <w:rPr>
            <w:rStyle w:val="Hyperlink"/>
          </w:rPr>
          <w:t xml:space="preserve">[31]</w:t>
        </w:r>
      </w:hyperlink>
    </w:p>
    <w:bookmarkEnd w:id="57"/>
    <w:bookmarkEnd w:id="58"/>
    <w:bookmarkStart w:id="63" w:name="X743af9c883f60f53ade7114a672c2d4636ff711"/>
    <w:p>
      <w:pPr>
        <w:pStyle w:val="Heading2"/>
      </w:pPr>
      <w:r>
        <w:t xml:space="preserve">Recommended source ecosystem for text enrichment in graphic design history from 1931 to 1970</w:t>
      </w:r>
    </w:p>
    <w:p>
      <w:pPr>
        <w:pStyle w:val="FirstParagraph"/>
      </w:pPr>
      <w:r>
        <w:t xml:space="preserve">A durable text-enrichment stack for this period should combine</w:t>
      </w:r>
      <w:r>
        <w:t xml:space="preserve"> </w:t>
      </w:r>
      <w:r>
        <w:rPr>
          <w:b/>
          <w:bCs/>
        </w:rPr>
        <w:t xml:space="preserve">design-specific institutions</w:t>
      </w:r>
      <w:r>
        <w:t xml:space="preserve">,</w:t>
      </w:r>
      <w:r>
        <w:t xml:space="preserve"> </w:t>
      </w:r>
      <w:r>
        <w:rPr>
          <w:b/>
          <w:bCs/>
        </w:rPr>
        <w:t xml:space="preserve">general library and archive infrastructure</w:t>
      </w:r>
      <w:r>
        <w:t xml:space="preserve">, and</w:t>
      </w:r>
      <w:r>
        <w:t xml:space="preserve"> </w:t>
      </w:r>
      <w:r>
        <w:rPr>
          <w:b/>
          <w:bCs/>
        </w:rPr>
        <w:t xml:space="preserve">regional periodical repositories</w:t>
      </w:r>
      <w:r>
        <w:t xml:space="preserve">. Design-specific institutions help you write historically precise notes; library and authority systems make those notes reproducible; periodical repositories supply contemporary language, advertisements, and reception evidence.</w:t>
      </w:r>
      <w:r>
        <w:t xml:space="preserve"> </w:t>
      </w:r>
      <w:hyperlink r:id="rId59">
        <w:r>
          <w:rPr>
            <w:rStyle w:val="Hyperlink"/>
          </w:rPr>
          <w:t xml:space="preserve">[32]</w:t>
        </w:r>
      </w:hyperlink>
    </w:p>
    <w:p>
      <w:pPr>
        <w:pStyle w:val="BodyText"/>
      </w:pPr>
      <w:r>
        <w:t xml:space="preserve">For</w:t>
      </w:r>
      <w:r>
        <w:t xml:space="preserve"> </w:t>
      </w:r>
      <w:r>
        <w:rPr>
          <w:b/>
          <w:bCs/>
        </w:rPr>
        <w:t xml:space="preserve">design-specific and design-adjacent institutional sources</w:t>
      </w:r>
      <w:r>
        <w:t xml:space="preserve">, the most useful public starting points include Letterform Archive’s Online Archive and its essays on “describing design,” the University of Reading’s Printing Collection and related graphic-design holdings, the Marie Neurath Collection, the HfG-Archiv / Museum Ulm, and the Bauhaus-Archiv. These sources are especially valuable because they combine institutional stewardship with narrative collection context. Letterform Archive is unusually important for this project because it openly explains that conventional cataloging systems often fail to describe graphic design in practitioner-relevant terms and that it built a design-specific vocabulary to address that gap.</w:t>
      </w:r>
      <w:r>
        <w:t xml:space="preserve"> </w:t>
      </w:r>
      <w:hyperlink r:id="rId59">
        <w:r>
          <w:rPr>
            <w:rStyle w:val="Hyperlink"/>
          </w:rPr>
          <w:t xml:space="preserve">[33]</w:t>
        </w:r>
      </w:hyperlink>
    </w:p>
    <w:p>
      <w:pPr>
        <w:pStyle w:val="BodyText"/>
      </w:pPr>
      <w:r>
        <w:t xml:space="preserve">For</w:t>
      </w:r>
      <w:r>
        <w:t xml:space="preserve"> </w:t>
      </w:r>
      <w:r>
        <w:rPr>
          <w:b/>
          <w:bCs/>
        </w:rPr>
        <w:t xml:space="preserve">authority control and bibliographic stabilization</w:t>
      </w:r>
      <w:r>
        <w:t xml:space="preserve">, use Getty AAT for object and process terminology, Getty ULAN for designer and studio names, VIAF and id.loc.gov for name variants and resolvable identifiers, WorldCat for library-held editions, and Crossref for journal articles, book chapters, and DOIs. These systems are not narrative sources, but they are essential for clean names, variant forms, persistent identifiers, and reproducible citations.</w:t>
      </w:r>
      <w:r>
        <w:t xml:space="preserve"> </w:t>
      </w:r>
      <w:hyperlink r:id="rId60">
        <w:r>
          <w:rPr>
            <w:rStyle w:val="Hyperlink"/>
          </w:rPr>
          <w:t xml:space="preserve">[34]</w:t>
        </w:r>
      </w:hyperlink>
    </w:p>
    <w:p>
      <w:pPr>
        <w:pStyle w:val="BodyText"/>
      </w:pPr>
      <w:r>
        <w:t xml:space="preserve">For</w:t>
      </w:r>
      <w:r>
        <w:t xml:space="preserve"> </w:t>
      </w:r>
      <w:r>
        <w:rPr>
          <w:b/>
          <w:bCs/>
        </w:rPr>
        <w:t xml:space="preserve">periodicals, newspapers, and regional discovery outside a Western-only frame</w:t>
      </w:r>
      <w:r>
        <w:t xml:space="preserve">, build around the National Diet Library and NDL Search in Japan; Trove in Australia; NewspaperSG in Singapore; Hemeroteca Digital Brasileira at Brazil’s Fundação Biblioteca Nacional; the Hemeroteca Nacional Digital de México at UNAM; Gallica at the BnF; HathiTrust; and E-Periodica from ETH Library. These repositories are especially good for identifying issue dates, advertisements, institutional notices, reviews, exhibition mentions, and period language around design schools, print culture, and visual communication. They also materially broaden the archive beyond Europe and the United States.</w:t>
      </w:r>
      <w:r>
        <w:t xml:space="preserve"> </w:t>
      </w:r>
      <w:hyperlink r:id="rId61">
        <w:r>
          <w:rPr>
            <w:rStyle w:val="Hyperlink"/>
          </w:rPr>
          <w:t xml:space="preserve">[35]</w:t>
        </w:r>
      </w:hyperlink>
    </w:p>
    <w:p>
      <w:pPr>
        <w:pStyle w:val="BodyText"/>
      </w:pPr>
      <w:r>
        <w:t xml:space="preserve">For</w:t>
      </w:r>
      <w:r>
        <w:t xml:space="preserve"> </w:t>
      </w:r>
      <w:r>
        <w:rPr>
          <w:b/>
          <w:bCs/>
        </w:rPr>
        <w:t xml:space="preserve">multilingual and non-Western enrichment</w:t>
      </w:r>
      <w:r>
        <w:t xml:space="preserve">, it is worth explicitly incorporating repositories and collections that foreground regional scripts and contexts rather than translating everything into Anglophone design history. The National Diet Library’s services and OCR/discovery tools make Japanese material accessible while preserving source distinctions; Letterform Archive’s South Asian guide usefully foregrounds script diversity, multilingualism, and the difficulty of fitting South Asian scripts into Western typographic infrastructure; and institutional collections in Brazil, Singapore, and Mexico provide access to local periodical ecosystems that can reveal publication, reception, and design discourse otherwise missed in canonical Western surveys.</w:t>
      </w:r>
      <w:r>
        <w:t xml:space="preserve"> </w:t>
      </w:r>
      <w:hyperlink r:id="rId62">
        <w:r>
          <w:rPr>
            <w:rStyle w:val="Hyperlink"/>
          </w:rPr>
          <w:t xml:space="preserve">[36]</w:t>
        </w:r>
      </w:hyperlink>
    </w:p>
    <w:bookmarkEnd w:id="63"/>
    <w:bookmarkStart w:id="65" w:name="open-questions-and-limitations"/>
    <w:p>
      <w:pPr>
        <w:pStyle w:val="Heading2"/>
      </w:pPr>
      <w:r>
        <w:t xml:space="preserve">Open questions and limitations</w:t>
      </w:r>
    </w:p>
    <w:p>
      <w:pPr>
        <w:pStyle w:val="FirstParagraph"/>
      </w:pPr>
      <w:r>
        <w:t xml:space="preserve">The method above is intentionally conservative. It privileges traceability over narrative fluency and may understate significance where the literature exists but has not yet been captured into the record. That is a worthwhile tradeoff for a public research archive, but it means some records will remain stubs longer than editors may wish.</w:t>
      </w:r>
      <w:r>
        <w:t xml:space="preserve"> </w:t>
      </w:r>
      <w:hyperlink r:id="rId21">
        <w:r>
          <w:rPr>
            <w:rStyle w:val="Hyperlink"/>
          </w:rPr>
          <w:t xml:space="preserve">[27]</w:t>
        </w:r>
      </w:hyperlink>
    </w:p>
    <w:p>
      <w:pPr>
        <w:pStyle w:val="BodyText"/>
      </w:pPr>
      <w:r>
        <w:t xml:space="preserve">Two practical limitations remain. First, copyright and quotation exceptions vary by jurisdiction, and official guidance in the United Kingdom and United States both make clear that quotation rights depend on fairness, acknowledgement, and context rather than a simple word-count rule. Second, OCR remains invaluable for discovery but unreliable as a standalone evidentiary layer, especially in historical newspapers and multilingual corpora. Your safest house rule is therefore:</w:t>
      </w:r>
      <w:r>
        <w:t xml:space="preserve"> </w:t>
      </w:r>
      <w:r>
        <w:rPr>
          <w:b/>
          <w:bCs/>
        </w:rPr>
        <w:t xml:space="preserve">quote only briefly, paraphrase whenever possible, verify OCR against the image, separate description rights from digital-object rights, and publish uncertainty instead of hiding it.</w:t>
      </w:r>
      <w:r>
        <w:t xml:space="preserve"> </w:t>
      </w:r>
      <w:hyperlink r:id="rId64">
        <w:r>
          <w:rPr>
            <w:rStyle w:val="Hyperlink"/>
          </w:rPr>
          <w:t xml:space="preserve">[37]</w:t>
        </w:r>
      </w:hyperlink>
    </w:p>
    <w:bookmarkEnd w:id="65"/>
    <w:bookmarkEnd w:id="66"/>
    <w:bookmarkEnd w:id="67"/>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1">
        <w:r>
          <w:rPr>
            <w:rStyle w:val="Hyperlink"/>
          </w:rPr>
          <w:t xml:space="preserve">[27]</w:t>
        </w:r>
      </w:hyperlink>
      <w:r>
        <w:t xml:space="preserve"> </w:t>
      </w:r>
      <w:r>
        <w:t xml:space="preserve">Cataloguing – Collections Trust</w:t>
      </w:r>
    </w:p>
    <w:p>
      <w:pPr>
        <w:pStyle w:val="BodyText"/>
      </w:pPr>
      <w:hyperlink r:id="rId21">
        <w:r>
          <w:rPr>
            <w:rStyle w:val="Hyperlink"/>
          </w:rPr>
          <w:t xml:space="preserve">https://collectionstrust.org.uk/spectrum/procedures/cataloguing-spectrum-5-0/</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[6]</w:t>
        </w:r>
      </w:hyperlink>
      <w:r>
        <w:t xml:space="preserve"> </w:t>
      </w:r>
      <w:hyperlink r:id="rId22">
        <w:r>
          <w:rPr>
            <w:rStyle w:val="Hyperlink"/>
          </w:rPr>
          <w:t xml:space="preserve">[9]</w:t>
        </w:r>
      </w:hyperlink>
      <w:r>
        <w:t xml:space="preserve"> </w:t>
      </w:r>
      <w:hyperlink r:id="rId22">
        <w:r>
          <w:rPr>
            <w:rStyle w:val="Hyperlink"/>
          </w:rPr>
          <w:t xml:space="preserve">[11]</w:t>
        </w:r>
      </w:hyperlink>
      <w:r>
        <w:t xml:space="preserve"> </w:t>
      </w:r>
      <w:hyperlink r:id="rId22">
        <w:r>
          <w:rPr>
            <w:rStyle w:val="Hyperlink"/>
          </w:rPr>
          <w:t xml:space="preserve">[14]</w:t>
        </w:r>
      </w:hyperlink>
      <w:r>
        <w:t xml:space="preserve"> </w:t>
      </w:r>
      <w:hyperlink r:id="rId22">
        <w:r>
          <w:rPr>
            <w:rStyle w:val="Hyperlink"/>
          </w:rPr>
          <w:t xml:space="preserve">[20]</w:t>
        </w:r>
      </w:hyperlink>
      <w:r>
        <w:t xml:space="preserve"> </w:t>
      </w:r>
      <w:hyperlink r:id="rId22">
        <w:r>
          <w:rPr>
            <w:rStyle w:val="Hyperlink"/>
          </w:rPr>
          <w:t xml:space="preserve">[24]</w:t>
        </w:r>
      </w:hyperlink>
      <w:r>
        <w:t xml:space="preserve"> </w:t>
      </w:r>
      <w:r>
        <w:t xml:space="preserve"> </w:t>
      </w:r>
      <w:r>
        <w:t xml:space="preserve">Descriptive Note | Categories for the Description of Works of Art</w:t>
      </w:r>
      <w:r>
        <w:t xml:space="preserve"> </w:t>
      </w:r>
    </w:p>
    <w:p>
      <w:pPr>
        <w:pStyle w:val="BodyText"/>
      </w:pPr>
      <w:hyperlink r:id="rId22">
        <w:r>
          <w:rPr>
            <w:rStyle w:val="Hyperlink"/>
          </w:rPr>
          <w:t xml:space="preserve">https://www.getty.edu/publications/categories-description-works-art/categories/object-architecture-group/18/</w:t>
        </w:r>
      </w:hyperlink>
    </w:p>
    <w:p>
      <w:pPr>
        <w:pStyle w:val="BodyText"/>
      </w:pPr>
      <w:hyperlink r:id="rId23">
        <w:r>
          <w:rPr>
            <w:rStyle w:val="Hyperlink"/>
          </w:rPr>
          <w:t xml:space="preserve">[4]</w:t>
        </w:r>
      </w:hyperlink>
      <w:r>
        <w:t xml:space="preserve"> </w:t>
      </w:r>
      <w:hyperlink r:id="rId23">
        <w:r>
          <w:rPr>
            <w:rStyle w:val="Hyperlink"/>
          </w:rPr>
          <w:t xml:space="preserve">[19]</w:t>
        </w:r>
      </w:hyperlink>
      <w:r>
        <w:t xml:space="preserve"> </w:t>
      </w:r>
      <w:r>
        <w:t xml:space="preserve">8.2 Rights Statements for Archival Description (Single-Level Minimum Required) - Describing Archives: A Content Standard</w:t>
      </w:r>
    </w:p>
    <w:p>
      <w:pPr>
        <w:pStyle w:val="BodyText"/>
      </w:pPr>
      <w:hyperlink r:id="rId23">
        <w:r>
          <w:rPr>
            <w:rStyle w:val="Hyperlink"/>
          </w:rPr>
          <w:t xml:space="preserve">https://saa-ts-dacs.github.io/dacs/06_part_I/09_chapter_08/02_rights_statements_archival_description.html</w:t>
        </w:r>
      </w:hyperlink>
    </w:p>
    <w:p>
      <w:pPr>
        <w:pStyle w:val="BodyText"/>
      </w:pPr>
      <w:hyperlink r:id="rId25">
        <w:r>
          <w:rPr>
            <w:rStyle w:val="Hyperlink"/>
          </w:rPr>
          <w:t xml:space="preserve">[5]</w:t>
        </w:r>
      </w:hyperlink>
      <w:r>
        <w:t xml:space="preserve"> </w:t>
      </w:r>
      <w:hyperlink r:id="rId25">
        <w:r>
          <w:rPr>
            <w:rStyle w:val="Hyperlink"/>
          </w:rPr>
          <w:t xml:space="preserve">[7]</w:t>
        </w:r>
      </w:hyperlink>
      <w:r>
        <w:t xml:space="preserve"> </w:t>
      </w:r>
      <w:hyperlink r:id="rId25">
        <w:r>
          <w:rPr>
            <w:rStyle w:val="Hyperlink"/>
          </w:rPr>
          <w:t xml:space="preserve">[8]</w:t>
        </w:r>
      </w:hyperlink>
      <w:r>
        <w:t xml:space="preserve"> </w:t>
      </w:r>
      <w:hyperlink r:id="rId25">
        <w:r>
          <w:rPr>
            <w:rStyle w:val="Hyperlink"/>
          </w:rPr>
          <w:t xml:space="preserve">[10]</w:t>
        </w:r>
      </w:hyperlink>
      <w:r>
        <w:t xml:space="preserve"> </w:t>
      </w:r>
      <w:r>
        <w:t xml:space="preserve">2.3 Title (Required) - Describing Archives: A Content Standard</w:t>
      </w:r>
    </w:p>
    <w:p>
      <w:pPr>
        <w:pStyle w:val="BodyText"/>
      </w:pPr>
      <w:hyperlink r:id="rId25">
        <w:r>
          <w:rPr>
            <w:rStyle w:val="Hyperlink"/>
          </w:rPr>
          <w:t xml:space="preserve">https://saa-ts-dacs.github.io/dacs/06_part_I/03_chapter_02/03_title.html</w:t>
        </w:r>
      </w:hyperlink>
    </w:p>
    <w:p>
      <w:pPr>
        <w:pStyle w:val="BodyText"/>
      </w:pPr>
      <w:hyperlink r:id="rId31">
        <w:r>
          <w:rPr>
            <w:rStyle w:val="Hyperlink"/>
          </w:rPr>
          <w:t xml:space="preserve">[12]</w:t>
        </w:r>
      </w:hyperlink>
      <w:r>
        <w:t xml:space="preserve"> </w:t>
      </w:r>
      <w:r>
        <w:t xml:space="preserve"> </w:t>
      </w:r>
      <w:r>
        <w:t xml:space="preserve">Object/Work | Categories for the Description of Works of Art</w:t>
      </w:r>
      <w:r>
        <w:t xml:space="preserve"> </w:t>
      </w:r>
    </w:p>
    <w:p>
      <w:pPr>
        <w:pStyle w:val="BodyText"/>
      </w:pPr>
      <w:hyperlink r:id="rId31">
        <w:r>
          <w:rPr>
            <w:rStyle w:val="Hyperlink"/>
          </w:rPr>
          <w:t xml:space="preserve">https://www.getty.edu/publications/categories-description-works-art/categories/object-architecture-group/1/</w:t>
        </w:r>
      </w:hyperlink>
    </w:p>
    <w:p>
      <w:pPr>
        <w:pStyle w:val="BodyText"/>
      </w:pPr>
      <w:hyperlink r:id="rId36">
        <w:r>
          <w:rPr>
            <w:rStyle w:val="Hyperlink"/>
          </w:rPr>
          <w:t xml:space="preserve">[13]</w:t>
        </w:r>
      </w:hyperlink>
      <w:r>
        <w:t xml:space="preserve"> </w:t>
      </w:r>
      <w:hyperlink r:id="rId36">
        <w:r>
          <w:rPr>
            <w:rStyle w:val="Hyperlink"/>
          </w:rPr>
          <w:t xml:space="preserve">[26]</w:t>
        </w:r>
      </w:hyperlink>
      <w:r>
        <w:t xml:space="preserve"> </w:t>
      </w:r>
      <w:r>
        <w:t xml:space="preserve"> </w:t>
      </w:r>
      <w:r>
        <w:t xml:space="preserve">Technical Information | About this Collection | Chronicling America | Digital Collections | Library of Congress</w:t>
      </w:r>
      <w:r>
        <w:t xml:space="preserve"> </w:t>
      </w:r>
    </w:p>
    <w:p>
      <w:pPr>
        <w:pStyle w:val="BodyText"/>
      </w:pPr>
      <w:hyperlink r:id="rId36">
        <w:r>
          <w:rPr>
            <w:rStyle w:val="Hyperlink"/>
          </w:rPr>
          <w:t xml:space="preserve">https://www.loc.gov/collections/chronicling-america/about-this-collection/technical-information/</w:t>
        </w:r>
      </w:hyperlink>
    </w:p>
    <w:p>
      <w:pPr>
        <w:pStyle w:val="BodyText"/>
      </w:pPr>
      <w:hyperlink r:id="rId39">
        <w:r>
          <w:rPr>
            <w:rStyle w:val="Hyperlink"/>
          </w:rPr>
          <w:t xml:space="preserve">[15]</w:t>
        </w:r>
      </w:hyperlink>
      <w:r>
        <w:t xml:space="preserve"> </w:t>
      </w:r>
      <w:hyperlink r:id="rId39">
        <w:r>
          <w:rPr>
            <w:rStyle w:val="Hyperlink"/>
          </w:rPr>
          <w:t xml:space="preserve">[18]</w:t>
        </w:r>
      </w:hyperlink>
      <w:r>
        <w:t xml:space="preserve"> </w:t>
      </w:r>
      <w:r>
        <w:t xml:space="preserve">Chapter 9 - Describing Archives: A Content Standard</w:t>
      </w:r>
    </w:p>
    <w:p>
      <w:pPr>
        <w:pStyle w:val="BodyText"/>
      </w:pPr>
      <w:hyperlink r:id="rId39">
        <w:r>
          <w:rPr>
            <w:rStyle w:val="Hyperlink"/>
          </w:rPr>
          <w:t xml:space="preserve">https://saa-ts-dacs.github.io/dacs/08_part_II/02_chapter_09.html</w:t>
        </w:r>
      </w:hyperlink>
    </w:p>
    <w:p>
      <w:pPr>
        <w:pStyle w:val="BodyText"/>
      </w:pPr>
      <w:hyperlink r:id="rId41">
        <w:r>
          <w:rPr>
            <w:rStyle w:val="Hyperlink"/>
          </w:rPr>
          <w:t xml:space="preserve">[16]</w:t>
        </w:r>
      </w:hyperlink>
      <w:r>
        <w:t xml:space="preserve"> </w:t>
      </w:r>
      <w:r>
        <w:t xml:space="preserve">Strings on the Web: Language and Direction Metadata</w:t>
      </w:r>
    </w:p>
    <w:p>
      <w:pPr>
        <w:pStyle w:val="BodyText"/>
      </w:pPr>
      <w:hyperlink r:id="rId41">
        <w:r>
          <w:rPr>
            <w:rStyle w:val="Hyperlink"/>
          </w:rPr>
          <w:t xml:space="preserve">https://www.w3.org/TR/string-meta/</w:t>
        </w:r>
      </w:hyperlink>
    </w:p>
    <w:p>
      <w:pPr>
        <w:pStyle w:val="BodyText"/>
      </w:pPr>
      <w:hyperlink r:id="rId43">
        <w:r>
          <w:rPr>
            <w:rStyle w:val="Hyperlink"/>
          </w:rPr>
          <w:t xml:space="preserve">[17]</w:t>
        </w:r>
      </w:hyperlink>
      <w:r>
        <w:t xml:space="preserve"> </w:t>
      </w:r>
      <w:r>
        <w:t xml:space="preserve">The Online Archive: Describing Design | Letterform Archive</w:t>
      </w:r>
    </w:p>
    <w:p>
      <w:pPr>
        <w:pStyle w:val="BodyText"/>
      </w:pPr>
      <w:hyperlink r:id="rId43">
        <w:r>
          <w:rPr>
            <w:rStyle w:val="Hyperlink"/>
          </w:rPr>
          <w:t xml:space="preserve">https://letterformarchive.org/news/the-online-archive-describing-design/?srsltid=AfmBOorbhKQnXW8UU8bnzQj5EogBIcC-R2tEXr7AZZjwAWYk48ejA8mM</w:t>
        </w:r>
      </w:hyperlink>
    </w:p>
    <w:p>
      <w:pPr>
        <w:pStyle w:val="BodyText"/>
      </w:pPr>
      <w:hyperlink r:id="rId49">
        <w:r>
          <w:rPr>
            <w:rStyle w:val="Hyperlink"/>
          </w:rPr>
          <w:t xml:space="preserve">[21]</w:t>
        </w:r>
      </w:hyperlink>
      <w:r>
        <w:t xml:space="preserve"> </w:t>
      </w:r>
      <w:r>
        <w:t xml:space="preserve">VIAF</w:t>
      </w:r>
    </w:p>
    <w:p>
      <w:pPr>
        <w:pStyle w:val="BodyText"/>
      </w:pPr>
      <w:hyperlink r:id="rId49">
        <w:r>
          <w:rPr>
            <w:rStyle w:val="Hyperlink"/>
          </w:rPr>
          <w:t xml:space="preserve">https://viaf.org/</w:t>
        </w:r>
      </w:hyperlink>
    </w:p>
    <w:p>
      <w:pPr>
        <w:pStyle w:val="BodyText"/>
      </w:pPr>
      <w:hyperlink r:id="rId50">
        <w:r>
          <w:rPr>
            <w:rStyle w:val="Hyperlink"/>
          </w:rPr>
          <w:t xml:space="preserve">[22]</w:t>
        </w:r>
      </w:hyperlink>
      <w:r>
        <w:t xml:space="preserve"> </w:t>
      </w:r>
      <w:r>
        <w:t xml:space="preserve">3.1 Scope and Content (Required) - Describing Archives: A Content Standard</w:t>
      </w:r>
    </w:p>
    <w:p>
      <w:pPr>
        <w:pStyle w:val="BodyText"/>
      </w:pPr>
      <w:hyperlink r:id="rId50">
        <w:r>
          <w:rPr>
            <w:rStyle w:val="Hyperlink"/>
          </w:rPr>
          <w:t xml:space="preserve">https://saa-ts-dacs.github.io/dacs/06_part_I/04_chapter_03/01_scope_and_content.html</w:t>
        </w:r>
      </w:hyperlink>
    </w:p>
    <w:p>
      <w:pPr>
        <w:pStyle w:val="BodyText"/>
      </w:pPr>
      <w:hyperlink r:id="rId51">
        <w:r>
          <w:rPr>
            <w:rStyle w:val="Hyperlink"/>
          </w:rPr>
          <w:t xml:space="preserve">[23]</w:t>
        </w:r>
      </w:hyperlink>
      <w:r>
        <w:t xml:space="preserve"> </w:t>
      </w:r>
      <w:r>
        <w:t xml:space="preserve">Publishing Framework | Europeana PRO</w:t>
      </w:r>
    </w:p>
    <w:p>
      <w:pPr>
        <w:pStyle w:val="BodyText"/>
      </w:pPr>
      <w:hyperlink r:id="rId51">
        <w:r>
          <w:rPr>
            <w:rStyle w:val="Hyperlink"/>
          </w:rPr>
          <w:t xml:space="preserve">https://pro.europeana.eu/post/publishing-framework</w:t>
        </w:r>
      </w:hyperlink>
    </w:p>
    <w:p>
      <w:pPr>
        <w:pStyle w:val="BodyText"/>
      </w:pPr>
      <w:hyperlink r:id="rId52">
        <w:r>
          <w:rPr>
            <w:rStyle w:val="Hyperlink"/>
          </w:rPr>
          <w:t xml:space="preserve">[25]</w:t>
        </w:r>
      </w:hyperlink>
      <w:r>
        <w:t xml:space="preserve"> </w:t>
      </w:r>
      <w:r>
        <w:t xml:space="preserve">Metadata Retrieval - Crossref</w:t>
      </w:r>
    </w:p>
    <w:p>
      <w:pPr>
        <w:pStyle w:val="BodyText"/>
      </w:pPr>
      <w:hyperlink r:id="rId52">
        <w:r>
          <w:rPr>
            <w:rStyle w:val="Hyperlink"/>
          </w:rPr>
          <w:t xml:space="preserve">https://www.crossref.org/documentation/retrieve-metadata/</w:t>
        </w:r>
      </w:hyperlink>
    </w:p>
    <w:p>
      <w:pPr>
        <w:pStyle w:val="BodyText"/>
      </w:pPr>
      <w:hyperlink r:id="rId53">
        <w:r>
          <w:rPr>
            <w:rStyle w:val="Hyperlink"/>
          </w:rPr>
          <w:t xml:space="preserve">[28]</w:t>
        </w:r>
      </w:hyperlink>
      <w:r>
        <w:t xml:space="preserve"> </w:t>
      </w:r>
      <w:r>
        <w:t xml:space="preserve">Dylan</w:t>
      </w:r>
    </w:p>
    <w:p>
      <w:pPr>
        <w:pStyle w:val="BodyText"/>
      </w:pPr>
      <w:hyperlink r:id="rId53">
        <w:r>
          <w:rPr>
            <w:rStyle w:val="Hyperlink"/>
          </w:rPr>
          <w:t xml:space="preserve">https://www.moma.org/collection/works/8108?utm_source=chatgpt.com</w:t>
        </w:r>
      </w:hyperlink>
    </w:p>
    <w:p>
      <w:pPr>
        <w:pStyle w:val="BodyText"/>
      </w:pPr>
      <w:hyperlink r:id="rId54">
        <w:r>
          <w:rPr>
            <w:rStyle w:val="Hyperlink"/>
          </w:rPr>
          <w:t xml:space="preserve">[29]</w:t>
        </w:r>
      </w:hyperlink>
      <w:r>
        <w:t xml:space="preserve"> </w:t>
      </w:r>
      <w:r>
        <w:t xml:space="preserve">hfg-archiv.museumulm.de</w:t>
      </w:r>
    </w:p>
    <w:p>
      <w:pPr>
        <w:pStyle w:val="BodyText"/>
      </w:pPr>
      <w:hyperlink r:id="rId54">
        <w:r>
          <w:rPr>
            <w:rStyle w:val="Hyperlink"/>
          </w:rPr>
          <w:t xml:space="preserve">https://hfg-archiv.museumulm.de/en/the-hfg-archive/</w:t>
        </w:r>
      </w:hyperlink>
    </w:p>
    <w:p>
      <w:pPr>
        <w:pStyle w:val="BodyText"/>
      </w:pPr>
      <w:hyperlink r:id="rId55">
        <w:r>
          <w:rPr>
            <w:rStyle w:val="Hyperlink"/>
          </w:rPr>
          <w:t xml:space="preserve">[30]</w:t>
        </w:r>
      </w:hyperlink>
      <w:r>
        <w:t xml:space="preserve"> </w:t>
      </w:r>
      <w:r>
        <w:t xml:space="preserve">Marie Neurath Collection | Special Collections</w:t>
      </w:r>
    </w:p>
    <w:p>
      <w:pPr>
        <w:pStyle w:val="BodyText"/>
      </w:pPr>
      <w:hyperlink r:id="rId55">
        <w:r>
          <w:rPr>
            <w:rStyle w:val="Hyperlink"/>
          </w:rPr>
          <w:t xml:space="preserve">https://collections.reading.ac.uk/special-collections/collections/marie-neurath-collection/</w:t>
        </w:r>
      </w:hyperlink>
    </w:p>
    <w:p>
      <w:pPr>
        <w:pStyle w:val="BodyText"/>
      </w:pPr>
      <w:hyperlink r:id="rId56">
        <w:r>
          <w:rPr>
            <w:rStyle w:val="Hyperlink"/>
          </w:rPr>
          <w:t xml:space="preserve">[31]</w:t>
        </w:r>
      </w:hyperlink>
      <w:r>
        <w:t xml:space="preserve"> </w:t>
      </w:r>
      <w:r>
        <w:t xml:space="preserve">Charles Hasler Collection</w:t>
      </w:r>
    </w:p>
    <w:p>
      <w:pPr>
        <w:pStyle w:val="BodyText"/>
      </w:pPr>
      <w:hyperlink r:id="rId56">
        <w:r>
          <w:rPr>
            <w:rStyle w:val="Hyperlink"/>
          </w:rPr>
          <w:t xml:space="preserve">https://collections.reading.ac.uk/special-collections/wp-content/uploads/sites/5/2024/12/Charles-Hasler-Collection-handlist.pdf?utm_source=chatgpt.com</w:t>
        </w:r>
      </w:hyperlink>
    </w:p>
    <w:p>
      <w:pPr>
        <w:pStyle w:val="BodyText"/>
      </w:pPr>
      <w:hyperlink r:id="rId59">
        <w:r>
          <w:rPr>
            <w:rStyle w:val="Hyperlink"/>
          </w:rPr>
          <w:t xml:space="preserve">[32]</w:t>
        </w:r>
      </w:hyperlink>
      <w:r>
        <w:t xml:space="preserve"> </w:t>
      </w:r>
      <w:hyperlink r:id="rId59">
        <w:r>
          <w:rPr>
            <w:rStyle w:val="Hyperlink"/>
          </w:rPr>
          <w:t xml:space="preserve">[33]</w:t>
        </w:r>
      </w:hyperlink>
      <w:r>
        <w:t xml:space="preserve"> </w:t>
      </w:r>
      <w:r>
        <w:t xml:space="preserve">The Online Archive | Letterform Archive</w:t>
      </w:r>
    </w:p>
    <w:p>
      <w:pPr>
        <w:pStyle w:val="BodyText"/>
      </w:pPr>
      <w:hyperlink r:id="rId59">
        <w:r>
          <w:rPr>
            <w:rStyle w:val="Hyperlink"/>
          </w:rPr>
          <w:t xml:space="preserve">https://letterformarchive.org/online-archive/?srsltid=AfmBOopMqrZYEsjTbVjSsetE_wpjKJRquf6uGReRcCKjwjBzvEK9BELh</w:t>
        </w:r>
      </w:hyperlink>
    </w:p>
    <w:p>
      <w:pPr>
        <w:pStyle w:val="BodyText"/>
      </w:pPr>
      <w:hyperlink r:id="rId60">
        <w:r>
          <w:rPr>
            <w:rStyle w:val="Hyperlink"/>
          </w:rPr>
          <w:t xml:space="preserve">[34]</w:t>
        </w:r>
      </w:hyperlink>
      <w:r>
        <w:t xml:space="preserve"> </w:t>
      </w:r>
      <w:r>
        <w:t xml:space="preserve">Art &amp; Architecture Thesaurus (Getty Research Institute)</w:t>
      </w:r>
    </w:p>
    <w:p>
      <w:pPr>
        <w:pStyle w:val="BodyText"/>
      </w:pPr>
      <w:hyperlink r:id="rId60">
        <w:r>
          <w:rPr>
            <w:rStyle w:val="Hyperlink"/>
          </w:rPr>
          <w:t xml:space="preserve">https://www.getty.edu/research/tools/vocabularies/aat/</w:t>
        </w:r>
      </w:hyperlink>
    </w:p>
    <w:p>
      <w:pPr>
        <w:pStyle w:val="BodyText"/>
      </w:pPr>
      <w:hyperlink r:id="rId61">
        <w:r>
          <w:rPr>
            <w:rStyle w:val="Hyperlink"/>
          </w:rPr>
          <w:t xml:space="preserve">[35]</w:t>
        </w:r>
      </w:hyperlink>
      <w:r>
        <w:t xml:space="preserve"> </w:t>
      </w:r>
      <w:r>
        <w:t xml:space="preserve">National Diet Library</w:t>
      </w:r>
    </w:p>
    <w:p>
      <w:pPr>
        <w:pStyle w:val="BodyText"/>
      </w:pPr>
      <w:hyperlink r:id="rId61">
        <w:r>
          <w:rPr>
            <w:rStyle w:val="Hyperlink"/>
          </w:rPr>
          <w:t xml:space="preserve">https://www.ndl.go.jp/en/?utm_source=chatgpt.com</w:t>
        </w:r>
      </w:hyperlink>
    </w:p>
    <w:p>
      <w:pPr>
        <w:pStyle w:val="BodyText"/>
      </w:pPr>
      <w:hyperlink r:id="rId62">
        <w:r>
          <w:rPr>
            <w:rStyle w:val="Hyperlink"/>
          </w:rPr>
          <w:t xml:space="preserve">[36]</w:t>
        </w:r>
      </w:hyperlink>
      <w:r>
        <w:t xml:space="preserve"> </w:t>
      </w:r>
      <w:r>
        <w:t xml:space="preserve">How to utilize full-text search | Research Navi | National Diet Library</w:t>
      </w:r>
    </w:p>
    <w:p>
      <w:pPr>
        <w:pStyle w:val="BodyText"/>
      </w:pPr>
      <w:hyperlink r:id="rId62">
        <w:r>
          <w:rPr>
            <w:rStyle w:val="Hyperlink"/>
          </w:rPr>
          <w:t xml:space="preserve">https://ndlsearch.ndl.go.jp/en/rnavi/plan/post_987</w:t>
        </w:r>
      </w:hyperlink>
    </w:p>
    <w:p>
      <w:pPr>
        <w:pStyle w:val="BodyText"/>
      </w:pPr>
      <w:hyperlink r:id="rId64">
        <w:r>
          <w:rPr>
            <w:rStyle w:val="Hyperlink"/>
          </w:rPr>
          <w:t xml:space="preserve">[37]</w:t>
        </w:r>
      </w:hyperlink>
      <w:r>
        <w:t xml:space="preserve"> </w:t>
      </w:r>
      <w:r>
        <w:t xml:space="preserve">Exceptions to copyright - GOV.UK</w:t>
      </w:r>
    </w:p>
    <w:p>
      <w:pPr>
        <w:pStyle w:val="BodyText"/>
      </w:pPr>
      <w:hyperlink r:id="rId64">
        <w:r>
          <w:rPr>
            <w:rStyle w:val="Hyperlink"/>
          </w:rPr>
          <w:t xml:space="preserve">https://www.gov.uk/guidance/exceptions-to-copyright</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collections.reading.ac.uk/special-collections/collections/marie-neurath-collection/" TargetMode="External" /><Relationship Type="http://schemas.openxmlformats.org/officeDocument/2006/relationships/hyperlink" Id="rId56" Target="https://collections.reading.ac.uk/special-collections/wp-content/uploads/sites/5/2024/12/Charles-Hasler-Collection-handlist.pdf?utm_source=chatgpt.com" TargetMode="External" /><Relationship Type="http://schemas.openxmlformats.org/officeDocument/2006/relationships/hyperlink" Id="rId21" Target="https://collectionstrust.org.uk/spectrum/procedures/cataloguing-spectrum-5-0/" TargetMode="External" /><Relationship Type="http://schemas.openxmlformats.org/officeDocument/2006/relationships/hyperlink" Id="rId54" Target="https://hfg-archiv.museumulm.de/en/the-hfg-archive/" TargetMode="External" /><Relationship Type="http://schemas.openxmlformats.org/officeDocument/2006/relationships/hyperlink" Id="rId43" Target="https://letterformarchive.org/news/the-online-archive-describing-design/?srsltid=AfmBOorbhKQnXW8UU8bnzQj5EogBIcC-R2tEXr7AZZjwAWYk48ejA8mM" TargetMode="External" /><Relationship Type="http://schemas.openxmlformats.org/officeDocument/2006/relationships/hyperlink" Id="rId59" Target="https://letterformarchive.org/online-archive/?srsltid=AfmBOopMqrZYEsjTbVjSsetE_wpjKJRquf6uGReRcCKjwjBzvEK9BELh" TargetMode="External" /><Relationship Type="http://schemas.openxmlformats.org/officeDocument/2006/relationships/hyperlink" Id="rId62" Target="https://ndlsearch.ndl.go.jp/en/rnavi/plan/post_987" TargetMode="External" /><Relationship Type="http://schemas.openxmlformats.org/officeDocument/2006/relationships/hyperlink" Id="rId51" Target="https://pro.europeana.eu/post/publishing-framework" TargetMode="External" /><Relationship Type="http://schemas.openxmlformats.org/officeDocument/2006/relationships/hyperlink" Id="rId25" Target="https://saa-ts-dacs.github.io/dacs/06_part_I/03_chapter_02/03_title.html" TargetMode="External" /><Relationship Type="http://schemas.openxmlformats.org/officeDocument/2006/relationships/hyperlink" Id="rId50" Target="https://saa-ts-dacs.github.io/dacs/06_part_I/04_chapter_03/01_scope_and_content.html" TargetMode="External" /><Relationship Type="http://schemas.openxmlformats.org/officeDocument/2006/relationships/hyperlink" Id="rId23" Target="https://saa-ts-dacs.github.io/dacs/06_part_I/09_chapter_08/02_rights_statements_archival_description.html" TargetMode="External" /><Relationship Type="http://schemas.openxmlformats.org/officeDocument/2006/relationships/hyperlink" Id="rId39" Target="https://saa-ts-dacs.github.io/dacs/08_part_II/02_chapter_09.html" TargetMode="External" /><Relationship Type="http://schemas.openxmlformats.org/officeDocument/2006/relationships/hyperlink" Id="rId49" Target="https://viaf.org/" TargetMode="External" /><Relationship Type="http://schemas.openxmlformats.org/officeDocument/2006/relationships/hyperlink" Id="rId52" Target="https://www.crossref.org/documentation/retrieve-metadata/" TargetMode="External" /><Relationship Type="http://schemas.openxmlformats.org/officeDocument/2006/relationships/hyperlink" Id="rId31" Target="https://www.getty.edu/publications/categories-description-works-art/categories/object-architecture-group/1/" TargetMode="External" /><Relationship Type="http://schemas.openxmlformats.org/officeDocument/2006/relationships/hyperlink" Id="rId22" Target="https://www.getty.edu/publications/categories-description-works-art/categories/object-architecture-group/18/" TargetMode="External" /><Relationship Type="http://schemas.openxmlformats.org/officeDocument/2006/relationships/hyperlink" Id="rId60" Target="https://www.getty.edu/research/tools/vocabularies/aat/" TargetMode="External" /><Relationship Type="http://schemas.openxmlformats.org/officeDocument/2006/relationships/hyperlink" Id="rId64" Target="https://www.gov.uk/guidance/exceptions-to-copyright" TargetMode="External" /><Relationship Type="http://schemas.openxmlformats.org/officeDocument/2006/relationships/hyperlink" Id="rId36" Target="https://www.loc.gov/collections/chronicling-america/about-this-collection/technical-information/" TargetMode="External" /><Relationship Type="http://schemas.openxmlformats.org/officeDocument/2006/relationships/hyperlink" Id="rId53" Target="https://www.moma.org/collection/works/8108?utm_source=chatgpt.com" TargetMode="External" /><Relationship Type="http://schemas.openxmlformats.org/officeDocument/2006/relationships/hyperlink" Id="rId61" Target="https://www.ndl.go.jp/en/?utm_source=chatgpt.com" TargetMode="External" /><Relationship Type="http://schemas.openxmlformats.org/officeDocument/2006/relationships/hyperlink" Id="rId41" Target="https://www.w3.org/TR/string-meta/" TargetMode="External" /></Relationships>
</file>

<file path=word/_rels/footnotes.xml.rels><?xml version="1.0" encoding="UTF-8"?><Relationships xmlns="http://schemas.openxmlformats.org/package/2006/relationships"><Relationship Type="http://schemas.openxmlformats.org/officeDocument/2006/relationships/hyperlink" Id="rId55" Target="https://collections.reading.ac.uk/special-collections/collections/marie-neurath-collection/" TargetMode="External" /><Relationship Type="http://schemas.openxmlformats.org/officeDocument/2006/relationships/hyperlink" Id="rId56" Target="https://collections.reading.ac.uk/special-collections/wp-content/uploads/sites/5/2024/12/Charles-Hasler-Collection-handlist.pdf?utm_source=chatgpt.com" TargetMode="External" /><Relationship Type="http://schemas.openxmlformats.org/officeDocument/2006/relationships/hyperlink" Id="rId21" Target="https://collectionstrust.org.uk/spectrum/procedures/cataloguing-spectrum-5-0/" TargetMode="External" /><Relationship Type="http://schemas.openxmlformats.org/officeDocument/2006/relationships/hyperlink" Id="rId54" Target="https://hfg-archiv.museumulm.de/en/the-hfg-archive/" TargetMode="External" /><Relationship Type="http://schemas.openxmlformats.org/officeDocument/2006/relationships/hyperlink" Id="rId43" Target="https://letterformarchive.org/news/the-online-archive-describing-design/?srsltid=AfmBOorbhKQnXW8UU8bnzQj5EogBIcC-R2tEXr7AZZjwAWYk48ejA8mM" TargetMode="External" /><Relationship Type="http://schemas.openxmlformats.org/officeDocument/2006/relationships/hyperlink" Id="rId59" Target="https://letterformarchive.org/online-archive/?srsltid=AfmBOopMqrZYEsjTbVjSsetE_wpjKJRquf6uGReRcCKjwjBzvEK9BELh" TargetMode="External" /><Relationship Type="http://schemas.openxmlformats.org/officeDocument/2006/relationships/hyperlink" Id="rId62" Target="https://ndlsearch.ndl.go.jp/en/rnavi/plan/post_987" TargetMode="External" /><Relationship Type="http://schemas.openxmlformats.org/officeDocument/2006/relationships/hyperlink" Id="rId51" Target="https://pro.europeana.eu/post/publishing-framework" TargetMode="External" /><Relationship Type="http://schemas.openxmlformats.org/officeDocument/2006/relationships/hyperlink" Id="rId25" Target="https://saa-ts-dacs.github.io/dacs/06_part_I/03_chapter_02/03_title.html" TargetMode="External" /><Relationship Type="http://schemas.openxmlformats.org/officeDocument/2006/relationships/hyperlink" Id="rId50" Target="https://saa-ts-dacs.github.io/dacs/06_part_I/04_chapter_03/01_scope_and_content.html" TargetMode="External" /><Relationship Type="http://schemas.openxmlformats.org/officeDocument/2006/relationships/hyperlink" Id="rId23" Target="https://saa-ts-dacs.github.io/dacs/06_part_I/09_chapter_08/02_rights_statements_archival_description.html" TargetMode="External" /><Relationship Type="http://schemas.openxmlformats.org/officeDocument/2006/relationships/hyperlink" Id="rId39" Target="https://saa-ts-dacs.github.io/dacs/08_part_II/02_chapter_09.html" TargetMode="External" /><Relationship Type="http://schemas.openxmlformats.org/officeDocument/2006/relationships/hyperlink" Id="rId49" Target="https://viaf.org/" TargetMode="External" /><Relationship Type="http://schemas.openxmlformats.org/officeDocument/2006/relationships/hyperlink" Id="rId52" Target="https://www.crossref.org/documentation/retrieve-metadata/" TargetMode="External" /><Relationship Type="http://schemas.openxmlformats.org/officeDocument/2006/relationships/hyperlink" Id="rId31" Target="https://www.getty.edu/publications/categories-description-works-art/categories/object-architecture-group/1/" TargetMode="External" /><Relationship Type="http://schemas.openxmlformats.org/officeDocument/2006/relationships/hyperlink" Id="rId22" Target="https://www.getty.edu/publications/categories-description-works-art/categories/object-architecture-group/18/" TargetMode="External" /><Relationship Type="http://schemas.openxmlformats.org/officeDocument/2006/relationships/hyperlink" Id="rId60" Target="https://www.getty.edu/research/tools/vocabularies/aat/" TargetMode="External" /><Relationship Type="http://schemas.openxmlformats.org/officeDocument/2006/relationships/hyperlink" Id="rId64" Target="https://www.gov.uk/guidance/exceptions-to-copyright" TargetMode="External" /><Relationship Type="http://schemas.openxmlformats.org/officeDocument/2006/relationships/hyperlink" Id="rId36" Target="https://www.loc.gov/collections/chronicling-america/about-this-collection/technical-information/" TargetMode="External" /><Relationship Type="http://schemas.openxmlformats.org/officeDocument/2006/relationships/hyperlink" Id="rId53" Target="https://www.moma.org/collection/works/8108?utm_source=chatgpt.com" TargetMode="External" /><Relationship Type="http://schemas.openxmlformats.org/officeDocument/2006/relationships/hyperlink" Id="rId61" Target="https://www.ndl.go.jp/en/?utm_source=chatgpt.com" TargetMode="External" /><Relationship Type="http://schemas.openxmlformats.org/officeDocument/2006/relationships/hyperlink" Id="rId41" Target="https://www.w3.org/TR/string-me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2026-05-30T12:25:14Z</dcterms:created>
  <dcterms:modified xsi:type="dcterms:W3CDTF">2026-05-30T12:25:14Z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