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72db27fa52b3994394c22467ccf2ae694932136"/>
    <w:p>
      <w:pPr>
        <w:pStyle w:val="Heading1"/>
      </w:pPr>
      <w:r>
        <w:t xml:space="preserve">Inclusion and Noise Filtering for Contemporary Graphic Design Archive Capture</w:t>
      </w:r>
    </w:p>
    <w:p>
      <w:pPr>
        <w:pStyle w:val="FirstParagraph"/>
      </w:pPr>
      <w:r>
        <w:t xml:space="preserve">Contemporary capture should be governed by</w:t>
      </w:r>
      <w:r>
        <w:t xml:space="preserve"> </w:t>
      </w:r>
      <w:r>
        <w:rPr>
          <w:b/>
          <w:bCs/>
        </w:rPr>
        <w:t xml:space="preserve">historical relevance, evidential value, and contextual usability</w:t>
      </w:r>
      <w:r>
        <w:t xml:space="preserve">, not by prestige, virality, or surface appeal. Archival appraisal guidance emphasizes enduring research value, source context, uniqueness, and usability, and explicitly warns that appraisal is not a mechanical checklist exercise. Web-archiving guidance adds two crucial realities for 1990–2026 design history: websites are unstable born-digital records, and selective collection should prioritize usefulness, uniqueness, currency, at-risk content, and underrepresented voices.</w:t>
      </w:r>
      <w:r>
        <w:t xml:space="preserve"> </w:t>
      </w:r>
      <w:hyperlink r:id="rId21">
        <w:r>
          <w:rPr>
            <w:rStyle w:val="Hyperlink"/>
          </w:rPr>
          <w:t xml:space="preserve">[1]</w:t>
        </w:r>
      </w:hyperlink>
    </w:p>
    <w:bookmarkStart w:id="25" w:name="scope-principles"/>
    <w:p>
      <w:pPr>
        <w:pStyle w:val="Heading2"/>
      </w:pPr>
      <w:r>
        <w:t xml:space="preserve">Scope principles</w:t>
      </w:r>
    </w:p>
    <w:p>
      <w:pPr>
        <w:pStyle w:val="FirstParagraph"/>
      </w:pPr>
      <w:r>
        <w:t xml:space="preserve">A contemporary record belongs in scope when it documents</w:t>
      </w:r>
      <w:r>
        <w:t xml:space="preserve"> </w:t>
      </w:r>
      <w:r>
        <w:rPr>
          <w:b/>
          <w:bCs/>
        </w:rPr>
        <w:t xml:space="preserve">graphic design as an object, system, discourse, or historically meaningful institutional/community record</w:t>
      </w:r>
      <w:r>
        <w:t xml:space="preserve">. Museums and design archives already treat posters, books, magazines, identities, typefaces, digital works, films and animation, exhibition design, and other graphic forms as collectible design records; they also recognize born-digital and interface-related material such as digital design objects, emoji, and graphic user interface icon sketches. Design criticism, curatorial writing, and exhibition histories are also part of the historical record of the field, not merely supporting matter.</w:t>
      </w:r>
      <w:r>
        <w:t xml:space="preserve"> </w:t>
      </w:r>
      <w:hyperlink r:id="rId22">
        <w:r>
          <w:rPr>
            <w:rStyle w:val="Hyperlink"/>
          </w:rPr>
          <w:t xml:space="preserve">[2]</w:t>
        </w:r>
      </w:hyperlink>
    </w:p>
    <w:p>
      <w:pPr>
        <w:pStyle w:val="BodyText"/>
      </w:pPr>
      <w:r>
        <w:t xml:space="preserve">This matters because graphic design does not sit neatly inside older library or museum vocabularies. Letterform Archive’s cataloging work argues that standard art- and architecture-centered thesauri often fail to describe graphic design in terms meaningful to designers and researchers, and that archives may need design-specific vocabularies, item-level linking of process work to final outcomes, and creator emphasis on designers rather than authors. In other words, the archive should judge a candidate record by whether it helps reconstruct design history, not by whether it looks like a conventional museum object page.</w:t>
      </w:r>
      <w:r>
        <w:t xml:space="preserve"> </w:t>
      </w:r>
      <w:hyperlink r:id="rId23">
        <w:r>
          <w:rPr>
            <w:rStyle w:val="Hyperlink"/>
          </w:rPr>
          <w:t xml:space="preserve">[3]</w:t>
        </w:r>
      </w:hyperlink>
    </w:p>
    <w:p>
      <w:pPr>
        <w:pStyle w:val="BodyText"/>
      </w:pPr>
      <w:r>
        <w:t xml:space="preserve">The archive should also treat</w:t>
      </w:r>
      <w:r>
        <w:t xml:space="preserve"> </w:t>
      </w:r>
      <w:r>
        <w:rPr>
          <w:b/>
          <w:bCs/>
        </w:rPr>
        <w:t xml:space="preserve">diversity of voice as a collecting criterion, not a post-processing aspiration</w:t>
      </w:r>
      <w:r>
        <w:t xml:space="preserve">. The Library of Congress states that web collecting should be inclusive and representative of underrepresented perspectives and voices, while community-archive guidance defines community archives as documentation created and maintained by the communities represented, often outside traditional institutions. CLIR’s 2026 assessment similarly warns that large-institution bias and “scholarly value” requirements can disadvantage under-resourced, independent, and community-based organizations.</w:t>
      </w:r>
      <w:r>
        <w:t xml:space="preserve"> </w:t>
      </w:r>
      <w:hyperlink r:id="rId24">
        <w:r>
          <w:rPr>
            <w:rStyle w:val="Hyperlink"/>
          </w:rPr>
          <w:t xml:space="preserve">[4]</w:t>
        </w:r>
      </w:hyperlink>
    </w:p>
    <w:bookmarkEnd w:id="25"/>
    <w:bookmarkStart w:id="28" w:name="contemporary-inclusion-rubric"/>
    <w:p>
      <w:pPr>
        <w:pStyle w:val="Heading2"/>
      </w:pPr>
      <w:r>
        <w:t xml:space="preserve">Contemporary inclusion rubric</w:t>
      </w:r>
    </w:p>
    <w:p>
      <w:pPr>
        <w:pStyle w:val="FirstParagraph"/>
      </w:pPr>
      <w:r>
        <w:t xml:space="preserve">The archive should use a</w:t>
      </w:r>
      <w:r>
        <w:t xml:space="preserve"> </w:t>
      </w:r>
      <w:r>
        <w:rPr>
          <w:b/>
          <w:bCs/>
        </w:rPr>
        <w:t xml:space="preserve">five-part inclusion rubric</w:t>
      </w:r>
      <w:r>
        <w:t xml:space="preserve">. A record should normally be included only when it passes the first two tests and at least one of the remaining three.</w:t>
      </w:r>
    </w:p>
    <w:p>
      <w:pPr>
        <w:pStyle w:val="BodyText"/>
      </w:pPr>
      <w:r>
        <w:rPr>
          <w:b/>
          <w:bCs/>
        </w:rPr>
        <w:t xml:space="preserve">Category fit is required.</w:t>
      </w:r>
      <w:r>
        <w:t xml:space="preserve"> </w:t>
      </w:r>
      <w:r>
        <w:t xml:space="preserve">The page must document a graphic design record type, not merely a brand-adjacent or creative-industry page. In-scope categories should include: single objects and series such as posters, publications, brochures, type specimens, packaging, logos, signage, and interface/icon systems; design systems such as visual identities, wayfinding, campaigns, and cross-media exhibition identity; born-digital works such as websites, motion design, title sequences, interface graphics, and platform-native visual systems; design writing and criticism; movements and community practices; and institutional records that materially document design activity, such as collection object records, exhibition dossiers, and archival presentations. These categories align with how design museums and archives describe graphic records today.</w:t>
      </w:r>
      <w:r>
        <w:t xml:space="preserve"> </w:t>
      </w:r>
      <w:hyperlink r:id="rId22">
        <w:r>
          <w:rPr>
            <w:rStyle w:val="Hyperlink"/>
          </w:rPr>
          <w:t xml:space="preserve">[5]</w:t>
        </w:r>
      </w:hyperlink>
    </w:p>
    <w:p>
      <w:pPr>
        <w:pStyle w:val="BodyText"/>
      </w:pPr>
      <w:r>
        <w:rPr>
          <w:b/>
          <w:bCs/>
        </w:rPr>
        <w:t xml:space="preserve">Direct design evidence is required.</w:t>
      </w:r>
      <w:r>
        <w:t xml:space="preserve"> </w:t>
      </w:r>
      <w:r>
        <w:t xml:space="preserve">A candidate record should contain either visual evidence of the work or concrete documentary evidence that identifies the design artifact or system. Strong evidence includes object images, galleries, process images, specimen sheets, embedded motion/video, scans, or structured descriptive fields such as designer, client, commissioner, year, medium, category, and object type. M+ object records and D&amp;AD award records are strong models because they pair images or media with dates, credits, and object/campaign context.</w:t>
      </w:r>
      <w:r>
        <w:t xml:space="preserve"> </w:t>
      </w:r>
      <w:hyperlink r:id="rId26">
        <w:r>
          <w:rPr>
            <w:rStyle w:val="Hyperlink"/>
          </w:rPr>
          <w:t xml:space="preserve">[6]</w:t>
        </w:r>
      </w:hyperlink>
    </w:p>
    <w:p>
      <w:pPr>
        <w:pStyle w:val="BodyText"/>
      </w:pPr>
      <w:r>
        <w:rPr>
          <w:b/>
          <w:bCs/>
        </w:rPr>
        <w:t xml:space="preserve">Context and provenance should usually be present.</w:t>
      </w:r>
      <w:r>
        <w:t xml:space="preserve"> </w:t>
      </w:r>
      <w:r>
        <w:t xml:space="preserve">A record should ideally say who made it, for whom, when, in what medium, and in what setting. For born-digital or process-heavy material, provenance can also come from archival framing: a collection record, an award entry, a named publication, or a designer-controlled project page. Letterform Archive’s object-level linking of sketch-to-final material is a useful reminder that process records are in scope when they illuminate the design system, not just the polished endpoint.</w:t>
      </w:r>
      <w:r>
        <w:t xml:space="preserve"> </w:t>
      </w:r>
      <w:hyperlink r:id="rId23">
        <w:r>
          <w:rPr>
            <w:rStyle w:val="Hyperlink"/>
          </w:rPr>
          <w:t xml:space="preserve">[7]</w:t>
        </w:r>
      </w:hyperlink>
    </w:p>
    <w:p>
      <w:pPr>
        <w:pStyle w:val="BodyText"/>
      </w:pPr>
      <w:r>
        <w:rPr>
          <w:b/>
          <w:bCs/>
        </w:rPr>
        <w:t xml:space="preserve">Research value can justify imperfect records.</w:t>
      </w:r>
      <w:r>
        <w:t xml:space="preserve"> </w:t>
      </w:r>
      <w:r>
        <w:t xml:space="preserve">NARA’s appraisal guidance recommends judging records by research significance, source/context, uniqueness, and usability, rather than by rigid box-ticking. For this archive, that means a sparse but unique local poster page, activist community archive, or item documenting a marginal movement may outrank a glossy but generic portfolio page. V&amp;A’s poster collection explicitly includes anonymous activists, which is a useful institutional precedent for not equating canonical authorship with historical relevance.</w:t>
      </w:r>
      <w:r>
        <w:t xml:space="preserve"> </w:t>
      </w:r>
      <w:hyperlink r:id="rId21">
        <w:r>
          <w:rPr>
            <w:rStyle w:val="Hyperlink"/>
          </w:rPr>
          <w:t xml:space="preserve">[8]</w:t>
        </w:r>
      </w:hyperlink>
    </w:p>
    <w:p>
      <w:pPr>
        <w:pStyle w:val="BodyText"/>
      </w:pPr>
      <w:r>
        <w:rPr>
          <w:b/>
          <w:bCs/>
        </w:rPr>
        <w:t xml:space="preserve">Capture feasibility matters, but should not silently erase edge material.</w:t>
      </w:r>
      <w:r>
        <w:t xml:space="preserve"> </w:t>
      </w:r>
      <w:r>
        <w:t xml:space="preserve">The Library of Congress and Archive-It both note that dynamic, form-driven, streaming, paywalled, and social-platform content can be difficult to capture, and that web archiving requires review and QA rather than one-pass assumptions. So “hard to crawl” should usually mean</w:t>
      </w:r>
      <w:r>
        <w:t xml:space="preserve"> </w:t>
      </w:r>
      <w:r>
        <w:rPr>
          <w:b/>
          <w:bCs/>
        </w:rPr>
        <w:t xml:space="preserve">manual review or alternative capture strategy</w:t>
      </w:r>
      <w:r>
        <w:t xml:space="preserve">, not automatic out-of-scope status.</w:t>
      </w:r>
      <w:r>
        <w:t xml:space="preserve"> </w:t>
      </w:r>
      <w:hyperlink r:id="rId27">
        <w:r>
          <w:rPr>
            <w:rStyle w:val="Hyperlink"/>
          </w:rPr>
          <w:t xml:space="preserve">[9]</w:t>
        </w:r>
      </w:hyperlink>
    </w:p>
    <w:p>
      <w:pPr>
        <w:pStyle w:val="BodyText"/>
      </w:pPr>
      <w:r>
        <w:t xml:space="preserve">Operationally, the archive can use three decision bands:</w:t>
      </w:r>
    </w:p>
    <w:p>
      <w:pPr>
        <w:pStyle w:val="BodyText"/>
      </w:pPr>
      <w:r>
        <w:rPr>
          <w:b/>
          <w:bCs/>
        </w:rPr>
        <w:t xml:space="preserve">Include</w:t>
      </w:r>
      <w:r>
        <w:t xml:space="preserve"> </w:t>
      </w:r>
      <w:r>
        <w:t xml:space="preserve">when the page documents an in-scope design record and provides direct evidence plus usable metadata or strong archival context.</w:t>
      </w:r>
    </w:p>
    <w:p>
      <w:pPr>
        <w:pStyle w:val="BodyText"/>
      </w:pPr>
      <w:r>
        <w:rPr>
          <w:b/>
          <w:bCs/>
        </w:rPr>
        <w:t xml:space="preserve">Downgrade</w:t>
      </w:r>
      <w:r>
        <w:t xml:space="preserve"> </w:t>
      </w:r>
      <w:r>
        <w:t xml:space="preserve">when the subject is plausibly in scope but the record is missing provenance, date, credits, or primary-source standing.</w:t>
      </w:r>
    </w:p>
    <w:p>
      <w:pPr>
        <w:pStyle w:val="BodyText"/>
      </w:pPr>
      <w:r>
        <w:rPr>
          <w:b/>
          <w:bCs/>
        </w:rPr>
        <w:t xml:space="preserve">Exclude</w:t>
      </w:r>
      <w:r>
        <w:t xml:space="preserve"> </w:t>
      </w:r>
      <w:r>
        <w:t xml:space="preserve">when the page does not document a design record at all, or when it is routine administrative, legal, hiring, ticketing, commerce, or repost content with little or no evidential value about design history. This follows both archival appraisal’s distinction between enduring records and routine operations and LOC’s insistence on selective collection by usefulness and uniqueness.</w:t>
      </w:r>
      <w:r>
        <w:t xml:space="preserve"> </w:t>
      </w:r>
      <w:hyperlink r:id="rId21">
        <w:r>
          <w:rPr>
            <w:rStyle w:val="Hyperlink"/>
          </w:rPr>
          <w:t xml:space="preserve">[10]</w:t>
        </w:r>
      </w:hyperlink>
    </w:p>
    <w:bookmarkEnd w:id="28"/>
    <w:bookmarkStart w:id="34" w:name="noise-filtering-taxonomy"/>
    <w:p>
      <w:pPr>
        <w:pStyle w:val="Heading2"/>
      </w:pPr>
      <w:r>
        <w:t xml:space="preserve">Noise-filtering taxonomy</w:t>
      </w:r>
    </w:p>
    <w:p>
      <w:pPr>
        <w:pStyle w:val="FirstParagraph"/>
      </w:pPr>
      <w:r>
        <w:t xml:space="preserve">A useful noise taxonomy should distinguish between</w:t>
      </w:r>
      <w:r>
        <w:t xml:space="preserve"> </w:t>
      </w:r>
      <w:r>
        <w:rPr>
          <w:b/>
          <w:bCs/>
        </w:rPr>
        <w:t xml:space="preserve">record-bearing pages</w:t>
      </w:r>
      <w:r>
        <w:t xml:space="preserve">,</w:t>
      </w:r>
      <w:r>
        <w:t xml:space="preserve"> </w:t>
      </w:r>
      <w:r>
        <w:rPr>
          <w:b/>
          <w:bCs/>
        </w:rPr>
        <w:t xml:space="preserve">corroborative pages</w:t>
      </w:r>
      <w:r>
        <w:t xml:space="preserve">,</w:t>
      </w:r>
      <w:r>
        <w:t xml:space="preserve"> </w:t>
      </w:r>
      <w:r>
        <w:rPr>
          <w:b/>
          <w:bCs/>
        </w:rPr>
        <w:t xml:space="preserve">discovery pages</w:t>
      </w:r>
      <w:r>
        <w:t xml:space="preserve">, and</w:t>
      </w:r>
      <w:r>
        <w:t xml:space="preserve"> </w:t>
      </w:r>
      <w:r>
        <w:rPr>
          <w:b/>
          <w:bCs/>
        </w:rPr>
        <w:t xml:space="preserve">routine/non-record pages</w:t>
      </w:r>
      <w:r>
        <w:t xml:space="preserve">, rather than relying on a blunt “good/bad site” model.</w:t>
      </w:r>
    </w:p>
    <w:p>
      <w:pPr>
        <w:pStyle w:val="BodyText"/>
      </w:pPr>
      <w:r>
        <w:rPr>
          <w:b/>
          <w:bCs/>
        </w:rPr>
        <w:t xml:space="preserve">Primary record pages</w:t>
      </w:r>
      <w:r>
        <w:t xml:space="preserve"> </w:t>
      </w:r>
      <w:r>
        <w:t xml:space="preserve">are the best evidence sources. These include museum or archive object records, award-database entries with credits and year, designer/studio project pages with clear authorship and project metadata, digitized publication records, and preserved original websites that are themselves the design object. D&amp;AD entries, M+ object pages, and archive object databases exemplify this class.</w:t>
      </w:r>
      <w:r>
        <w:t xml:space="preserve"> </w:t>
      </w:r>
      <w:hyperlink r:id="rId26">
        <w:r>
          <w:rPr>
            <w:rStyle w:val="Hyperlink"/>
          </w:rPr>
          <w:t xml:space="preserve">[11]</w:t>
        </w:r>
      </w:hyperlink>
    </w:p>
    <w:p>
      <w:pPr>
        <w:pStyle w:val="BodyText"/>
      </w:pPr>
      <w:r>
        <w:rPr>
          <w:b/>
          <w:bCs/>
        </w:rPr>
        <w:t xml:space="preserve">Corroborative secondary pages</w:t>
      </w:r>
      <w:r>
        <w:t xml:space="preserve"> </w:t>
      </w:r>
      <w:r>
        <w:t xml:space="preserve">are useful but should not usually stand alone. Fonts In Use is a strong example of an independent, structured, public archive of typography, indexed by typeface, format, industry, and period, with publicly contributed examples. It is highly useful because it exposes an object-level taxonomy and contextual indexing, but it remains a contributed archive rather than the originating source. Similarly, Design Reviewed is an independent graphic design archive built by a named individual and explicitly frames itself as documentation/preservation work with decades, movements, countries, and artifacts; it is historically useful, but the archive should still distinguish between its records and the original objects or primary publications it documents.</w:t>
      </w:r>
      <w:r>
        <w:t xml:space="preserve"> </w:t>
      </w:r>
      <w:hyperlink r:id="rId29">
        <w:r>
          <w:rPr>
            <w:rStyle w:val="Hyperlink"/>
          </w:rPr>
          <w:t xml:space="preserve">[12]</w:t>
        </w:r>
      </w:hyperlink>
    </w:p>
    <w:p>
      <w:pPr>
        <w:pStyle w:val="BodyText"/>
      </w:pPr>
      <w:r>
        <w:rPr>
          <w:b/>
          <w:bCs/>
        </w:rPr>
        <w:t xml:space="preserve">Curated showcase/editorial pages</w:t>
      </w:r>
      <w:r>
        <w:t xml:space="preserve"> </w:t>
      </w:r>
      <w:r>
        <w:t xml:space="preserve">should generally be downgraded unless corroborated. Identity Designed openly describes itself as a showcase devoted to visual identities, with project contributions welcomed and the site run by an independent designer. That kind of source can be valuable for discovery and comparative research, but because it is editorially selected and often submission-driven, it should rarely be the sole evidence record. The same principle applies to other independent editorial platforms: useful as witnesses, weaker as origin points.</w:t>
      </w:r>
      <w:r>
        <w:t xml:space="preserve"> </w:t>
      </w:r>
      <w:hyperlink r:id="rId30">
        <w:r>
          <w:rPr>
            <w:rStyle w:val="Hyperlink"/>
          </w:rPr>
          <w:t xml:space="preserve">[13]</w:t>
        </w:r>
      </w:hyperlink>
    </w:p>
    <w:p>
      <w:pPr>
        <w:pStyle w:val="BodyText"/>
      </w:pPr>
      <w:r>
        <w:rPr>
          <w:b/>
          <w:bCs/>
        </w:rPr>
        <w:t xml:space="preserve">Discovery-route platforms</w:t>
      </w:r>
      <w:r>
        <w:t xml:space="preserve"> </w:t>
      </w:r>
      <w:r>
        <w:t xml:space="preserve">should be treated primarily as leads, not evidence. Pinterest is structured around saving Pins to boards and even lets users create Pins from a site URL and selected image; Are.na defines itself as a place to save content, create collections, and connect ideas; Tumblr distinguishes between original posts and reblogs, and reblogs can persist even if the source post is deleted; Instagram is explicitly for sharing photos and videos and supports collaborative repost-like features; Behance is a portfolio/discovery network that also foregrounds hiring, jobs, inspiration, popularity sorting, and creator self-presentation. These are all useful for finding candidates, but weak as historical evidence because they often detach objects from original context, reward platform behavior rather than evidential completeness, and may alter or strip metadata.</w:t>
      </w:r>
      <w:r>
        <w:t xml:space="preserve"> </w:t>
      </w:r>
      <w:hyperlink r:id="rId31">
        <w:r>
          <w:rPr>
            <w:rStyle w:val="Hyperlink"/>
          </w:rPr>
          <w:t xml:space="preserve">[14]</w:t>
        </w:r>
      </w:hyperlink>
    </w:p>
    <w:p>
      <w:pPr>
        <w:pStyle w:val="BodyText"/>
      </w:pPr>
      <w:r>
        <w:rPr>
          <w:b/>
          <w:bCs/>
        </w:rPr>
        <w:t xml:space="preserve">Routine administrative and transactional pages</w:t>
      </w:r>
      <w:r>
        <w:t xml:space="preserve"> </w:t>
      </w:r>
      <w:r>
        <w:t xml:space="preserve">should be excluded unless they themselves are the historical record under study. This class includes press releases, preview-party pages, generic event listings, ticketing pages, jobs, calls for entries, tenders, membership pages, shipping pages, terms, privacy, cookies, and other routine operational matter. NARA treats routine operational records as typically temporary, and the type of evidence found on job lists or preview-party pages usually concerns attendance, sales, or administration rather than the design artifact itself. Walker’s preview-party press release and Behance’s jobs section are clear examples.</w:t>
      </w:r>
      <w:r>
        <w:t xml:space="preserve"> </w:t>
      </w:r>
      <w:hyperlink r:id="rId32">
        <w:r>
          <w:rPr>
            <w:rStyle w:val="Hyperlink"/>
          </w:rPr>
          <w:t xml:space="preserve">[15]</w:t>
        </w:r>
      </w:hyperlink>
    </w:p>
    <w:p>
      <w:pPr>
        <w:pStyle w:val="BodyText"/>
      </w:pPr>
      <w:r>
        <w:rPr>
          <w:b/>
          <w:bCs/>
        </w:rPr>
        <w:t xml:space="preserve">Thin SEO or generic trend content</w:t>
      </w:r>
      <w:r>
        <w:t xml:space="preserve"> </w:t>
      </w:r>
      <w:r>
        <w:t xml:space="preserve">should usually be excluded or sharply downgraded. The problem is not that writing appears online, but that historically useful design writing is specific, critical, and attributable. Eye’s long-running criticism and Walker’s exhibition writing document discourse and field formation; a thin “best logos this year” listicle without authorship, evidence, or provenance does not.</w:t>
      </w:r>
      <w:r>
        <w:t xml:space="preserve"> </w:t>
      </w:r>
      <w:hyperlink r:id="rId33">
        <w:r>
          <w:rPr>
            <w:rStyle w:val="Hyperlink"/>
          </w:rPr>
          <w:t xml:space="preserve">[16]</w:t>
        </w:r>
      </w:hyperlink>
    </w:p>
    <w:bookmarkEnd w:id="34"/>
    <w:bookmarkStart w:id="43" w:name="script-level-filtering-recommendations"/>
    <w:p>
      <w:pPr>
        <w:pStyle w:val="Heading2"/>
      </w:pPr>
      <w:r>
        <w:t xml:space="preserve">Script-level filtering recommendations</w:t>
      </w:r>
    </w:p>
    <w:bookmarkStart w:id="36" w:name="source-type-gates"/>
    <w:p>
      <w:pPr>
        <w:pStyle w:val="Heading3"/>
      </w:pPr>
      <w:r>
        <w:t xml:space="preserve">Source-type gates</w:t>
      </w:r>
    </w:p>
    <w:p>
      <w:pPr>
        <w:pStyle w:val="FirstParagraph"/>
      </w:pPr>
      <w:r>
        <w:t xml:space="preserve">Scripts should first classify the domain or page into a high-level source type before scoring the page itself. A practical top layer is:</w:t>
      </w:r>
    </w:p>
    <w:p>
      <w:pPr>
        <w:pStyle w:val="BodyText"/>
      </w:pPr>
      <w:r>
        <w:rPr>
          <w:b/>
          <w:bCs/>
        </w:rPr>
        <w:t xml:space="preserve">Primary archive/object/award domains</w:t>
      </w:r>
      <w:r>
        <w:t xml:space="preserve">,</w:t>
      </w:r>
      <w:r>
        <w:br/>
      </w:r>
      <w:r>
        <w:rPr>
          <w:b/>
          <w:bCs/>
        </w:rPr>
        <w:t xml:space="preserve">designer/studio/client-origin domains</w:t>
      </w:r>
      <w:r>
        <w:t xml:space="preserve">,</w:t>
      </w:r>
      <w:r>
        <w:br/>
      </w:r>
      <w:r>
        <w:rPr>
          <w:b/>
          <w:bCs/>
        </w:rPr>
        <w:t xml:space="preserve">independent archives/publications</w:t>
      </w:r>
      <w:r>
        <w:t xml:space="preserve">,</w:t>
      </w:r>
      <w:r>
        <w:br/>
      </w:r>
      <w:r>
        <w:rPr>
          <w:b/>
          <w:bCs/>
        </w:rPr>
        <w:t xml:space="preserve">social/discovery platforms</w:t>
      </w:r>
      <w:r>
        <w:t xml:space="preserve">, and</w:t>
      </w:r>
      <w:r>
        <w:br/>
      </w:r>
      <w:r>
        <w:rPr>
          <w:b/>
          <w:bCs/>
        </w:rPr>
        <w:t xml:space="preserve">administrative/transactional environments</w:t>
      </w:r>
      <w:r>
        <w:t xml:space="preserve">.</w:t>
      </w:r>
    </w:p>
    <w:p>
      <w:pPr>
        <w:pStyle w:val="BodyText"/>
      </w:pPr>
      <w:r>
        <w:t xml:space="preserve">This matters because the same page length or image count means different things on different source types. A short M+ object page or D&amp;AD entry can still be high-value because it carries structured metadata and object identity, while a short generic blog post is usually weak. Archive-It’s own workflow starts from seed selection, scope definition, and crawl review rather than assuming all URLs behave alike.</w:t>
      </w:r>
      <w:r>
        <w:t xml:space="preserve"> </w:t>
      </w:r>
      <w:hyperlink r:id="rId35">
        <w:r>
          <w:rPr>
            <w:rStyle w:val="Hyperlink"/>
          </w:rPr>
          <w:t xml:space="preserve">[17]</w:t>
        </w:r>
      </w:hyperlink>
    </w:p>
    <w:p>
      <w:pPr>
        <w:pStyle w:val="BodyText"/>
      </w:pPr>
      <w:r>
        <w:t xml:space="preserve">For source-type defaults, the archive should treat museum collections, recognized archives, award databases, and designer-controlled project pages as</w:t>
      </w:r>
      <w:r>
        <w:t xml:space="preserve"> </w:t>
      </w:r>
      <w:r>
        <w:rPr>
          <w:b/>
          <w:bCs/>
        </w:rPr>
        <w:t xml:space="preserve">eligible by default</w:t>
      </w:r>
      <w:r>
        <w:t xml:space="preserve">, independent editorial/showcase sites as</w:t>
      </w:r>
      <w:r>
        <w:t xml:space="preserve"> </w:t>
      </w:r>
      <w:r>
        <w:rPr>
          <w:b/>
          <w:bCs/>
        </w:rPr>
        <w:t xml:space="preserve">eligible but downgraded unless corroborated</w:t>
      </w:r>
      <w:r>
        <w:t xml:space="preserve">, social-platform pages as</w:t>
      </w:r>
      <w:r>
        <w:t xml:space="preserve"> </w:t>
      </w:r>
      <w:r>
        <w:rPr>
          <w:b/>
          <w:bCs/>
        </w:rPr>
        <w:t xml:space="preserve">discovery-only by default</w:t>
      </w:r>
      <w:r>
        <w:t xml:space="preserve">, and jobs/legal/commerce pages as</w:t>
      </w:r>
      <w:r>
        <w:t xml:space="preserve"> </w:t>
      </w:r>
      <w:r>
        <w:rPr>
          <w:b/>
          <w:bCs/>
        </w:rPr>
        <w:t xml:space="preserve">exclude by default</w:t>
      </w:r>
      <w:r>
        <w:t xml:space="preserve">. That rule fits both archival appraisal logic and the observed platform designs of Behance, Pinterest, Are.na, Tumblr, and Instagram.</w:t>
      </w:r>
      <w:r>
        <w:t xml:space="preserve"> </w:t>
      </w:r>
      <w:hyperlink r:id="rId21">
        <w:r>
          <w:rPr>
            <w:rStyle w:val="Hyperlink"/>
          </w:rPr>
          <w:t xml:space="preserve">[18]</w:t>
        </w:r>
      </w:hyperlink>
    </w:p>
    <w:bookmarkEnd w:id="36"/>
    <w:bookmarkStart w:id="38" w:name="Xf8b08742043327f4945d26a478293620b089017"/>
    <w:p>
      <w:pPr>
        <w:pStyle w:val="Heading3"/>
      </w:pPr>
      <w:r>
        <w:t xml:space="preserve">Positive and negative title and URL signals</w:t>
      </w:r>
    </w:p>
    <w:p>
      <w:pPr>
        <w:pStyle w:val="FirstParagraph"/>
      </w:pPr>
      <w:r>
        <w:t xml:space="preserve">Scripts should use</w:t>
      </w:r>
      <w:r>
        <w:t xml:space="preserve"> </w:t>
      </w:r>
      <w:r>
        <w:rPr>
          <w:b/>
          <w:bCs/>
        </w:rPr>
        <w:t xml:space="preserve">pattern-based filtering</w:t>
      </w:r>
      <w:r>
        <w:t xml:space="preserve">, but only as a first pass. Good negative title/URL signals include strings such as</w:t>
      </w:r>
      <w:r>
        <w:t xml:space="preserve"> </w:t>
      </w:r>
      <w:r>
        <w:rPr>
          <w:rStyle w:val="VerbatimChar"/>
        </w:rPr>
        <w:t xml:space="preserve">jobs</w:t>
      </w:r>
      <w:r>
        <w:t xml:space="preserve">,</w:t>
      </w:r>
      <w:r>
        <w:t xml:space="preserve"> </w:t>
      </w:r>
      <w:r>
        <w:rPr>
          <w:rStyle w:val="VerbatimChar"/>
        </w:rPr>
        <w:t xml:space="preserve">joblist</w:t>
      </w:r>
      <w:r>
        <w:t xml:space="preserve">,</w:t>
      </w:r>
      <w:r>
        <w:t xml:space="preserve"> </w:t>
      </w:r>
      <w:r>
        <w:rPr>
          <w:rStyle w:val="VerbatimChar"/>
        </w:rPr>
        <w:t xml:space="preserve">hire</w:t>
      </w:r>
      <w:r>
        <w:t xml:space="preserve">,</w:t>
      </w:r>
      <w:r>
        <w:t xml:space="preserve"> </w:t>
      </w:r>
      <w:r>
        <w:rPr>
          <w:rStyle w:val="VerbatimChar"/>
        </w:rPr>
        <w:t xml:space="preserve">careers</w:t>
      </w:r>
      <w:r>
        <w:t xml:space="preserve">,</w:t>
      </w:r>
      <w:r>
        <w:t xml:space="preserve"> </w:t>
      </w:r>
      <w:r>
        <w:rPr>
          <w:rStyle w:val="VerbatimChar"/>
        </w:rPr>
        <w:t xml:space="preserve">tickets</w:t>
      </w:r>
      <w:r>
        <w:t xml:space="preserve">,</w:t>
      </w:r>
      <w:r>
        <w:t xml:space="preserve"> </w:t>
      </w:r>
      <w:r>
        <w:rPr>
          <w:rStyle w:val="VerbatimChar"/>
        </w:rPr>
        <w:t xml:space="preserve">preview party</w:t>
      </w:r>
      <w:r>
        <w:t xml:space="preserve">,</w:t>
      </w:r>
      <w:r>
        <w:t xml:space="preserve"> </w:t>
      </w:r>
      <w:r>
        <w:rPr>
          <w:rStyle w:val="VerbatimChar"/>
        </w:rPr>
        <w:t xml:space="preserve">press release</w:t>
      </w:r>
      <w:r>
        <w:t xml:space="preserve">,</w:t>
      </w:r>
      <w:r>
        <w:t xml:space="preserve"> </w:t>
      </w:r>
      <w:r>
        <w:rPr>
          <w:rStyle w:val="VerbatimChar"/>
        </w:rPr>
        <w:t xml:space="preserve">press-releases</w:t>
      </w:r>
      <w:r>
        <w:t xml:space="preserve">,</w:t>
      </w:r>
      <w:r>
        <w:t xml:space="preserve"> </w:t>
      </w:r>
      <w:r>
        <w:rPr>
          <w:rStyle w:val="VerbatimChar"/>
        </w:rPr>
        <w:t xml:space="preserve">register</w:t>
      </w:r>
      <w:r>
        <w:t xml:space="preserve">,</w:t>
      </w:r>
      <w:r>
        <w:t xml:space="preserve"> </w:t>
      </w:r>
      <w:r>
        <w:rPr>
          <w:rStyle w:val="VerbatimChar"/>
        </w:rPr>
        <w:t xml:space="preserve">call for entries</w:t>
      </w:r>
      <w:r>
        <w:t xml:space="preserve">,</w:t>
      </w:r>
      <w:r>
        <w:t xml:space="preserve"> </w:t>
      </w:r>
      <w:r>
        <w:rPr>
          <w:rStyle w:val="VerbatimChar"/>
        </w:rPr>
        <w:t xml:space="preserve">submission guide</w:t>
      </w:r>
      <w:r>
        <w:t xml:space="preserve">,</w:t>
      </w:r>
      <w:r>
        <w:t xml:space="preserve"> </w:t>
      </w:r>
      <w:r>
        <w:rPr>
          <w:rStyle w:val="VerbatimChar"/>
        </w:rPr>
        <w:t xml:space="preserve">terms</w:t>
      </w:r>
      <w:r>
        <w:t xml:space="preserve">,</w:t>
      </w:r>
      <w:r>
        <w:t xml:space="preserve"> </w:t>
      </w:r>
      <w:r>
        <w:rPr>
          <w:rStyle w:val="VerbatimChar"/>
        </w:rPr>
        <w:t xml:space="preserve">privacy</w:t>
      </w:r>
      <w:r>
        <w:t xml:space="preserve">,</w:t>
      </w:r>
      <w:r>
        <w:t xml:space="preserve"> </w:t>
      </w:r>
      <w:r>
        <w:rPr>
          <w:rStyle w:val="VerbatimChar"/>
        </w:rPr>
        <w:t xml:space="preserve">cookies</w:t>
      </w:r>
      <w:r>
        <w:t xml:space="preserve">,</w:t>
      </w:r>
      <w:r>
        <w:t xml:space="preserve"> </w:t>
      </w:r>
      <w:r>
        <w:rPr>
          <w:rStyle w:val="VerbatimChar"/>
        </w:rPr>
        <w:t xml:space="preserve">shipping</w:t>
      </w:r>
      <w:r>
        <w:t xml:space="preserve">,</w:t>
      </w:r>
      <w:r>
        <w:t xml:space="preserve"> </w:t>
      </w:r>
      <w:r>
        <w:rPr>
          <w:rStyle w:val="VerbatimChar"/>
        </w:rPr>
        <w:t xml:space="preserve">returns</w:t>
      </w:r>
      <w:r>
        <w:t xml:space="preserve">,</w:t>
      </w:r>
      <w:r>
        <w:t xml:space="preserve"> </w:t>
      </w:r>
      <w:r>
        <w:rPr>
          <w:rStyle w:val="VerbatimChar"/>
        </w:rPr>
        <w:t xml:space="preserve">cart</w:t>
      </w:r>
      <w:r>
        <w:t xml:space="preserve">,</w:t>
      </w:r>
      <w:r>
        <w:t xml:space="preserve"> </w:t>
      </w:r>
      <w:r>
        <w:rPr>
          <w:rStyle w:val="VerbatimChar"/>
        </w:rPr>
        <w:t xml:space="preserve">checkout</w:t>
      </w:r>
      <w:r>
        <w:t xml:space="preserve">,</w:t>
      </w:r>
      <w:r>
        <w:t xml:space="preserve"> </w:t>
      </w:r>
      <w:r>
        <w:rPr>
          <w:rStyle w:val="VerbatimChar"/>
        </w:rPr>
        <w:t xml:space="preserve">membership</w:t>
      </w:r>
      <w:r>
        <w:t xml:space="preserve">,</w:t>
      </w:r>
      <w:r>
        <w:t xml:space="preserve"> </w:t>
      </w:r>
      <w:r>
        <w:rPr>
          <w:rStyle w:val="VerbatimChar"/>
        </w:rPr>
        <w:t xml:space="preserve">donate</w:t>
      </w:r>
      <w:r>
        <w:t xml:space="preserve">,</w:t>
      </w:r>
      <w:r>
        <w:t xml:space="preserve"> </w:t>
      </w:r>
      <w:r>
        <w:rPr>
          <w:rStyle w:val="VerbatimChar"/>
        </w:rPr>
        <w:t xml:space="preserve">newsletter</w:t>
      </w:r>
      <w:r>
        <w:t xml:space="preserve">,</w:t>
      </w:r>
      <w:r>
        <w:t xml:space="preserve"> </w:t>
      </w:r>
      <w:r>
        <w:rPr>
          <w:rStyle w:val="VerbatimChar"/>
        </w:rPr>
        <w:t xml:space="preserve">subscribe</w:t>
      </w:r>
      <w:r>
        <w:t xml:space="preserve">,</w:t>
      </w:r>
      <w:r>
        <w:t xml:space="preserve"> </w:t>
      </w:r>
      <w:r>
        <w:rPr>
          <w:rStyle w:val="VerbatimChar"/>
        </w:rPr>
        <w:t xml:space="preserve">rfp</w:t>
      </w:r>
      <w:r>
        <w:t xml:space="preserve">, and</w:t>
      </w:r>
      <w:r>
        <w:t xml:space="preserve"> </w:t>
      </w:r>
      <w:r>
        <w:rPr>
          <w:rStyle w:val="VerbatimChar"/>
        </w:rPr>
        <w:t xml:space="preserve">tender</w:t>
      </w:r>
      <w:r>
        <w:t xml:space="preserve">. These patterns map closely to routine or transactional content and appear clearly on pages like Behance Jobs, Walker press-release pages, and event-ticket listings.</w:t>
      </w:r>
      <w:r>
        <w:t xml:space="preserve"> </w:t>
      </w:r>
      <w:hyperlink r:id="rId37">
        <w:r>
          <w:rPr>
            <w:rStyle w:val="Hyperlink"/>
          </w:rPr>
          <w:t xml:space="preserve">[19]</w:t>
        </w:r>
      </w:hyperlink>
    </w:p>
    <w:p>
      <w:pPr>
        <w:pStyle w:val="BodyText"/>
      </w:pPr>
      <w:r>
        <w:t xml:space="preserve">Good positive signals include terms such as</w:t>
      </w:r>
      <w:r>
        <w:t xml:space="preserve"> </w:t>
      </w:r>
      <w:r>
        <w:rPr>
          <w:rStyle w:val="VerbatimChar"/>
        </w:rPr>
        <w:t xml:space="preserve">poster</w:t>
      </w:r>
      <w:r>
        <w:t xml:space="preserve">,</w:t>
      </w:r>
      <w:r>
        <w:t xml:space="preserve"> </w:t>
      </w:r>
      <w:r>
        <w:rPr>
          <w:rStyle w:val="VerbatimChar"/>
        </w:rPr>
        <w:t xml:space="preserve">identity</w:t>
      </w:r>
      <w:r>
        <w:t xml:space="preserve">,</w:t>
      </w:r>
      <w:r>
        <w:t xml:space="preserve"> </w:t>
      </w:r>
      <w:r>
        <w:rPr>
          <w:rStyle w:val="VerbatimChar"/>
        </w:rPr>
        <w:t xml:space="preserve">visual identity</w:t>
      </w:r>
      <w:r>
        <w:t xml:space="preserve">,</w:t>
      </w:r>
      <w:r>
        <w:t xml:space="preserve"> </w:t>
      </w:r>
      <w:r>
        <w:rPr>
          <w:rStyle w:val="VerbatimChar"/>
        </w:rPr>
        <w:t xml:space="preserve">campaign</w:t>
      </w:r>
      <w:r>
        <w:t xml:space="preserve">,</w:t>
      </w:r>
      <w:r>
        <w:t xml:space="preserve"> </w:t>
      </w:r>
      <w:r>
        <w:rPr>
          <w:rStyle w:val="VerbatimChar"/>
        </w:rPr>
        <w:t xml:space="preserve">brochure</w:t>
      </w:r>
      <w:r>
        <w:t xml:space="preserve">,</w:t>
      </w:r>
      <w:r>
        <w:t xml:space="preserve"> </w:t>
      </w:r>
      <w:r>
        <w:rPr>
          <w:rStyle w:val="VerbatimChar"/>
        </w:rPr>
        <w:t xml:space="preserve">publication</w:t>
      </w:r>
      <w:r>
        <w:t xml:space="preserve">,</w:t>
      </w:r>
      <w:r>
        <w:t xml:space="preserve"> </w:t>
      </w:r>
      <w:r>
        <w:rPr>
          <w:rStyle w:val="VerbatimChar"/>
        </w:rPr>
        <w:t xml:space="preserve">magazine</w:t>
      </w:r>
      <w:r>
        <w:t xml:space="preserve">,</w:t>
      </w:r>
      <w:r>
        <w:t xml:space="preserve"> </w:t>
      </w:r>
      <w:r>
        <w:rPr>
          <w:rStyle w:val="VerbatimChar"/>
        </w:rPr>
        <w:t xml:space="preserve">book</w:t>
      </w:r>
      <w:r>
        <w:t xml:space="preserve">,</w:t>
      </w:r>
      <w:r>
        <w:t xml:space="preserve"> </w:t>
      </w:r>
      <w:r>
        <w:rPr>
          <w:rStyle w:val="VerbatimChar"/>
        </w:rPr>
        <w:t xml:space="preserve">typeface</w:t>
      </w:r>
      <w:r>
        <w:t xml:space="preserve">,</w:t>
      </w:r>
      <w:r>
        <w:t xml:space="preserve"> </w:t>
      </w:r>
      <w:r>
        <w:rPr>
          <w:rStyle w:val="VerbatimChar"/>
        </w:rPr>
        <w:t xml:space="preserve">type specimen</w:t>
      </w:r>
      <w:r>
        <w:t xml:space="preserve">,</w:t>
      </w:r>
      <w:r>
        <w:t xml:space="preserve"> </w:t>
      </w:r>
      <w:r>
        <w:rPr>
          <w:rStyle w:val="VerbatimChar"/>
        </w:rPr>
        <w:t xml:space="preserve">signage</w:t>
      </w:r>
      <w:r>
        <w:t xml:space="preserve">,</w:t>
      </w:r>
      <w:r>
        <w:t xml:space="preserve"> </w:t>
      </w:r>
      <w:r>
        <w:rPr>
          <w:rStyle w:val="VerbatimChar"/>
        </w:rPr>
        <w:t xml:space="preserve">wayfinding</w:t>
      </w:r>
      <w:r>
        <w:t xml:space="preserve">,</w:t>
      </w:r>
      <w:r>
        <w:t xml:space="preserve"> </w:t>
      </w:r>
      <w:r>
        <w:rPr>
          <w:rStyle w:val="VerbatimChar"/>
        </w:rPr>
        <w:t xml:space="preserve">title sequence</w:t>
      </w:r>
      <w:r>
        <w:t xml:space="preserve">,</w:t>
      </w:r>
      <w:r>
        <w:t xml:space="preserve"> </w:t>
      </w:r>
      <w:r>
        <w:rPr>
          <w:rStyle w:val="VerbatimChar"/>
        </w:rPr>
        <w:t xml:space="preserve">motion</w:t>
      </w:r>
      <w:r>
        <w:t xml:space="preserve">,</w:t>
      </w:r>
      <w:r>
        <w:t xml:space="preserve"> </w:t>
      </w:r>
      <w:r>
        <w:rPr>
          <w:rStyle w:val="VerbatimChar"/>
        </w:rPr>
        <w:t xml:space="preserve">UI</w:t>
      </w:r>
      <w:r>
        <w:t xml:space="preserve">,</w:t>
      </w:r>
      <w:r>
        <w:t xml:space="preserve"> </w:t>
      </w:r>
      <w:r>
        <w:rPr>
          <w:rStyle w:val="VerbatimChar"/>
        </w:rPr>
        <w:t xml:space="preserve">icon</w:t>
      </w:r>
      <w:r>
        <w:t xml:space="preserve">,</w:t>
      </w:r>
      <w:r>
        <w:t xml:space="preserve"> </w:t>
      </w:r>
      <w:r>
        <w:rPr>
          <w:rStyle w:val="VerbatimChar"/>
        </w:rPr>
        <w:t xml:space="preserve">archive</w:t>
      </w:r>
      <w:r>
        <w:t xml:space="preserve">,</w:t>
      </w:r>
      <w:r>
        <w:t xml:space="preserve"> </w:t>
      </w:r>
      <w:r>
        <w:rPr>
          <w:rStyle w:val="VerbatimChar"/>
        </w:rPr>
        <w:t xml:space="preserve">collection</w:t>
      </w:r>
      <w:r>
        <w:t xml:space="preserve">,</w:t>
      </w:r>
      <w:r>
        <w:t xml:space="preserve"> </w:t>
      </w:r>
      <w:r>
        <w:rPr>
          <w:rStyle w:val="VerbatimChar"/>
        </w:rPr>
        <w:t xml:space="preserve">object</w:t>
      </w:r>
      <w:r>
        <w:t xml:space="preserve">,</w:t>
      </w:r>
      <w:r>
        <w:t xml:space="preserve"> </w:t>
      </w:r>
      <w:r>
        <w:rPr>
          <w:rStyle w:val="VerbatimChar"/>
        </w:rPr>
        <w:t xml:space="preserve">credits</w:t>
      </w:r>
      <w:r>
        <w:t xml:space="preserve">,</w:t>
      </w:r>
      <w:r>
        <w:t xml:space="preserve"> </w:t>
      </w:r>
      <w:r>
        <w:rPr>
          <w:rStyle w:val="VerbatimChar"/>
        </w:rPr>
        <w:t xml:space="preserve">designed by</w:t>
      </w:r>
      <w:r>
        <w:t xml:space="preserve">,</w:t>
      </w:r>
      <w:r>
        <w:t xml:space="preserve"> </w:t>
      </w:r>
      <w:r>
        <w:rPr>
          <w:rStyle w:val="VerbatimChar"/>
        </w:rPr>
        <w:t xml:space="preserve">commissioned by</w:t>
      </w:r>
      <w:r>
        <w:t xml:space="preserve">,</w:t>
      </w:r>
      <w:r>
        <w:t xml:space="preserve"> </w:t>
      </w:r>
      <w:r>
        <w:rPr>
          <w:rStyle w:val="VerbatimChar"/>
        </w:rPr>
        <w:t xml:space="preserve">year</w:t>
      </w:r>
      <w:r>
        <w:t xml:space="preserve">,</w:t>
      </w:r>
      <w:r>
        <w:t xml:space="preserve"> </w:t>
      </w:r>
      <w:r>
        <w:rPr>
          <w:rStyle w:val="VerbatimChar"/>
        </w:rPr>
        <w:t xml:space="preserve">medium</w:t>
      </w:r>
      <w:r>
        <w:t xml:space="preserve">,</w:t>
      </w:r>
      <w:r>
        <w:t xml:space="preserve"> </w:t>
      </w:r>
      <w:r>
        <w:rPr>
          <w:rStyle w:val="VerbatimChar"/>
        </w:rPr>
        <w:t xml:space="preserve">designer</w:t>
      </w:r>
      <w:r>
        <w:t xml:space="preserve">,</w:t>
      </w:r>
      <w:r>
        <w:t xml:space="preserve"> </w:t>
      </w:r>
      <w:r>
        <w:rPr>
          <w:rStyle w:val="VerbatimChar"/>
        </w:rPr>
        <w:t xml:space="preserve">client</w:t>
      </w:r>
      <w:r>
        <w:t xml:space="preserve">, and category labels such as</w:t>
      </w:r>
      <w:r>
        <w:t xml:space="preserve"> </w:t>
      </w:r>
      <w:r>
        <w:rPr>
          <w:rStyle w:val="VerbatimChar"/>
        </w:rPr>
        <w:t xml:space="preserve">Graphics</w:t>
      </w:r>
      <w:r>
        <w:t xml:space="preserve">,</w:t>
      </w:r>
      <w:r>
        <w:t xml:space="preserve"> </w:t>
      </w:r>
      <w:r>
        <w:rPr>
          <w:rStyle w:val="VerbatimChar"/>
        </w:rPr>
        <w:t xml:space="preserve">Typography</w:t>
      </w:r>
      <w:r>
        <w:t xml:space="preserve">,</w:t>
      </w:r>
      <w:r>
        <w:t xml:space="preserve"> </w:t>
      </w:r>
      <w:r>
        <w:rPr>
          <w:rStyle w:val="VerbatimChar"/>
        </w:rPr>
        <w:t xml:space="preserve">Design</w:t>
      </w:r>
      <w:r>
        <w:t xml:space="preserve">,</w:t>
      </w:r>
      <w:r>
        <w:t xml:space="preserve"> </w:t>
      </w:r>
      <w:r>
        <w:rPr>
          <w:rStyle w:val="VerbatimChar"/>
        </w:rPr>
        <w:t xml:space="preserve">M+ Archives</w:t>
      </w:r>
      <w:r>
        <w:t xml:space="preserve">,</w:t>
      </w:r>
      <w:r>
        <w:t xml:space="preserve"> </w:t>
      </w:r>
      <w:r>
        <w:rPr>
          <w:rStyle w:val="VerbatimChar"/>
        </w:rPr>
        <w:t xml:space="preserve">Review</w:t>
      </w:r>
      <w:r>
        <w:t xml:space="preserve">,</w:t>
      </w:r>
      <w:r>
        <w:t xml:space="preserve"> </w:t>
      </w:r>
      <w:r>
        <w:rPr>
          <w:rStyle w:val="VerbatimChar"/>
        </w:rPr>
        <w:t xml:space="preserve">Critique</w:t>
      </w:r>
      <w:r>
        <w:t xml:space="preserve">, or</w:t>
      </w:r>
      <w:r>
        <w:t xml:space="preserve"> </w:t>
      </w:r>
      <w:r>
        <w:rPr>
          <w:rStyle w:val="VerbatimChar"/>
        </w:rPr>
        <w:t xml:space="preserve">Online Archive</w:t>
      </w:r>
      <w:r>
        <w:t xml:space="preserve">. These are not guarantees of inclusion, but they are strong priors because they align with the vocabularies used by contemporary design archives and publications.</w:t>
      </w:r>
      <w:r>
        <w:t xml:space="preserve"> </w:t>
      </w:r>
      <w:hyperlink r:id="rId23">
        <w:r>
          <w:rPr>
            <w:rStyle w:val="Hyperlink"/>
          </w:rPr>
          <w:t xml:space="preserve">[20]</w:t>
        </w:r>
      </w:hyperlink>
    </w:p>
    <w:bookmarkEnd w:id="38"/>
    <w:bookmarkStart w:id="39" w:name="content-and-evidence-checks"/>
    <w:p>
      <w:pPr>
        <w:pStyle w:val="Heading3"/>
      </w:pPr>
      <w:r>
        <w:t xml:space="preserve">Content and evidence checks</w:t>
      </w:r>
    </w:p>
    <w:p>
      <w:pPr>
        <w:pStyle w:val="FirstParagraph"/>
      </w:pPr>
      <w:r>
        <w:t xml:space="preserve">A candidate should normally be auto-included only if it has</w:t>
      </w:r>
      <w:r>
        <w:t xml:space="preserve"> </w:t>
      </w:r>
      <w:r>
        <w:rPr>
          <w:b/>
          <w:bCs/>
        </w:rPr>
        <w:t xml:space="preserve">either</w:t>
      </w:r>
      <w:r>
        <w:t xml:space="preserve"> </w:t>
      </w:r>
      <w:r>
        <w:t xml:space="preserve">visible design media</w:t>
      </w:r>
      <w:r>
        <w:t xml:space="preserve"> </w:t>
      </w:r>
      <w:r>
        <w:rPr>
          <w:b/>
          <w:bCs/>
        </w:rPr>
        <w:t xml:space="preserve">or</w:t>
      </w:r>
      <w:r>
        <w:t xml:space="preserve"> </w:t>
      </w:r>
      <w:r>
        <w:t xml:space="preserve">strong structured design metadata. For most page types, the script should look for at least one of the following: artifact image gallery, scan, embedded motion/video, specimen image, poster/publication thumbnail set, or collection media; plus at least two contextual fields among designer, studio, client/commissioner, year/date, category/object type, medium, country/location, or award context. This mirrors the strong record behavior seen in D&amp;AD and M+ pages.</w:t>
      </w:r>
      <w:r>
        <w:t xml:space="preserve"> </w:t>
      </w:r>
      <w:hyperlink r:id="rId26">
        <w:r>
          <w:rPr>
            <w:rStyle w:val="Hyperlink"/>
          </w:rPr>
          <w:t xml:space="preserve">[21]</w:t>
        </w:r>
      </w:hyperlink>
    </w:p>
    <w:p>
      <w:pPr>
        <w:pStyle w:val="BodyText"/>
      </w:pPr>
      <w:r>
        <w:t xml:space="preserve">Content-length rules should be</w:t>
      </w:r>
      <w:r>
        <w:t xml:space="preserve"> </w:t>
      </w:r>
      <w:r>
        <w:rPr>
          <w:b/>
          <w:bCs/>
        </w:rPr>
        <w:t xml:space="preserve">source-sensitive</w:t>
      </w:r>
      <w:r>
        <w:t xml:space="preserve">. As a default engineering heuristic, pages with fewer than roughly 120–150 visible words should be excluded unless they are structured object or award records. Pages in the 150–300 word range should be downgraded unless they contain strong metadata and artifact media. Longer pages should still be filtered if they are mostly ticketing, admin copy, or SEO boilerplate. This rule prevents the crawler from swallowing thin blog posts while preserving short-form but metadata-rich records.</w:t>
      </w:r>
    </w:p>
    <w:p>
      <w:pPr>
        <w:pStyle w:val="BodyText"/>
      </w:pPr>
      <w:r>
        <w:t xml:space="preserve">For design writing, the script should accept text-heavy pages without large galleries</w:t>
      </w:r>
      <w:r>
        <w:t xml:space="preserve"> </w:t>
      </w:r>
      <w:r>
        <w:rPr>
          <w:b/>
          <w:bCs/>
        </w:rPr>
        <w:t xml:space="preserve">only if</w:t>
      </w:r>
      <w:r>
        <w:t xml:space="preserve"> </w:t>
      </w:r>
      <w:r>
        <w:t xml:space="preserve">they contain substantial named discussion of works, designers, publications, exhibitions, or movements. Eye and Walker are good models here: they frame concrete design discourse, rather than generic “inspiration” aggregation.</w:t>
      </w:r>
      <w:r>
        <w:t xml:space="preserve"> </w:t>
      </w:r>
      <w:hyperlink r:id="rId33">
        <w:r>
          <w:rPr>
            <w:rStyle w:val="Hyperlink"/>
          </w:rPr>
          <w:t xml:space="preserve">[22]</w:t>
        </w:r>
      </w:hyperlink>
    </w:p>
    <w:bookmarkEnd w:id="39"/>
    <w:bookmarkStart w:id="41" w:name="taxonomy-and-structured-data-checks"/>
    <w:p>
      <w:pPr>
        <w:pStyle w:val="Heading3"/>
      </w:pPr>
      <w:r>
        <w:t xml:space="preserve">Taxonomy and structured-data checks</w:t>
      </w:r>
    </w:p>
    <w:p>
      <w:pPr>
        <w:pStyle w:val="FirstParagraph"/>
      </w:pPr>
      <w:r>
        <w:t xml:space="preserve">Where available, scripts should parse on-page taxonomies and structured cues. Positive examples include D&amp;AD’s</w:t>
      </w:r>
      <w:r>
        <w:t xml:space="preserve"> </w:t>
      </w:r>
      <w:r>
        <w:rPr>
          <w:rStyle w:val="VerbatimChar"/>
        </w:rPr>
        <w:t xml:space="preserve">Categories</w:t>
      </w:r>
      <w:r>
        <w:t xml:space="preserve">,</w:t>
      </w:r>
      <w:r>
        <w:t xml:space="preserve"> </w:t>
      </w:r>
      <w:r>
        <w:rPr>
          <w:rStyle w:val="VerbatimChar"/>
        </w:rPr>
        <w:t xml:space="preserve">Year</w:t>
      </w:r>
      <w:r>
        <w:t xml:space="preserve">, and</w:t>
      </w:r>
      <w:r>
        <w:t xml:space="preserve"> </w:t>
      </w:r>
      <w:r>
        <w:rPr>
          <w:rStyle w:val="VerbatimChar"/>
        </w:rPr>
        <w:t xml:space="preserve">Credits</w:t>
      </w:r>
      <w:r>
        <w:t xml:space="preserve">; M+’s</w:t>
      </w:r>
      <w:r>
        <w:t xml:space="preserve"> </w:t>
      </w:r>
      <w:r>
        <w:rPr>
          <w:rStyle w:val="VerbatimChar"/>
        </w:rPr>
        <w:t xml:space="preserve">Object Type</w:t>
      </w:r>
      <w:r>
        <w:t xml:space="preserve">,</w:t>
      </w:r>
      <w:r>
        <w:t xml:space="preserve"> </w:t>
      </w:r>
      <w:r>
        <w:rPr>
          <w:rStyle w:val="VerbatimChar"/>
        </w:rPr>
        <w:t xml:space="preserve">Related Makers</w:t>
      </w:r>
      <w:r>
        <w:t xml:space="preserve">,</w:t>
      </w:r>
      <w:r>
        <w:t xml:space="preserve"> </w:t>
      </w:r>
      <w:r>
        <w:rPr>
          <w:rStyle w:val="VerbatimChar"/>
        </w:rPr>
        <w:t xml:space="preserve">Date</w:t>
      </w:r>
      <w:r>
        <w:t xml:space="preserve">,</w:t>
      </w:r>
      <w:r>
        <w:t xml:space="preserve"> </w:t>
      </w:r>
      <w:r>
        <w:rPr>
          <w:rStyle w:val="VerbatimChar"/>
        </w:rPr>
        <w:t xml:space="preserve">Medium</w:t>
      </w:r>
      <w:r>
        <w:t xml:space="preserve">, and</w:t>
      </w:r>
      <w:r>
        <w:t xml:space="preserve"> </w:t>
      </w:r>
      <w:r>
        <w:rPr>
          <w:rStyle w:val="VerbatimChar"/>
        </w:rPr>
        <w:t xml:space="preserve">Collection</w:t>
      </w:r>
      <w:r>
        <w:t xml:space="preserve">; Letterform’s format/country/designer/decade vocabulary; Eye’s</w:t>
      </w:r>
      <w:r>
        <w:t xml:space="preserve"> </w:t>
      </w:r>
      <w:r>
        <w:rPr>
          <w:rStyle w:val="VerbatimChar"/>
        </w:rPr>
        <w:t xml:space="preserve">Review</w:t>
      </w:r>
      <w:r>
        <w:t xml:space="preserve"> </w:t>
      </w:r>
      <w:r>
        <w:t xml:space="preserve">or</w:t>
      </w:r>
      <w:r>
        <w:t xml:space="preserve"> </w:t>
      </w:r>
      <w:r>
        <w:rPr>
          <w:rStyle w:val="VerbatimChar"/>
        </w:rPr>
        <w:t xml:space="preserve">Critique</w:t>
      </w:r>
      <w:r>
        <w:t xml:space="preserve">; and archive/publication section labels such as</w:t>
      </w:r>
      <w:r>
        <w:t xml:space="preserve"> </w:t>
      </w:r>
      <w:r>
        <w:rPr>
          <w:rStyle w:val="VerbatimChar"/>
        </w:rPr>
        <w:t xml:space="preserve">M+ Archives</w:t>
      </w:r>
      <w:r>
        <w:t xml:space="preserve">,</w:t>
      </w:r>
      <w:r>
        <w:t xml:space="preserve"> </w:t>
      </w:r>
      <w:r>
        <w:rPr>
          <w:rStyle w:val="VerbatimChar"/>
        </w:rPr>
        <w:t xml:space="preserve">Online Archive</w:t>
      </w:r>
      <w:r>
        <w:t xml:space="preserve">, or</w:t>
      </w:r>
      <w:r>
        <w:t xml:space="preserve"> </w:t>
      </w:r>
      <w:r>
        <w:rPr>
          <w:rStyle w:val="VerbatimChar"/>
        </w:rPr>
        <w:t xml:space="preserve">Design and Architecture</w:t>
      </w:r>
      <w:r>
        <w:t xml:space="preserve">. These are far more reliable than sitewide domain reputation alone.</w:t>
      </w:r>
      <w:r>
        <w:t xml:space="preserve"> </w:t>
      </w:r>
      <w:hyperlink r:id="rId26">
        <w:r>
          <w:rPr>
            <w:rStyle w:val="Hyperlink"/>
          </w:rPr>
          <w:t xml:space="preserve">[23]</w:t>
        </w:r>
      </w:hyperlink>
    </w:p>
    <w:p>
      <w:pPr>
        <w:pStyle w:val="BodyText"/>
      </w:pPr>
      <w:r>
        <w:t xml:space="preserve">Conversely, scripts should use negative taxonomy cues to lower rank or exclude pages under site sections such as</w:t>
      </w:r>
      <w:r>
        <w:t xml:space="preserve"> </w:t>
      </w:r>
      <w:r>
        <w:rPr>
          <w:rStyle w:val="VerbatimChar"/>
        </w:rPr>
        <w:t xml:space="preserve">Press</w:t>
      </w:r>
      <w:r>
        <w:t xml:space="preserve">,</w:t>
      </w:r>
      <w:r>
        <w:t xml:space="preserve"> </w:t>
      </w:r>
      <w:r>
        <w:rPr>
          <w:rStyle w:val="VerbatimChar"/>
        </w:rPr>
        <w:t xml:space="preserve">Events</w:t>
      </w:r>
      <w:r>
        <w:t xml:space="preserve">,</w:t>
      </w:r>
      <w:r>
        <w:t xml:space="preserve"> </w:t>
      </w:r>
      <w:r>
        <w:rPr>
          <w:rStyle w:val="VerbatimChar"/>
        </w:rPr>
        <w:t xml:space="preserve">Shop</w:t>
      </w:r>
      <w:r>
        <w:t xml:space="preserve">,</w:t>
      </w:r>
      <w:r>
        <w:t xml:space="preserve"> </w:t>
      </w:r>
      <w:r>
        <w:rPr>
          <w:rStyle w:val="VerbatimChar"/>
        </w:rPr>
        <w:t xml:space="preserve">Jobs</w:t>
      </w:r>
      <w:r>
        <w:t xml:space="preserve">,</w:t>
      </w:r>
      <w:r>
        <w:t xml:space="preserve"> </w:t>
      </w:r>
      <w:r>
        <w:rPr>
          <w:rStyle w:val="VerbatimChar"/>
        </w:rPr>
        <w:t xml:space="preserve">Membership</w:t>
      </w:r>
      <w:r>
        <w:t xml:space="preserve">, and</w:t>
      </w:r>
      <w:r>
        <w:t xml:space="preserve"> </w:t>
      </w:r>
      <w:r>
        <w:rPr>
          <w:rStyle w:val="VerbatimChar"/>
        </w:rPr>
        <w:t xml:space="preserve">Help</w:t>
      </w:r>
      <w:r>
        <w:t xml:space="preserve">, unless the page independently passes a strong evidence threshold. Walker’s preview-party release and Letterform’s event ticket page show why section-level downweighting is useful.</w:t>
      </w:r>
      <w:r>
        <w:t xml:space="preserve"> </w:t>
      </w:r>
      <w:hyperlink r:id="rId40">
        <w:r>
          <w:rPr>
            <w:rStyle w:val="Hyperlink"/>
          </w:rPr>
          <w:t xml:space="preserve">[24]</w:t>
        </w:r>
      </w:hyperlink>
    </w:p>
    <w:bookmarkEnd w:id="41"/>
    <w:bookmarkStart w:id="42" w:name="date-logic-and-capture-logic"/>
    <w:p>
      <w:pPr>
        <w:pStyle w:val="Heading3"/>
      </w:pPr>
      <w:r>
        <w:t xml:space="preserve">Date logic and capture logic</w:t>
      </w:r>
    </w:p>
    <w:p>
      <w:pPr>
        <w:pStyle w:val="FirstParagraph"/>
      </w:pPr>
      <w:r>
        <w:t xml:space="preserve">The script should distinguish between</w:t>
      </w:r>
      <w:r>
        <w:t xml:space="preserve"> </w:t>
      </w:r>
      <w:r>
        <w:rPr>
          <w:b/>
          <w:bCs/>
        </w:rPr>
        <w:t xml:space="preserve">publication/update date</w:t>
      </w:r>
      <w:r>
        <w:t xml:space="preserve"> </w:t>
      </w:r>
      <w:r>
        <w:t xml:space="preserve">and</w:t>
      </w:r>
      <w:r>
        <w:t xml:space="preserve"> </w:t>
      </w:r>
      <w:r>
        <w:rPr>
          <w:b/>
          <w:bCs/>
        </w:rPr>
        <w:t xml:space="preserve">design date</w:t>
      </w:r>
      <w:r>
        <w:t xml:space="preserve"> </w:t>
      </w:r>
      <w:r>
        <w:t xml:space="preserve">whenever possible. For object records and award pages, capture both. For studio/project pages, prefer the project year over the page update time. If a page has only “updated 2026” but gives no project date, it should be downgraded until corroborated. For long-lived websites that are themselves the object of capture, save the crawl date, the earliest recoverable publication date, and the access URL history if available. LOC explicitly treats websites as time-based snapshots rather than static documents, and its program aims to preserve how sites looked and functioned at a particular moment.</w:t>
      </w:r>
      <w:r>
        <w:t xml:space="preserve"> </w:t>
      </w:r>
      <w:hyperlink r:id="rId24">
        <w:r>
          <w:rPr>
            <w:rStyle w:val="Hyperlink"/>
          </w:rPr>
          <w:t xml:space="preserve">[25]</w:t>
        </w:r>
      </w:hyperlink>
    </w:p>
    <w:p>
      <w:pPr>
        <w:pStyle w:val="BodyText"/>
      </w:pPr>
      <w:r>
        <w:t xml:space="preserve">Finally, scripts should not silently fail on dynamic content. LOC notes that deep-web, form-driven, scripted, streaming, paywalled, and registration-gated material may require other acquisition methods, and Archive-It recommends specific seeds, test crawls, and post-crawl QA because different platforms require different capture strategies. So pages with interaction-heavy or media-heavy content should trigger a</w:t>
      </w:r>
      <w:r>
        <w:t xml:space="preserve"> </w:t>
      </w:r>
      <w:r>
        <w:rPr>
          <w:b/>
          <w:bCs/>
        </w:rPr>
        <w:t xml:space="preserve">capture-feasibility flag</w:t>
      </w:r>
      <w:r>
        <w:t xml:space="preserve">, not a simple discard.</w:t>
      </w:r>
      <w:r>
        <w:t xml:space="preserve"> </w:t>
      </w:r>
      <w:hyperlink r:id="rId24">
        <w:r>
          <w:rPr>
            <w:rStyle w:val="Hyperlink"/>
          </w:rPr>
          <w:t xml:space="preserve">[26]</w:t>
        </w:r>
      </w:hyperlink>
    </w:p>
    <w:bookmarkEnd w:id="42"/>
    <w:bookmarkEnd w:id="43"/>
    <w:bookmarkStart w:id="52" w:name="Xdbac3604e48f41d42081c51137694b36b580378"/>
    <w:p>
      <w:pPr>
        <w:pStyle w:val="Heading2"/>
      </w:pPr>
      <w:r>
        <w:t xml:space="preserve">Manual-review triggers and worked examples</w:t>
      </w:r>
    </w:p>
    <w:p>
      <w:pPr>
        <w:pStyle w:val="FirstParagraph"/>
      </w:pPr>
      <w:r>
        <w:t xml:space="preserve">Manual review should be triggered when the page appears historically valuable but does not satisfy the automated metadata threshold. The most important triggers are these.</w:t>
      </w:r>
    </w:p>
    <w:p>
      <w:pPr>
        <w:pStyle w:val="BodyText"/>
      </w:pPr>
      <w:r>
        <w:rPr>
          <w:b/>
          <w:bCs/>
        </w:rPr>
        <w:t xml:space="preserve">Sparse but plausible local/community records.</w:t>
      </w:r>
      <w:r>
        <w:t xml:space="preserve"> </w:t>
      </w:r>
      <w:r>
        <w:t xml:space="preserve">If a page is community-run, activist, local, multilingual, or clearly about a shared cultural history, do not let missing fields alone exclude it. Community-archive guidance and CLIR’s 2026 report both show that under-resourced and community-based preservation work often operates outside the metadata norms of large institutions.</w:t>
      </w:r>
      <w:r>
        <w:t xml:space="preserve"> </w:t>
      </w:r>
      <w:hyperlink r:id="rId44">
        <w:r>
          <w:rPr>
            <w:rStyle w:val="Hyperlink"/>
          </w:rPr>
          <w:t xml:space="preserve">[27]</w:t>
        </w:r>
      </w:hyperlink>
    </w:p>
    <w:p>
      <w:pPr>
        <w:pStyle w:val="BodyText"/>
      </w:pPr>
      <w:r>
        <w:rPr>
          <w:b/>
          <w:bCs/>
        </w:rPr>
        <w:t xml:space="preserve">Anonymous or collective design practice.</w:t>
      </w:r>
      <w:r>
        <w:t xml:space="preserve"> </w:t>
      </w:r>
      <w:r>
        <w:t xml:space="preserve">V&amp;A explicitly values posters by anonymous activists, so the absence of a named celebrity designer should not count against an item if the social, movement, or community context is clear.</w:t>
      </w:r>
      <w:r>
        <w:t xml:space="preserve"> </w:t>
      </w:r>
      <w:hyperlink r:id="rId45">
        <w:r>
          <w:rPr>
            <w:rStyle w:val="Hyperlink"/>
          </w:rPr>
          <w:t xml:space="preserve">[28]</w:t>
        </w:r>
      </w:hyperlink>
    </w:p>
    <w:p>
      <w:pPr>
        <w:pStyle w:val="BodyText"/>
      </w:pPr>
      <w:r>
        <w:rPr>
          <w:b/>
          <w:bCs/>
        </w:rPr>
        <w:t xml:space="preserve">Strong visuals, weak context.</w:t>
      </w:r>
      <w:r>
        <w:t xml:space="preserve"> </w:t>
      </w:r>
      <w:r>
        <w:t xml:space="preserve">A studio page, local exhibition page, or flyer scan with convincing artifact images but incomplete credits should be reviewed manually and potentially retained as a minimal record pending enrichment.</w:t>
      </w:r>
    </w:p>
    <w:p>
      <w:pPr>
        <w:pStyle w:val="BodyText"/>
      </w:pPr>
      <w:r>
        <w:rPr>
          <w:b/>
          <w:bCs/>
        </w:rPr>
        <w:t xml:space="preserve">Social copy as only surviving witness.</w:t>
      </w:r>
      <w:r>
        <w:t xml:space="preserve"> </w:t>
      </w:r>
      <w:r>
        <w:t xml:space="preserve">A Pin, reblog, or repost should not be indexed as the main evidence record by default. But if it is the only discoverable witness to a disappeared local poster, short-lived campaign, or community-made visual system, keep it as a downgraded surrogate and attempt to trace the origin. This is an inference from the at-risk nature of web content and the instability of social-platform metadata, not a claim that all social posts are archival records.</w:t>
      </w:r>
      <w:r>
        <w:t xml:space="preserve"> </w:t>
      </w:r>
      <w:hyperlink r:id="rId46">
        <w:r>
          <w:rPr>
            <w:rStyle w:val="Hyperlink"/>
          </w:rPr>
          <w:t xml:space="preserve">[29]</w:t>
        </w:r>
      </w:hyperlink>
    </w:p>
    <w:p>
      <w:pPr>
        <w:pStyle w:val="BodyText"/>
      </w:pPr>
      <w:r>
        <w:rPr>
          <w:b/>
          <w:bCs/>
        </w:rPr>
        <w:t xml:space="preserve">JS-heavy and interactive design objects.</w:t>
      </w:r>
      <w:r>
        <w:t xml:space="preserve"> </w:t>
      </w:r>
      <w:r>
        <w:t xml:space="preserve">Interface systems, motion graphics, code-based works, and site-specific digital experiences deserve review even when automated capture is incomplete, because contemporary design collections increasingly treat interfaces and digital objects as part of design history.</w:t>
      </w:r>
      <w:r>
        <w:t xml:space="preserve"> </w:t>
      </w:r>
      <w:hyperlink r:id="rId47">
        <w:r>
          <w:rPr>
            <w:rStyle w:val="Hyperlink"/>
          </w:rPr>
          <w:t xml:space="preserve">[30]</w:t>
        </w:r>
      </w:hyperlink>
    </w:p>
    <w:p>
      <w:pPr>
        <w:pStyle w:val="BodyText"/>
      </w:pPr>
      <w:r>
        <w:t xml:space="preserve">Worked examples make the banding clearer:</w:t>
      </w:r>
    </w:p>
    <w:p>
      <w:pPr>
        <w:pStyle w:val="BodyText"/>
      </w:pPr>
      <w:r>
        <w:rPr>
          <w:b/>
          <w:bCs/>
        </w:rPr>
        <w:t xml:space="preserve">Include.</w:t>
      </w:r>
      <w:r>
        <w:t xml:space="preserve"> </w:t>
      </w:r>
      <w:r>
        <w:t xml:space="preserve">An M+ object page for</w:t>
      </w:r>
      <w:r>
        <w:t xml:space="preserve"> </w:t>
      </w:r>
      <w:r>
        <w:rPr>
          <w:i/>
          <w:iCs/>
        </w:rPr>
        <w:t xml:space="preserve">Progress Hong Kong</w:t>
      </w:r>
      <w:r>
        <w:t xml:space="preserve"> </w:t>
      </w:r>
      <w:r>
        <w:t xml:space="preserve">name tags or brochure should be included because it provides object type, designer, commissioner, year, medium, and collection context, while also documenting a cross-media identity system.</w:t>
      </w:r>
      <w:r>
        <w:t xml:space="preserve"> </w:t>
      </w:r>
      <w:hyperlink r:id="rId48">
        <w:r>
          <w:rPr>
            <w:rStyle w:val="Hyperlink"/>
          </w:rPr>
          <w:t xml:space="preserve">[31]</w:t>
        </w:r>
      </w:hyperlink>
    </w:p>
    <w:p>
      <w:pPr>
        <w:pStyle w:val="BodyText"/>
      </w:pPr>
      <w:r>
        <w:rPr>
          <w:b/>
          <w:bCs/>
        </w:rPr>
        <w:t xml:space="preserve">Include.</w:t>
      </w:r>
      <w:r>
        <w:t xml:space="preserve"> </w:t>
      </w:r>
      <w:r>
        <w:t xml:space="preserve">A D&amp;AD entry such as</w:t>
      </w:r>
      <w:r>
        <w:t xml:space="preserve"> </w:t>
      </w:r>
      <w:r>
        <w:rPr>
          <w:i/>
          <w:iCs/>
        </w:rPr>
        <w:t xml:space="preserve">Project R</w:t>
      </w:r>
      <w:r>
        <w:t xml:space="preserve"> </w:t>
      </w:r>
      <w:r>
        <w:t xml:space="preserve">or</w:t>
      </w:r>
      <w:r>
        <w:t xml:space="preserve"> </w:t>
      </w:r>
      <w:r>
        <w:rPr>
          <w:i/>
          <w:iCs/>
        </w:rPr>
        <w:t xml:space="preserve">The Font of Kindness</w:t>
      </w:r>
      <w:r>
        <w:t xml:space="preserve"> </w:t>
      </w:r>
      <w:r>
        <w:t xml:space="preserve">should be included because it supplies year, category, client, credits, and media, making it a structured campaign/type record rather than a simple publicity page.</w:t>
      </w:r>
      <w:r>
        <w:t xml:space="preserve"> </w:t>
      </w:r>
      <w:hyperlink r:id="rId26">
        <w:r>
          <w:rPr>
            <w:rStyle w:val="Hyperlink"/>
          </w:rPr>
          <w:t xml:space="preserve">[32]</w:t>
        </w:r>
      </w:hyperlink>
    </w:p>
    <w:p>
      <w:pPr>
        <w:pStyle w:val="BodyText"/>
      </w:pPr>
      <w:r>
        <w:rPr>
          <w:b/>
          <w:bCs/>
        </w:rPr>
        <w:t xml:space="preserve">Include.</w:t>
      </w:r>
      <w:r>
        <w:t xml:space="preserve"> </w:t>
      </w:r>
      <w:r>
        <w:t xml:space="preserve">A Fonts In Use entry should usually be included or at least treated as a high-value corroborative record because the site is a public archive indexed by typeface, format, industry, and period, which is unusually useful for typographic history.</w:t>
      </w:r>
      <w:r>
        <w:t xml:space="preserve"> </w:t>
      </w:r>
      <w:hyperlink r:id="rId29">
        <w:r>
          <w:rPr>
            <w:rStyle w:val="Hyperlink"/>
          </w:rPr>
          <w:t xml:space="preserve">[33]</w:t>
        </w:r>
      </w:hyperlink>
    </w:p>
    <w:p>
      <w:pPr>
        <w:pStyle w:val="BodyText"/>
      </w:pPr>
      <w:r>
        <w:rPr>
          <w:b/>
          <w:bCs/>
        </w:rPr>
        <w:t xml:space="preserve">Include.</w:t>
      </w:r>
      <w:r>
        <w:t xml:space="preserve"> </w:t>
      </w:r>
      <w:r>
        <w:t xml:space="preserve">An Eye essay on graphic design criticism or Walker’s</w:t>
      </w:r>
      <w:r>
        <w:t xml:space="preserve"> </w:t>
      </w:r>
      <w:r>
        <w:rPr>
          <w:i/>
          <w:iCs/>
        </w:rPr>
        <w:t xml:space="preserve">Graphic Design: Now in Production</w:t>
      </w:r>
      <w:r>
        <w:t xml:space="preserve"> </w:t>
      </w:r>
      <w:r>
        <w:t xml:space="preserve">material should be included as design writing/discourse because it contributes historically meaningful analysis of the field rather than simply showcasing images.</w:t>
      </w:r>
      <w:r>
        <w:t xml:space="preserve"> </w:t>
      </w:r>
      <w:hyperlink r:id="rId33">
        <w:r>
          <w:rPr>
            <w:rStyle w:val="Hyperlink"/>
          </w:rPr>
          <w:t xml:space="preserve">[22]</w:t>
        </w:r>
      </w:hyperlink>
    </w:p>
    <w:p>
      <w:pPr>
        <w:pStyle w:val="BodyText"/>
      </w:pPr>
      <w:r>
        <w:rPr>
          <w:b/>
          <w:bCs/>
        </w:rPr>
        <w:t xml:space="preserve">Downgrade.</w:t>
      </w:r>
      <w:r>
        <w:t xml:space="preserve"> </w:t>
      </w:r>
      <w:r>
        <w:t xml:space="preserve">Identity Designed should usually be downgraded from “primary evidence” to “corroborative showcase,” because it is an independent editorial/submission platform showcasing visual identities from studios worldwide rather than an originating archive.</w:t>
      </w:r>
      <w:r>
        <w:t xml:space="preserve"> </w:t>
      </w:r>
      <w:hyperlink r:id="rId30">
        <w:r>
          <w:rPr>
            <w:rStyle w:val="Hyperlink"/>
          </w:rPr>
          <w:t xml:space="preserve">[13]</w:t>
        </w:r>
      </w:hyperlink>
    </w:p>
    <w:p>
      <w:pPr>
        <w:pStyle w:val="BodyText"/>
      </w:pPr>
      <w:r>
        <w:rPr>
          <w:b/>
          <w:bCs/>
        </w:rPr>
        <w:t xml:space="preserve">Downgrade.</w:t>
      </w:r>
      <w:r>
        <w:t xml:space="preserve"> </w:t>
      </w:r>
      <w:r>
        <w:t xml:space="preserve">Design Reviewed should be retained as a valuable independent archive, but marked as independent and non-institutional, with a preference for linking onward to originals when available. Its strength is curation and crediting; its limitation is that it is still a secondary archive built by one collector.</w:t>
      </w:r>
      <w:r>
        <w:t xml:space="preserve"> </w:t>
      </w:r>
      <w:hyperlink r:id="rId49">
        <w:r>
          <w:rPr>
            <w:rStyle w:val="Hyperlink"/>
          </w:rPr>
          <w:t xml:space="preserve">[34]</w:t>
        </w:r>
      </w:hyperlink>
    </w:p>
    <w:p>
      <w:pPr>
        <w:pStyle w:val="BodyText"/>
      </w:pPr>
      <w:r>
        <w:rPr>
          <w:b/>
          <w:bCs/>
        </w:rPr>
        <w:t xml:space="preserve">Downgrade or discovery-only.</w:t>
      </w:r>
      <w:r>
        <w:t xml:space="preserve"> </w:t>
      </w:r>
      <w:r>
        <w:t xml:space="preserve">Behance projects, Pinterest Pins, Are.na channels, Instagram posts, and Tumblr posts should normally be treated as discovery routes unless the page is clearly the original publication venue and authorship/date can be established. Behance and Pinterest are optimized for portfolio/discovery/save behavior; Tumblr is optimized for reblogging; Are.na is optimized for idea collection.</w:t>
      </w:r>
      <w:r>
        <w:t xml:space="preserve"> </w:t>
      </w:r>
      <w:hyperlink r:id="rId50">
        <w:r>
          <w:rPr>
            <w:rStyle w:val="Hyperlink"/>
          </w:rPr>
          <w:t xml:space="preserve">[35]</w:t>
        </w:r>
      </w:hyperlink>
    </w:p>
    <w:p>
      <w:pPr>
        <w:pStyle w:val="BodyText"/>
      </w:pPr>
      <w:r>
        <w:rPr>
          <w:b/>
          <w:bCs/>
        </w:rPr>
        <w:t xml:space="preserve">Exclude.</w:t>
      </w:r>
      <w:r>
        <w:t xml:space="preserve"> </w:t>
      </w:r>
      <w:r>
        <w:t xml:space="preserve">Behance Jobs should be excluded: it documents hiring demand, not design history.</w:t>
      </w:r>
      <w:r>
        <w:t xml:space="preserve"> </w:t>
      </w:r>
      <w:hyperlink r:id="rId37">
        <w:r>
          <w:rPr>
            <w:rStyle w:val="Hyperlink"/>
          </w:rPr>
          <w:t xml:space="preserve">[36]</w:t>
        </w:r>
      </w:hyperlink>
    </w:p>
    <w:p>
      <w:pPr>
        <w:pStyle w:val="BodyText"/>
      </w:pPr>
      <w:r>
        <w:rPr>
          <w:b/>
          <w:bCs/>
        </w:rPr>
        <w:t xml:space="preserve">Exclude.</w:t>
      </w:r>
      <w:r>
        <w:t xml:space="preserve"> </w:t>
      </w:r>
      <w:r>
        <w:t xml:space="preserve">Walker’s CMYK vs. RGB preview-party press release should be excluded from the historical index even though it mentions design content, because its core function is ticketing, scheduling, and event promotion.</w:t>
      </w:r>
      <w:r>
        <w:t xml:space="preserve"> </w:t>
      </w:r>
      <w:hyperlink r:id="rId40">
        <w:r>
          <w:rPr>
            <w:rStyle w:val="Hyperlink"/>
          </w:rPr>
          <w:t xml:space="preserve">[37]</w:t>
        </w:r>
      </w:hyperlink>
    </w:p>
    <w:p>
      <w:pPr>
        <w:pStyle w:val="BodyText"/>
      </w:pPr>
      <w:r>
        <w:rPr>
          <w:b/>
          <w:bCs/>
        </w:rPr>
        <w:t xml:space="preserve">Exclude.</w:t>
      </w:r>
      <w:r>
        <w:t xml:space="preserve"> </w:t>
      </w:r>
      <w:r>
        <w:t xml:space="preserve">Letterform’s salon event page should be excluded or at least heavily downgraded as a record of attendance logistics unless the project separately maintains a durable lecture archive with full talk documentation. The page is primarily a future event listing with date, time, and venue.</w:t>
      </w:r>
      <w:r>
        <w:t xml:space="preserve"> </w:t>
      </w:r>
      <w:hyperlink r:id="rId51">
        <w:r>
          <w:rPr>
            <w:rStyle w:val="Hyperlink"/>
          </w:rPr>
          <w:t xml:space="preserve">[38]</w:t>
        </w:r>
      </w:hyperlink>
    </w:p>
    <w:bookmarkEnd w:id="52"/>
    <w:bookmarkStart w:id="56" w:name="X4d87917a241c7811c6e3dafa151c8bea876be11"/>
    <w:p>
      <w:pPr>
        <w:pStyle w:val="Heading2"/>
      </w:pPr>
      <w:r>
        <w:t xml:space="preserve">Preserving noncanonical voices without becoming an inspiration scraper</w:t>
      </w:r>
    </w:p>
    <w:p>
      <w:pPr>
        <w:pStyle w:val="FirstParagraph"/>
      </w:pPr>
      <w:r>
        <w:t xml:space="preserve">The archive should adopt a</w:t>
      </w:r>
      <w:r>
        <w:t xml:space="preserve"> </w:t>
      </w:r>
      <w:r>
        <w:rPr>
          <w:b/>
          <w:bCs/>
        </w:rPr>
        <w:t xml:space="preserve">minimal-but-extensible description model</w:t>
      </w:r>
      <w:r>
        <w:t xml:space="preserve">. OCLC’s minimal-level cataloging standard explicitly allows records that contain the minimum data necessary to identify a resource and anticipates later upgrading. That is a better fit for contemporary independent and local material than an all-or-nothing metadata threshold.</w:t>
      </w:r>
      <w:r>
        <w:t xml:space="preserve"> </w:t>
      </w:r>
      <w:hyperlink r:id="rId53">
        <w:r>
          <w:rPr>
            <w:rStyle w:val="Hyperlink"/>
          </w:rPr>
          <w:t xml:space="preserve">[39]</w:t>
        </w:r>
      </w:hyperlink>
    </w:p>
    <w:p>
      <w:pPr>
        <w:pStyle w:val="BodyText"/>
      </w:pPr>
      <w:r>
        <w:t xml:space="preserve">At the same time, minimal description has a known risk. SAA’s MPLP discussion notes that summary-level processing can ignore ordinary workers and flatten less visible contributors; SAA’s inclusive-description guidance further stresses that archival description is not neutral and should remediate bias and harmful omission. So the right answer is not “relax standards and hope for the best,” but rather</w:t>
      </w:r>
      <w:r>
        <w:t xml:space="preserve"> </w:t>
      </w:r>
      <w:r>
        <w:rPr>
          <w:b/>
          <w:bCs/>
        </w:rPr>
        <w:t xml:space="preserve">keep sparse records when they are historically plausible, and explicitly mark uncertainty, provenance level, and enrichment priority</w:t>
      </w:r>
      <w:r>
        <w:t xml:space="preserve">.</w:t>
      </w:r>
      <w:r>
        <w:t xml:space="preserve"> </w:t>
      </w:r>
      <w:hyperlink r:id="rId54">
        <w:r>
          <w:rPr>
            <w:rStyle w:val="Hyperlink"/>
          </w:rPr>
          <w:t xml:space="preserve">[40]</w:t>
        </w:r>
      </w:hyperlink>
    </w:p>
    <w:p>
      <w:pPr>
        <w:pStyle w:val="BodyText"/>
      </w:pPr>
      <w:r>
        <w:t xml:space="preserve">A practical preservation model is this: ingest a sparse record when the object or community practice is identifiable; record what is known; store confidence and evidence-source fields; link every surrogate or repost to a provenance note; and queue the record for later enrichment rather than discarding it. This preserves noncanonical material without pretending that a repost equals a primary source. It also respects the principle, seen in community-archive and reparative-description work, that communities may define significance differently from large institutions.</w:t>
      </w:r>
      <w:r>
        <w:t xml:space="preserve"> </w:t>
      </w:r>
      <w:hyperlink r:id="rId44">
        <w:r>
          <w:rPr>
            <w:rStyle w:val="Hyperlink"/>
          </w:rPr>
          <w:t xml:space="preserve">[27]</w:t>
        </w:r>
      </w:hyperlink>
    </w:p>
    <w:p>
      <w:pPr>
        <w:pStyle w:val="BodyText"/>
      </w:pPr>
      <w:r>
        <w:t xml:space="preserve">To avoid becoming an inspiration scraper, the archive should enforce one non-negotiable rule:</w:t>
      </w:r>
      <w:r>
        <w:t xml:space="preserve"> </w:t>
      </w:r>
      <w:r>
        <w:rPr>
          <w:b/>
          <w:bCs/>
        </w:rPr>
        <w:t xml:space="preserve">attractive images alone are never enough</w:t>
      </w:r>
      <w:r>
        <w:t xml:space="preserve">. A candidate must answer historical questions such as who made it, what it is, when it circulated, where it appeared, for whom it was made, or why it mattered within a movement, institution, community, or design discourse. That principle follows archival appraisal’s focus on evidence, information, context, and usability rather than popularity signals. It also counters the platform logic of “most appreciated,” “most viewed,” saves, recommendations, and reblogs, which measure circulation and engagement, not historical significance.</w:t>
      </w:r>
      <w:r>
        <w:t xml:space="preserve"> </w:t>
      </w:r>
      <w:hyperlink r:id="rId21">
        <w:r>
          <w:rPr>
            <w:rStyle w:val="Hyperlink"/>
          </w:rPr>
          <w:t xml:space="preserve">[41]</w:t>
        </w:r>
      </w:hyperlink>
    </w:p>
    <w:p>
      <w:pPr>
        <w:pStyle w:val="BodyText"/>
      </w:pPr>
      <w:r>
        <w:t xml:space="preserve">Several working policies follow from that rule. Give a</w:t>
      </w:r>
      <w:r>
        <w:t xml:space="preserve"> </w:t>
      </w:r>
      <w:r>
        <w:rPr>
          <w:b/>
          <w:bCs/>
        </w:rPr>
        <w:t xml:space="preserve">positive manual-review bump</w:t>
      </w:r>
      <w:r>
        <w:t xml:space="preserve"> </w:t>
      </w:r>
      <w:r>
        <w:t xml:space="preserve">to activist, local, anonymous, collective, and community-run sources. Do not use follower counts, likes, “appreciations,” or algorithmic recommendation placement as inclusion criteria. Store the original URL and crawl history wherever possible. Prefer creator-controlled, institutionally documented, or collection-contextualized pages as evidence. Use social platforms to discover originals, and retain social artifacts only as flagged surrogates or when they are demonstrably the original publication venue of the design object itself.</w:t>
      </w:r>
      <w:r>
        <w:t xml:space="preserve"> </w:t>
      </w:r>
      <w:hyperlink r:id="rId27">
        <w:r>
          <w:rPr>
            <w:rStyle w:val="Hyperlink"/>
          </w:rPr>
          <w:t xml:space="preserve">[42]</w:t>
        </w:r>
      </w:hyperlink>
    </w:p>
    <w:bookmarkStart w:id="55" w:name="open-questions-and-limitations"/>
    <w:p>
      <w:pPr>
        <w:pStyle w:val="Heading3"/>
      </w:pPr>
      <w:r>
        <w:t xml:space="preserve">Open questions and limitations</w:t>
      </w:r>
    </w:p>
    <w:p>
      <w:pPr>
        <w:pStyle w:val="FirstParagraph"/>
      </w:pPr>
      <w:r>
        <w:t xml:space="preserve">The main unresolved area is</w:t>
      </w:r>
      <w:r>
        <w:t xml:space="preserve"> </w:t>
      </w:r>
      <w:r>
        <w:rPr>
          <w:b/>
          <w:bCs/>
        </w:rPr>
        <w:t xml:space="preserve">capture strategy for highly interactive born-digital design</w:t>
      </w:r>
      <w:r>
        <w:t xml:space="preserve">, especially work dependent on scripts, databases, streaming, or platform-specific behavior. The evidence here is clear that such material is often historically important and technically fragile, but the best preservation method may be web capture, source export, video/screenshot documentation, or direct acquisition depending on the case. LOC explicitly notes that some of this material is better suited to methods other than standard web harvesting.</w:t>
      </w:r>
      <w:r>
        <w:t xml:space="preserve"> </w:t>
      </w:r>
      <w:hyperlink r:id="rId24">
        <w:r>
          <w:rPr>
            <w:rStyle w:val="Hyperlink"/>
          </w:rPr>
          <w:t xml:space="preserve">[43]</w:t>
        </w:r>
      </w:hyperlink>
    </w:p>
    <w:bookmarkEnd w:id="55"/>
    <w:bookmarkEnd w:id="56"/>
    <w:bookmarkEnd w:id="57"/>
    <w:bookmarkEnd w:id="58"/>
    <w:p>
      <w:r>
        <w:pict>
          <v:rect style="width:0;height:1.5pt" o:hralign="center" o:hrstd="t" o:hr="t"/>
        </w:pict>
      </w:r>
    </w:p>
    <w:bookmarkStart w:id="59"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1">
        <w:r>
          <w:rPr>
            <w:rStyle w:val="Hyperlink"/>
          </w:rPr>
          <w:t xml:space="preserve">[10]</w:t>
        </w:r>
      </w:hyperlink>
      <w:r>
        <w:t xml:space="preserve"> </w:t>
      </w:r>
      <w:hyperlink r:id="rId21">
        <w:r>
          <w:rPr>
            <w:rStyle w:val="Hyperlink"/>
          </w:rPr>
          <w:t xml:space="preserve">[18]</w:t>
        </w:r>
      </w:hyperlink>
      <w:r>
        <w:t xml:space="preserve"> </w:t>
      </w:r>
      <w:hyperlink r:id="rId21">
        <w:r>
          <w:rPr>
            <w:rStyle w:val="Hyperlink"/>
          </w:rPr>
          <w:t xml:space="preserve">[41]</w:t>
        </w:r>
      </w:hyperlink>
      <w:r>
        <w:t xml:space="preserve"> </w:t>
      </w:r>
      <w:r>
        <w:t xml:space="preserve">https://www.archives.gov/records-mgmt/scheduling/appraisal</w:t>
      </w:r>
    </w:p>
    <w:p>
      <w:pPr>
        <w:pStyle w:val="BodyText"/>
      </w:pPr>
      <w:hyperlink r:id="rId21">
        <w:r>
          <w:rPr>
            <w:rStyle w:val="Hyperlink"/>
          </w:rPr>
          <w:t xml:space="preserve">https://www.archives.gov/records-mgmt/scheduling/appraisal</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r>
        <w:t xml:space="preserve">https://designmuseum.org/exhibitions/beazley-designs-of-the-year-2016</w:t>
      </w:r>
    </w:p>
    <w:p>
      <w:pPr>
        <w:pStyle w:val="BodyText"/>
      </w:pPr>
      <w:hyperlink r:id="rId22">
        <w:r>
          <w:rPr>
            <w:rStyle w:val="Hyperlink"/>
          </w:rPr>
          <w:t xml:space="preserve">https://designmuseum.org/exhibitions/beazley-designs-of-the-year-2016</w:t>
        </w:r>
      </w:hyperlink>
    </w:p>
    <w:p>
      <w:pPr>
        <w:pStyle w:val="BodyText"/>
      </w:pPr>
      <w:hyperlink r:id="rId23">
        <w:r>
          <w:rPr>
            <w:rStyle w:val="Hyperlink"/>
          </w:rPr>
          <w:t xml:space="preserve">[3]</w:t>
        </w:r>
      </w:hyperlink>
      <w:r>
        <w:t xml:space="preserve"> </w:t>
      </w:r>
      <w:hyperlink r:id="rId23">
        <w:r>
          <w:rPr>
            <w:rStyle w:val="Hyperlink"/>
          </w:rPr>
          <w:t xml:space="preserve">[7]</w:t>
        </w:r>
      </w:hyperlink>
      <w:r>
        <w:t xml:space="preserve"> </w:t>
      </w:r>
      <w:hyperlink r:id="rId23">
        <w:r>
          <w:rPr>
            <w:rStyle w:val="Hyperlink"/>
          </w:rPr>
          <w:t xml:space="preserve">[20]</w:t>
        </w:r>
      </w:hyperlink>
      <w:r>
        <w:t xml:space="preserve"> </w:t>
      </w:r>
      <w:r>
        <w:t xml:space="preserve">https://letterformarchive.org/news/the-online-archive-describing-design/</w:t>
      </w:r>
    </w:p>
    <w:p>
      <w:pPr>
        <w:pStyle w:val="BodyText"/>
      </w:pPr>
      <w:hyperlink r:id="rId23">
        <w:r>
          <w:rPr>
            <w:rStyle w:val="Hyperlink"/>
          </w:rPr>
          <w:t xml:space="preserve">https://letterformarchive.org/news/the-online-archive-describing-design/</w:t>
        </w:r>
      </w:hyperlink>
    </w:p>
    <w:p>
      <w:pPr>
        <w:pStyle w:val="BodyText"/>
      </w:pPr>
      <w:hyperlink r:id="rId24">
        <w:r>
          <w:rPr>
            <w:rStyle w:val="Hyperlink"/>
          </w:rPr>
          <w:t xml:space="preserve">[4]</w:t>
        </w:r>
      </w:hyperlink>
      <w:r>
        <w:t xml:space="preserve"> </w:t>
      </w:r>
      <w:hyperlink r:id="rId24">
        <w:r>
          <w:rPr>
            <w:rStyle w:val="Hyperlink"/>
          </w:rPr>
          <w:t xml:space="preserve">[25]</w:t>
        </w:r>
      </w:hyperlink>
      <w:r>
        <w:t xml:space="preserve"> </w:t>
      </w:r>
      <w:hyperlink r:id="rId24">
        <w:r>
          <w:rPr>
            <w:rStyle w:val="Hyperlink"/>
          </w:rPr>
          <w:t xml:space="preserve">[26]</w:t>
        </w:r>
      </w:hyperlink>
      <w:r>
        <w:t xml:space="preserve"> </w:t>
      </w:r>
      <w:hyperlink r:id="rId24">
        <w:r>
          <w:rPr>
            <w:rStyle w:val="Hyperlink"/>
          </w:rPr>
          <w:t xml:space="preserve">[43]</w:t>
        </w:r>
      </w:hyperlink>
      <w:r>
        <w:t xml:space="preserve"> </w:t>
      </w:r>
      <w:r>
        <w:t xml:space="preserve">https://www.loc.gov/acq/devpol/webarchive.pdf</w:t>
      </w:r>
    </w:p>
    <w:p>
      <w:pPr>
        <w:pStyle w:val="BodyText"/>
      </w:pPr>
      <w:hyperlink r:id="rId24">
        <w:r>
          <w:rPr>
            <w:rStyle w:val="Hyperlink"/>
          </w:rPr>
          <w:t xml:space="preserve">https://www.loc.gov/acq/devpol/webarchive.pdf</w:t>
        </w:r>
      </w:hyperlink>
    </w:p>
    <w:p>
      <w:pPr>
        <w:pStyle w:val="BodyText"/>
      </w:pPr>
      <w:hyperlink r:id="rId26">
        <w:r>
          <w:rPr>
            <w:rStyle w:val="Hyperlink"/>
          </w:rPr>
          <w:t xml:space="preserve">[6]</w:t>
        </w:r>
      </w:hyperlink>
      <w:r>
        <w:t xml:space="preserve"> </w:t>
      </w:r>
      <w:hyperlink r:id="rId26">
        <w:r>
          <w:rPr>
            <w:rStyle w:val="Hyperlink"/>
          </w:rPr>
          <w:t xml:space="preserve">[11]</w:t>
        </w:r>
      </w:hyperlink>
      <w:r>
        <w:t xml:space="preserve"> </w:t>
      </w:r>
      <w:hyperlink r:id="rId26">
        <w:r>
          <w:rPr>
            <w:rStyle w:val="Hyperlink"/>
          </w:rPr>
          <w:t xml:space="preserve">[21]</w:t>
        </w:r>
      </w:hyperlink>
      <w:r>
        <w:t xml:space="preserve"> </w:t>
      </w:r>
      <w:hyperlink r:id="rId26">
        <w:r>
          <w:rPr>
            <w:rStyle w:val="Hyperlink"/>
          </w:rPr>
          <w:t xml:space="preserve">[23]</w:t>
        </w:r>
      </w:hyperlink>
      <w:r>
        <w:t xml:space="preserve"> </w:t>
      </w:r>
      <w:hyperlink r:id="rId26">
        <w:r>
          <w:rPr>
            <w:rStyle w:val="Hyperlink"/>
          </w:rPr>
          <w:t xml:space="preserve">[32]</w:t>
        </w:r>
      </w:hyperlink>
      <w:r>
        <w:t xml:space="preserve"> </w:t>
      </w:r>
      <w:r>
        <w:t xml:space="preserve">https://www.dandad.org/work/d-ad-awards-archive/project-r</w:t>
      </w:r>
    </w:p>
    <w:p>
      <w:pPr>
        <w:pStyle w:val="BodyText"/>
      </w:pPr>
      <w:hyperlink r:id="rId26">
        <w:r>
          <w:rPr>
            <w:rStyle w:val="Hyperlink"/>
          </w:rPr>
          <w:t xml:space="preserve">https://www.dandad.org/work/d-ad-awards-archive/project-r</w:t>
        </w:r>
      </w:hyperlink>
    </w:p>
    <w:p>
      <w:pPr>
        <w:pStyle w:val="BodyText"/>
      </w:pPr>
      <w:hyperlink r:id="rId27">
        <w:r>
          <w:rPr>
            <w:rStyle w:val="Hyperlink"/>
          </w:rPr>
          <w:t xml:space="preserve">[9]</w:t>
        </w:r>
      </w:hyperlink>
      <w:r>
        <w:t xml:space="preserve"> </w:t>
      </w:r>
      <w:hyperlink r:id="rId27">
        <w:r>
          <w:rPr>
            <w:rStyle w:val="Hyperlink"/>
          </w:rPr>
          <w:t xml:space="preserve">[42]</w:t>
        </w:r>
      </w:hyperlink>
      <w:r>
        <w:t xml:space="preserve"> </w:t>
      </w:r>
      <w:r>
        <w:t xml:space="preserve">https://www.loc.gov/programs/web-archiving/about-this-program/frequently-asked-questions/</w:t>
      </w:r>
    </w:p>
    <w:p>
      <w:pPr>
        <w:pStyle w:val="BodyText"/>
      </w:pPr>
      <w:hyperlink r:id="rId27">
        <w:r>
          <w:rPr>
            <w:rStyle w:val="Hyperlink"/>
          </w:rPr>
          <w:t xml:space="preserve">https://www.loc.gov/programs/web-archiving/about-this-program/frequently-asked-questions/</w:t>
        </w:r>
      </w:hyperlink>
    </w:p>
    <w:p>
      <w:pPr>
        <w:pStyle w:val="BodyText"/>
      </w:pPr>
      <w:hyperlink r:id="rId29">
        <w:r>
          <w:rPr>
            <w:rStyle w:val="Hyperlink"/>
          </w:rPr>
          <w:t xml:space="preserve">[12]</w:t>
        </w:r>
      </w:hyperlink>
      <w:r>
        <w:t xml:space="preserve"> </w:t>
      </w:r>
      <w:hyperlink r:id="rId29">
        <w:r>
          <w:rPr>
            <w:rStyle w:val="Hyperlink"/>
          </w:rPr>
          <w:t xml:space="preserve">[33]</w:t>
        </w:r>
      </w:hyperlink>
      <w:r>
        <w:t xml:space="preserve"> </w:t>
      </w:r>
      <w:r>
        <w:t xml:space="preserve">https://fontsinuse.com/about</w:t>
      </w:r>
    </w:p>
    <w:p>
      <w:pPr>
        <w:pStyle w:val="BodyText"/>
      </w:pPr>
      <w:hyperlink r:id="rId29">
        <w:r>
          <w:rPr>
            <w:rStyle w:val="Hyperlink"/>
          </w:rPr>
          <w:t xml:space="preserve">https://fontsinuse.com/about</w:t>
        </w:r>
      </w:hyperlink>
    </w:p>
    <w:p>
      <w:pPr>
        <w:pStyle w:val="BodyText"/>
      </w:pPr>
      <w:hyperlink r:id="rId30">
        <w:r>
          <w:rPr>
            <w:rStyle w:val="Hyperlink"/>
          </w:rPr>
          <w:t xml:space="preserve">[13]</w:t>
        </w:r>
      </w:hyperlink>
      <w:r>
        <w:t xml:space="preserve"> </w:t>
      </w:r>
      <w:r>
        <w:t xml:space="preserve">https://identitydesigned.com/about/</w:t>
      </w:r>
    </w:p>
    <w:p>
      <w:pPr>
        <w:pStyle w:val="BodyText"/>
      </w:pPr>
      <w:hyperlink r:id="rId30">
        <w:r>
          <w:rPr>
            <w:rStyle w:val="Hyperlink"/>
          </w:rPr>
          <w:t xml:space="preserve">https://identitydesigned.com/about/</w:t>
        </w:r>
      </w:hyperlink>
    </w:p>
    <w:p>
      <w:pPr>
        <w:pStyle w:val="BodyText"/>
      </w:pPr>
      <w:hyperlink r:id="rId31">
        <w:r>
          <w:rPr>
            <w:rStyle w:val="Hyperlink"/>
          </w:rPr>
          <w:t xml:space="preserve">[14]</w:t>
        </w:r>
      </w:hyperlink>
      <w:r>
        <w:t xml:space="preserve"> </w:t>
      </w:r>
      <w:r>
        <w:t xml:space="preserve">https://help.pinterest.com/en/article/save-pins-on-pinterest</w:t>
      </w:r>
    </w:p>
    <w:p>
      <w:pPr>
        <w:pStyle w:val="BodyText"/>
      </w:pPr>
      <w:hyperlink r:id="rId31">
        <w:r>
          <w:rPr>
            <w:rStyle w:val="Hyperlink"/>
          </w:rPr>
          <w:t xml:space="preserve">https://help.pinterest.com/en/article/save-pins-on-pinterest</w:t>
        </w:r>
      </w:hyperlink>
    </w:p>
    <w:p>
      <w:pPr>
        <w:pStyle w:val="BodyText"/>
      </w:pPr>
      <w:hyperlink r:id="rId32">
        <w:r>
          <w:rPr>
            <w:rStyle w:val="Hyperlink"/>
          </w:rPr>
          <w:t xml:space="preserve">[15]</w:t>
        </w:r>
      </w:hyperlink>
      <w:r>
        <w:t xml:space="preserve"> </w:t>
      </w:r>
      <w:r>
        <w:t xml:space="preserve">https://www.archives.gov/records-mgmt/publications/managing-audiovisual-records.html</w:t>
      </w:r>
    </w:p>
    <w:p>
      <w:pPr>
        <w:pStyle w:val="BodyText"/>
      </w:pPr>
      <w:hyperlink r:id="rId32">
        <w:r>
          <w:rPr>
            <w:rStyle w:val="Hyperlink"/>
          </w:rPr>
          <w:t xml:space="preserve">https://www.archives.gov/records-mgmt/publications/managing-audiovisual-records.html</w:t>
        </w:r>
      </w:hyperlink>
    </w:p>
    <w:p>
      <w:pPr>
        <w:pStyle w:val="BodyText"/>
      </w:pPr>
      <w:hyperlink r:id="rId33">
        <w:r>
          <w:rPr>
            <w:rStyle w:val="Hyperlink"/>
          </w:rPr>
          <w:t xml:space="preserve">[16]</w:t>
        </w:r>
      </w:hyperlink>
      <w:r>
        <w:t xml:space="preserve"> </w:t>
      </w:r>
      <w:hyperlink r:id="rId33">
        <w:r>
          <w:rPr>
            <w:rStyle w:val="Hyperlink"/>
          </w:rPr>
          <w:t xml:space="preserve">[22]</w:t>
        </w:r>
      </w:hyperlink>
      <w:r>
        <w:t xml:space="preserve"> </w:t>
      </w:r>
      <w:r>
        <w:t xml:space="preserve">https://eyemagazine.com/feature/article/what-is-this-thing-called-graphic-design-criticism</w:t>
      </w:r>
    </w:p>
    <w:p>
      <w:pPr>
        <w:pStyle w:val="BodyText"/>
      </w:pPr>
      <w:hyperlink r:id="rId33">
        <w:r>
          <w:rPr>
            <w:rStyle w:val="Hyperlink"/>
          </w:rPr>
          <w:t xml:space="preserve">https://eyemagazine.com/feature/article/what-is-this-thing-called-graphic-design-criticism</w:t>
        </w:r>
      </w:hyperlink>
    </w:p>
    <w:p>
      <w:pPr>
        <w:pStyle w:val="BodyText"/>
      </w:pPr>
      <w:hyperlink r:id="rId35">
        <w:r>
          <w:rPr>
            <w:rStyle w:val="Hyperlink"/>
          </w:rPr>
          <w:t xml:space="preserve">[17]</w:t>
        </w:r>
      </w:hyperlink>
      <w:r>
        <w:t xml:space="preserve"> </w:t>
      </w:r>
      <w:r>
        <w:t xml:space="preserve">https://support.archive-it.org/hc/en-us/articles/360059245712-Archive-It-Workshop-Series-Part-1-Selection-Scoping-Crawling</w:t>
      </w:r>
    </w:p>
    <w:p>
      <w:pPr>
        <w:pStyle w:val="BodyText"/>
      </w:pPr>
      <w:hyperlink r:id="rId35">
        <w:r>
          <w:rPr>
            <w:rStyle w:val="Hyperlink"/>
          </w:rPr>
          <w:t xml:space="preserve">https://support.archive-it.org/hc/en-us/articles/360059245712-Archive-It-Workshop-Series-Part-1-Selection-Scoping-Crawling</w:t>
        </w:r>
      </w:hyperlink>
    </w:p>
    <w:p>
      <w:pPr>
        <w:pStyle w:val="BodyText"/>
      </w:pPr>
      <w:hyperlink r:id="rId37">
        <w:r>
          <w:rPr>
            <w:rStyle w:val="Hyperlink"/>
          </w:rPr>
          <w:t xml:space="preserve">[19]</w:t>
        </w:r>
      </w:hyperlink>
      <w:r>
        <w:t xml:space="preserve"> </w:t>
      </w:r>
      <w:hyperlink r:id="rId37">
        <w:r>
          <w:rPr>
            <w:rStyle w:val="Hyperlink"/>
          </w:rPr>
          <w:t xml:space="preserve">[36]</w:t>
        </w:r>
      </w:hyperlink>
      <w:r>
        <w:t xml:space="preserve"> </w:t>
      </w:r>
      <w:r>
        <w:t xml:space="preserve">https://www.behance.net/joblist</w:t>
      </w:r>
    </w:p>
    <w:p>
      <w:pPr>
        <w:pStyle w:val="BodyText"/>
      </w:pPr>
      <w:hyperlink r:id="rId37">
        <w:r>
          <w:rPr>
            <w:rStyle w:val="Hyperlink"/>
          </w:rPr>
          <w:t xml:space="preserve">https://www.behance.net/joblist</w:t>
        </w:r>
      </w:hyperlink>
    </w:p>
    <w:p>
      <w:pPr>
        <w:pStyle w:val="BodyText"/>
      </w:pPr>
      <w:hyperlink r:id="rId40">
        <w:r>
          <w:rPr>
            <w:rStyle w:val="Hyperlink"/>
          </w:rPr>
          <w:t xml:space="preserve">[24]</w:t>
        </w:r>
      </w:hyperlink>
      <w:r>
        <w:t xml:space="preserve"> </w:t>
      </w:r>
      <w:hyperlink r:id="rId40">
        <w:r>
          <w:rPr>
            <w:rStyle w:val="Hyperlink"/>
          </w:rPr>
          <w:t xml:space="preserve">[37]</w:t>
        </w:r>
      </w:hyperlink>
      <w:r>
        <w:t xml:space="preserve"> </w:t>
      </w:r>
      <w:r>
        <w:t xml:space="preserve">https://www.walkerart.org/press-releases/cmyk-vs-rgb-after-hours-preview-party-celebra/</w:t>
      </w:r>
    </w:p>
    <w:p>
      <w:pPr>
        <w:pStyle w:val="BodyText"/>
      </w:pPr>
      <w:hyperlink r:id="rId40">
        <w:r>
          <w:rPr>
            <w:rStyle w:val="Hyperlink"/>
          </w:rPr>
          <w:t xml:space="preserve">https://www.walkerart.org/press-releases/cmyk-vs-rgb-after-hours-preview-party-celebra/</w:t>
        </w:r>
      </w:hyperlink>
    </w:p>
    <w:p>
      <w:pPr>
        <w:pStyle w:val="BodyText"/>
      </w:pPr>
      <w:hyperlink r:id="rId44">
        <w:r>
          <w:rPr>
            <w:rStyle w:val="Hyperlink"/>
          </w:rPr>
          <w:t xml:space="preserve">[27]</w:t>
        </w:r>
      </w:hyperlink>
      <w:r>
        <w:t xml:space="preserve"> </w:t>
      </w:r>
      <w:r>
        <w:t xml:space="preserve">https://dictionary.archivists.org/entry/community-archives.html</w:t>
      </w:r>
    </w:p>
    <w:p>
      <w:pPr>
        <w:pStyle w:val="BodyText"/>
      </w:pPr>
      <w:hyperlink r:id="rId44">
        <w:r>
          <w:rPr>
            <w:rStyle w:val="Hyperlink"/>
          </w:rPr>
          <w:t xml:space="preserve">https://dictionary.archivists.org/entry/community-archives.html</w:t>
        </w:r>
      </w:hyperlink>
    </w:p>
    <w:p>
      <w:pPr>
        <w:pStyle w:val="BodyText"/>
      </w:pPr>
      <w:hyperlink r:id="rId45">
        <w:r>
          <w:rPr>
            <w:rStyle w:val="Hyperlink"/>
          </w:rPr>
          <w:t xml:space="preserve">[28]</w:t>
        </w:r>
      </w:hyperlink>
      <w:r>
        <w:t xml:space="preserve"> </w:t>
      </w:r>
      <w:r>
        <w:t xml:space="preserve">https://www.vam.ac.uk/collections/posters?srsltid=AfmBOoqgy1ZXUhZkzkXmjsOgTRJByLAQZ27UsCiY0u5Qw2zu0lMI0vQT</w:t>
      </w:r>
    </w:p>
    <w:p>
      <w:pPr>
        <w:pStyle w:val="BodyText"/>
      </w:pPr>
      <w:hyperlink r:id="rId45">
        <w:r>
          <w:rPr>
            <w:rStyle w:val="Hyperlink"/>
          </w:rPr>
          <w:t xml:space="preserve">https://www.vam.ac.uk/collections/posters?srsltid=AfmBOoqgy1ZXUhZkzkXmjsOgTRJByLAQZ27UsCiY0u5Qw2zu0lMI0vQT</w:t>
        </w:r>
      </w:hyperlink>
    </w:p>
    <w:p>
      <w:pPr>
        <w:pStyle w:val="BodyText"/>
      </w:pPr>
      <w:hyperlink r:id="rId46">
        <w:r>
          <w:rPr>
            <w:rStyle w:val="Hyperlink"/>
          </w:rPr>
          <w:t xml:space="preserve">[29]</w:t>
        </w:r>
      </w:hyperlink>
      <w:r>
        <w:t xml:space="preserve"> </w:t>
      </w:r>
      <w:r>
        <w:t xml:space="preserve">https://www.loc.gov/programs/web-archiving/about-this-program/</w:t>
      </w:r>
    </w:p>
    <w:p>
      <w:pPr>
        <w:pStyle w:val="BodyText"/>
      </w:pPr>
      <w:hyperlink r:id="rId46">
        <w:r>
          <w:rPr>
            <w:rStyle w:val="Hyperlink"/>
          </w:rPr>
          <w:t xml:space="preserve">https://www.loc.gov/programs/web-archiving/about-this-program/</w:t>
        </w:r>
      </w:hyperlink>
    </w:p>
    <w:p>
      <w:pPr>
        <w:pStyle w:val="BodyText"/>
      </w:pPr>
      <w:hyperlink r:id="rId47">
        <w:r>
          <w:rPr>
            <w:rStyle w:val="Hyperlink"/>
          </w:rPr>
          <w:t xml:space="preserve">[30]</w:t>
        </w:r>
      </w:hyperlink>
      <w:r>
        <w:t xml:space="preserve"> </w:t>
      </w:r>
      <w:r>
        <w:t xml:space="preserve">https://www.vam.ac.uk/collections/digital-art-design?srsltid=AfmBOorP3dTE9mqSGxxPeu__9U5ROZMpiZQenOCsH6NUOZjwAb4D43LH</w:t>
      </w:r>
    </w:p>
    <w:p>
      <w:pPr>
        <w:pStyle w:val="BodyText"/>
      </w:pPr>
      <w:hyperlink r:id="rId47">
        <w:r>
          <w:rPr>
            <w:rStyle w:val="Hyperlink"/>
          </w:rPr>
          <w:t xml:space="preserve">https://www.vam.ac.uk/collections/digital-art-design?srsltid=AfmBOorP3dTE9mqSGxxPeu__9U5ROZMpiZQenOCsH6NUOZjwAb4D43LH</w:t>
        </w:r>
      </w:hyperlink>
    </w:p>
    <w:p>
      <w:pPr>
        <w:pStyle w:val="BodyText"/>
      </w:pPr>
      <w:hyperlink r:id="rId48">
        <w:r>
          <w:rPr>
            <w:rStyle w:val="Hyperlink"/>
          </w:rPr>
          <w:t xml:space="preserve">[31]</w:t>
        </w:r>
      </w:hyperlink>
      <w:r>
        <w:t xml:space="preserve"> </w:t>
      </w:r>
      <w:r>
        <w:t xml:space="preserve">https://www.mplus.org.hk/en/collection/objects/name-tags-progress-hong-kong-20177/</w:t>
      </w:r>
    </w:p>
    <w:p>
      <w:pPr>
        <w:pStyle w:val="BodyText"/>
      </w:pPr>
      <w:hyperlink r:id="rId48">
        <w:r>
          <w:rPr>
            <w:rStyle w:val="Hyperlink"/>
          </w:rPr>
          <w:t xml:space="preserve">https://www.mplus.org.hk/en/collection/objects/name-tags-progress-hong-kong-20177/</w:t>
        </w:r>
      </w:hyperlink>
    </w:p>
    <w:p>
      <w:pPr>
        <w:pStyle w:val="BodyText"/>
      </w:pPr>
      <w:hyperlink r:id="rId49">
        <w:r>
          <w:rPr>
            <w:rStyle w:val="Hyperlink"/>
          </w:rPr>
          <w:t xml:space="preserve">[34]</w:t>
        </w:r>
      </w:hyperlink>
      <w:r>
        <w:t xml:space="preserve"> </w:t>
      </w:r>
      <w:r>
        <w:t xml:space="preserve">https://designreviewed.com/about/</w:t>
      </w:r>
    </w:p>
    <w:p>
      <w:pPr>
        <w:pStyle w:val="BodyText"/>
      </w:pPr>
      <w:hyperlink r:id="rId49">
        <w:r>
          <w:rPr>
            <w:rStyle w:val="Hyperlink"/>
          </w:rPr>
          <w:t xml:space="preserve">https://designreviewed.com/about/</w:t>
        </w:r>
      </w:hyperlink>
    </w:p>
    <w:p>
      <w:pPr>
        <w:pStyle w:val="BodyText"/>
      </w:pPr>
      <w:hyperlink r:id="rId50">
        <w:r>
          <w:rPr>
            <w:rStyle w:val="Hyperlink"/>
          </w:rPr>
          <w:t xml:space="preserve">[35]</w:t>
        </w:r>
      </w:hyperlink>
      <w:r>
        <w:t xml:space="preserve"> </w:t>
      </w:r>
      <w:r>
        <w:t xml:space="preserve">https://www.behance.net/</w:t>
      </w:r>
    </w:p>
    <w:p>
      <w:pPr>
        <w:pStyle w:val="BodyText"/>
      </w:pPr>
      <w:hyperlink r:id="rId50">
        <w:r>
          <w:rPr>
            <w:rStyle w:val="Hyperlink"/>
          </w:rPr>
          <w:t xml:space="preserve">https://www.behance.net/</w:t>
        </w:r>
      </w:hyperlink>
    </w:p>
    <w:p>
      <w:pPr>
        <w:pStyle w:val="BodyText"/>
      </w:pPr>
      <w:hyperlink r:id="rId51">
        <w:r>
          <w:rPr>
            <w:rStyle w:val="Hyperlink"/>
          </w:rPr>
          <w:t xml:space="preserve">[38]</w:t>
        </w:r>
      </w:hyperlink>
      <w:r>
        <w:t xml:space="preserve"> </w:t>
      </w:r>
      <w:r>
        <w:t xml:space="preserve">https://letterformarchive.org/shop/typophoto-new-typography-and-the-reinvention-of-photography/?srsltid=AfmBOoqEHNzwdjL_2IcSOK0YLdy4zFy7nyudNgpPDnuFZCRGiGWw3pt_</w:t>
      </w:r>
    </w:p>
    <w:p>
      <w:pPr>
        <w:pStyle w:val="BodyText"/>
      </w:pPr>
      <w:hyperlink r:id="rId51">
        <w:r>
          <w:rPr>
            <w:rStyle w:val="Hyperlink"/>
          </w:rPr>
          <w:t xml:space="preserve">https://letterformarchive.org/shop/typophoto-new-typography-and-the-reinvention-of-photography/?srsltid=AfmBOoqEHNzwdjL_2IcSOK0YLdy4zFy7nyudNgpPDnuFZCRGiGWw3pt_</w:t>
        </w:r>
      </w:hyperlink>
    </w:p>
    <w:p>
      <w:pPr>
        <w:pStyle w:val="BodyText"/>
      </w:pPr>
      <w:hyperlink r:id="rId53">
        <w:r>
          <w:rPr>
            <w:rStyle w:val="Hyperlink"/>
          </w:rPr>
          <w:t xml:space="preserve">[39]</w:t>
        </w:r>
      </w:hyperlink>
      <w:r>
        <w:t xml:space="preserve"> </w:t>
      </w:r>
      <w:r>
        <w:t xml:space="preserve">https://www.oclc.org/bibformats/en/about/onlinecataloging.html</w:t>
      </w:r>
    </w:p>
    <w:p>
      <w:pPr>
        <w:pStyle w:val="BodyText"/>
      </w:pPr>
      <w:hyperlink r:id="rId53">
        <w:r>
          <w:rPr>
            <w:rStyle w:val="Hyperlink"/>
          </w:rPr>
          <w:t xml:space="preserve">https://www.oclc.org/bibformats/en/about/onlinecataloging.html</w:t>
        </w:r>
      </w:hyperlink>
    </w:p>
    <w:p>
      <w:pPr>
        <w:pStyle w:val="BodyText"/>
      </w:pPr>
      <w:hyperlink r:id="rId54">
        <w:r>
          <w:rPr>
            <w:rStyle w:val="Hyperlink"/>
          </w:rPr>
          <w:t xml:space="preserve">[40]</w:t>
        </w:r>
      </w:hyperlink>
      <w:r>
        <w:t xml:space="preserve"> </w:t>
      </w:r>
      <w:r>
        <w:t xml:space="preserve">https://dictionary.archivists.org/entry/more-product-less-process.html</w:t>
      </w:r>
    </w:p>
    <w:p>
      <w:pPr>
        <w:pStyle w:val="BodyText"/>
      </w:pPr>
      <w:hyperlink r:id="rId54">
        <w:r>
          <w:rPr>
            <w:rStyle w:val="Hyperlink"/>
          </w:rPr>
          <w:t xml:space="preserve">https://dictionary.archivists.org/entry/more-product-less-process.html</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esignmuseum.org/exhibitions/beazley-designs-of-the-year-2016" TargetMode="External" /><Relationship Type="http://schemas.openxmlformats.org/officeDocument/2006/relationships/hyperlink" Id="rId49" Target="https://designreviewed.com/about/" TargetMode="External" /><Relationship Type="http://schemas.openxmlformats.org/officeDocument/2006/relationships/hyperlink" Id="rId44" Target="https://dictionary.archivists.org/entry/community-archives.html" TargetMode="External" /><Relationship Type="http://schemas.openxmlformats.org/officeDocument/2006/relationships/hyperlink" Id="rId54" Target="https://dictionary.archivists.org/entry/more-product-less-process.html" TargetMode="External" /><Relationship Type="http://schemas.openxmlformats.org/officeDocument/2006/relationships/hyperlink" Id="rId33" Target="https://eyemagazine.com/feature/article/what-is-this-thing-called-graphic-design-criticism" TargetMode="External" /><Relationship Type="http://schemas.openxmlformats.org/officeDocument/2006/relationships/hyperlink" Id="rId29" Target="https://fontsinuse.com/about" TargetMode="External" /><Relationship Type="http://schemas.openxmlformats.org/officeDocument/2006/relationships/hyperlink" Id="rId31" Target="https://help.pinterest.com/en/article/save-pins-on-pinterest" TargetMode="External" /><Relationship Type="http://schemas.openxmlformats.org/officeDocument/2006/relationships/hyperlink" Id="rId30" Target="https://identitydesigned.com/about/" TargetMode="External" /><Relationship Type="http://schemas.openxmlformats.org/officeDocument/2006/relationships/hyperlink" Id="rId23" Target="https://letterformarchive.org/news/the-online-archive-describing-design/" TargetMode="External" /><Relationship Type="http://schemas.openxmlformats.org/officeDocument/2006/relationships/hyperlink" Id="rId51" Target="https://letterformarchive.org/shop/typophoto-new-typography-and-the-reinvention-of-photography/?srsltid=AfmBOoqEHNzwdjL_2IcSOK0YLdy4zFy7nyudNgpPDnuFZCRGiGWw3pt_" TargetMode="External" /><Relationship Type="http://schemas.openxmlformats.org/officeDocument/2006/relationships/hyperlink" Id="rId35" Target="https://support.archive-it.org/hc/en-us/articles/360059245712-Archive-It-Workshop-Series-Part-1-Selection-Scoping-Crawling" TargetMode="External" /><Relationship Type="http://schemas.openxmlformats.org/officeDocument/2006/relationships/hyperlink" Id="rId32" Target="https://www.archives.gov/records-mgmt/publications/managing-audiovisual-records.html" TargetMode="External" /><Relationship Type="http://schemas.openxmlformats.org/officeDocument/2006/relationships/hyperlink" Id="rId21" Target="https://www.archives.gov/records-mgmt/scheduling/appraisal" TargetMode="External" /><Relationship Type="http://schemas.openxmlformats.org/officeDocument/2006/relationships/hyperlink" Id="rId50" Target="https://www.behance.net/" TargetMode="External" /><Relationship Type="http://schemas.openxmlformats.org/officeDocument/2006/relationships/hyperlink" Id="rId37" Target="https://www.behance.net/joblist" TargetMode="External" /><Relationship Type="http://schemas.openxmlformats.org/officeDocument/2006/relationships/hyperlink" Id="rId26" Target="https://www.dandad.org/work/d-ad-awards-archive/project-r" TargetMode="External" /><Relationship Type="http://schemas.openxmlformats.org/officeDocument/2006/relationships/hyperlink" Id="rId24" Target="https://www.loc.gov/acq/devpol/webarchive.pdf" TargetMode="External" /><Relationship Type="http://schemas.openxmlformats.org/officeDocument/2006/relationships/hyperlink" Id="rId46" Target="https://www.loc.gov/programs/web-archiving/about-this-program/" TargetMode="External" /><Relationship Type="http://schemas.openxmlformats.org/officeDocument/2006/relationships/hyperlink" Id="rId27" Target="https://www.loc.gov/programs/web-archiving/about-this-program/frequently-asked-questions/" TargetMode="External" /><Relationship Type="http://schemas.openxmlformats.org/officeDocument/2006/relationships/hyperlink" Id="rId48" Target="https://www.mplus.org.hk/en/collection/objects/name-tags-progress-hong-kong-20177/" TargetMode="External" /><Relationship Type="http://schemas.openxmlformats.org/officeDocument/2006/relationships/hyperlink" Id="rId53" Target="https://www.oclc.org/bibformats/en/about/onlinecataloging.html" TargetMode="External" /><Relationship Type="http://schemas.openxmlformats.org/officeDocument/2006/relationships/hyperlink" Id="rId47" Target="https://www.vam.ac.uk/collections/digital-art-design?srsltid=AfmBOorP3dTE9mqSGxxPeu__9U5ROZMpiZQenOCsH6NUOZjwAb4D43LH" TargetMode="External" /><Relationship Type="http://schemas.openxmlformats.org/officeDocument/2006/relationships/hyperlink" Id="rId45" Target="https://www.vam.ac.uk/collections/posters?srsltid=AfmBOoqgy1ZXUhZkzkXmjsOgTRJByLAQZ27UsCiY0u5Qw2zu0lMI0vQT" TargetMode="External" /><Relationship Type="http://schemas.openxmlformats.org/officeDocument/2006/relationships/hyperlink" Id="rId40" Target="https://www.walkerart.org/press-releases/cmyk-vs-rgb-after-hours-preview-party-celebra/" TargetMode="External" /></Relationships>
</file>

<file path=word/_rels/footnotes.xml.rels><?xml version="1.0" encoding="UTF-8"?><Relationships xmlns="http://schemas.openxmlformats.org/package/2006/relationships"><Relationship Type="http://schemas.openxmlformats.org/officeDocument/2006/relationships/hyperlink" Id="rId22" Target="https://designmuseum.org/exhibitions/beazley-designs-of-the-year-2016" TargetMode="External" /><Relationship Type="http://schemas.openxmlformats.org/officeDocument/2006/relationships/hyperlink" Id="rId49" Target="https://designreviewed.com/about/" TargetMode="External" /><Relationship Type="http://schemas.openxmlformats.org/officeDocument/2006/relationships/hyperlink" Id="rId44" Target="https://dictionary.archivists.org/entry/community-archives.html" TargetMode="External" /><Relationship Type="http://schemas.openxmlformats.org/officeDocument/2006/relationships/hyperlink" Id="rId54" Target="https://dictionary.archivists.org/entry/more-product-less-process.html" TargetMode="External" /><Relationship Type="http://schemas.openxmlformats.org/officeDocument/2006/relationships/hyperlink" Id="rId33" Target="https://eyemagazine.com/feature/article/what-is-this-thing-called-graphic-design-criticism" TargetMode="External" /><Relationship Type="http://schemas.openxmlformats.org/officeDocument/2006/relationships/hyperlink" Id="rId29" Target="https://fontsinuse.com/about" TargetMode="External" /><Relationship Type="http://schemas.openxmlformats.org/officeDocument/2006/relationships/hyperlink" Id="rId31" Target="https://help.pinterest.com/en/article/save-pins-on-pinterest" TargetMode="External" /><Relationship Type="http://schemas.openxmlformats.org/officeDocument/2006/relationships/hyperlink" Id="rId30" Target="https://identitydesigned.com/about/" TargetMode="External" /><Relationship Type="http://schemas.openxmlformats.org/officeDocument/2006/relationships/hyperlink" Id="rId23" Target="https://letterformarchive.org/news/the-online-archive-describing-design/" TargetMode="External" /><Relationship Type="http://schemas.openxmlformats.org/officeDocument/2006/relationships/hyperlink" Id="rId51" Target="https://letterformarchive.org/shop/typophoto-new-typography-and-the-reinvention-of-photography/?srsltid=AfmBOoqEHNzwdjL_2IcSOK0YLdy4zFy7nyudNgpPDnuFZCRGiGWw3pt_" TargetMode="External" /><Relationship Type="http://schemas.openxmlformats.org/officeDocument/2006/relationships/hyperlink" Id="rId35" Target="https://support.archive-it.org/hc/en-us/articles/360059245712-Archive-It-Workshop-Series-Part-1-Selection-Scoping-Crawling" TargetMode="External" /><Relationship Type="http://schemas.openxmlformats.org/officeDocument/2006/relationships/hyperlink" Id="rId32" Target="https://www.archives.gov/records-mgmt/publications/managing-audiovisual-records.html" TargetMode="External" /><Relationship Type="http://schemas.openxmlformats.org/officeDocument/2006/relationships/hyperlink" Id="rId21" Target="https://www.archives.gov/records-mgmt/scheduling/appraisal" TargetMode="External" /><Relationship Type="http://schemas.openxmlformats.org/officeDocument/2006/relationships/hyperlink" Id="rId50" Target="https://www.behance.net/" TargetMode="External" /><Relationship Type="http://schemas.openxmlformats.org/officeDocument/2006/relationships/hyperlink" Id="rId37" Target="https://www.behance.net/joblist" TargetMode="External" /><Relationship Type="http://schemas.openxmlformats.org/officeDocument/2006/relationships/hyperlink" Id="rId26" Target="https://www.dandad.org/work/d-ad-awards-archive/project-r" TargetMode="External" /><Relationship Type="http://schemas.openxmlformats.org/officeDocument/2006/relationships/hyperlink" Id="rId24" Target="https://www.loc.gov/acq/devpol/webarchive.pdf" TargetMode="External" /><Relationship Type="http://schemas.openxmlformats.org/officeDocument/2006/relationships/hyperlink" Id="rId46" Target="https://www.loc.gov/programs/web-archiving/about-this-program/" TargetMode="External" /><Relationship Type="http://schemas.openxmlformats.org/officeDocument/2006/relationships/hyperlink" Id="rId27" Target="https://www.loc.gov/programs/web-archiving/about-this-program/frequently-asked-questions/" TargetMode="External" /><Relationship Type="http://schemas.openxmlformats.org/officeDocument/2006/relationships/hyperlink" Id="rId48" Target="https://www.mplus.org.hk/en/collection/objects/name-tags-progress-hong-kong-20177/" TargetMode="External" /><Relationship Type="http://schemas.openxmlformats.org/officeDocument/2006/relationships/hyperlink" Id="rId53" Target="https://www.oclc.org/bibformats/en/about/onlinecataloging.html" TargetMode="External" /><Relationship Type="http://schemas.openxmlformats.org/officeDocument/2006/relationships/hyperlink" Id="rId47" Target="https://www.vam.ac.uk/collections/digital-art-design?srsltid=AfmBOorP3dTE9mqSGxxPeu__9U5ROZMpiZQenOCsH6NUOZjwAb4D43LH" TargetMode="External" /><Relationship Type="http://schemas.openxmlformats.org/officeDocument/2006/relationships/hyperlink" Id="rId45" Target="https://www.vam.ac.uk/collections/posters?srsltid=AfmBOoqgy1ZXUhZkzkXmjsOgTRJByLAQZ27UsCiY0u5Qw2zu0lMI0vQT" TargetMode="External" /><Relationship Type="http://schemas.openxmlformats.org/officeDocument/2006/relationships/hyperlink" Id="rId40" Target="https://www.walkerart.org/press-releases/cmyk-vs-rgb-after-hours-preview-party-celeb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2026-06-01T12:24:36Z</dcterms:created>
  <dcterms:modified xsi:type="dcterms:W3CDTF">2026-06-01T12:24:36Z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