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2526496c76551f4ca0c21a10942dd872612a6fa"/>
    <w:p>
      <w:pPr>
        <w:pStyle w:val="Heading1"/>
      </w:pPr>
      <w:r>
        <w:t xml:space="preserve">Provenance-First Record Linkage for a Graphic Design History Archive</w:t>
      </w:r>
    </w:p>
    <w:p>
      <w:pPr>
        <w:pStyle w:val="FirstParagraph"/>
      </w:pPr>
      <w:r>
        <w:t xml:space="preserve">A digital humanities index for graphic design history should treat overlapping records as</w:t>
      </w:r>
      <w:r>
        <w:t xml:space="preserve"> </w:t>
      </w:r>
      <w:r>
        <w:rPr>
          <w:b/>
          <w:bCs/>
        </w:rPr>
        <w:t xml:space="preserve">evidence about entities</w:t>
      </w:r>
      <w:r>
        <w:t xml:space="preserve">, not as duplicates to be silently collapsed. Cultural-heritage standards increasingly separate the cultural object from its digital representations, preserve the provenance of provider descriptions, and allow contradictory assertions to coexist with attribution to the people, institutions, or systems that made them. Europeana’s model distinguishes the cultural object, digital resources, and aggregations; its proxy mechanism explicitly preserves different provider views of the same object. CIDOC CRM’s</w:t>
      </w:r>
      <w:r>
        <w:t xml:space="preserve"> </w:t>
      </w:r>
      <w:r>
        <w:rPr>
          <w:rStyle w:val="VerbatimChar"/>
        </w:rPr>
        <w:t xml:space="preserve">E13 Attribute Assignment</w:t>
      </w:r>
      <w:r>
        <w:t xml:space="preserve"> </w:t>
      </w:r>
      <w:r>
        <w:t xml:space="preserve">likewise allows assertions to be documented as acts of attribution “whose opinion it was,” and notes that such assertions may coexist as contradictory values. PROV-O provides a general framework for recording who made what statement, when, and from what source, while RiC-CM emphasizes describing records and their contexts as dynamic networks rather than flattening them into a single, final description. Recent work from the PHAROS community argues that reconciliation in art-historical archives is rarely one-to-one and that uncertainty should be treated as a first-class requirement, not a data-cleaning failure.</w:t>
      </w:r>
      <w:r>
        <w:t xml:space="preserve"> </w:t>
      </w:r>
      <w:hyperlink r:id="rId21">
        <w:r>
          <w:rPr>
            <w:rStyle w:val="Hyperlink"/>
          </w:rPr>
          <w:t xml:space="preserve">[1]</w:t>
        </w:r>
      </w:hyperlink>
    </w:p>
    <w:p>
      <w:pPr>
        <w:pStyle w:val="BodyText"/>
      </w:pPr>
      <w:r>
        <w:t xml:space="preserve">The best design, therefore, is</w:t>
      </w:r>
      <w:r>
        <w:t xml:space="preserve"> </w:t>
      </w:r>
      <w:r>
        <w:rPr>
          <w:b/>
          <w:bCs/>
        </w:rPr>
        <w:t xml:space="preserve">not one database record replacing all others</w:t>
      </w:r>
      <w:r>
        <w:t xml:space="preserve">, but a layered model with: a persistent source record for every source encountered; a claim layer that preserves verbatim and normalized values side by side; and a public-facing composite sheet that is explicitly a</w:t>
      </w:r>
      <w:r>
        <w:t xml:space="preserve"> </w:t>
      </w:r>
      <w:r>
        <w:rPr>
          <w:b/>
          <w:bCs/>
        </w:rPr>
        <w:t xml:space="preserve">curated view over evidence</w:t>
      </w:r>
      <w:r>
        <w:t xml:space="preserve">, with field-level citations and expandable disagreement. This aligns with Getty’s practice of linking sources to titles, names, and descriptive notes; with Europeana’s advice to acknowledge all providers and aggregators and disclose modifications; and with archival scholarship that treats revision history and authorship as part of the interpretive meaning of description itself.</w:t>
      </w:r>
      <w:r>
        <w:t xml:space="preserve"> </w:t>
      </w:r>
      <w:hyperlink r:id="rId22">
        <w:r>
          <w:rPr>
            <w:rStyle w:val="Hyperlink"/>
          </w:rPr>
          <w:t xml:space="preserve">[2]</w:t>
        </w:r>
      </w:hyperlink>
    </w:p>
    <w:bookmarkStart w:id="27" w:name="core-design-principles"/>
    <w:p>
      <w:pPr>
        <w:pStyle w:val="Heading2"/>
      </w:pPr>
      <w:r>
        <w:t xml:space="preserve">Core design principles</w:t>
      </w:r>
    </w:p>
    <w:p>
      <w:pPr>
        <w:pStyle w:val="FirstParagraph"/>
      </w:pPr>
      <w:r>
        <w:t xml:space="preserve">The archive should adopt five non-negotiable principles. First,</w:t>
      </w:r>
      <w:r>
        <w:t xml:space="preserve"> </w:t>
      </w:r>
      <w:r>
        <w:rPr>
          <w:b/>
          <w:bCs/>
        </w:rPr>
        <w:t xml:space="preserve">no silent deduplication</w:t>
      </w:r>
      <w:r>
        <w:t xml:space="preserve">: every ingest must remain resolvable as a source record, even when a composite entity page is created. Second,</w:t>
      </w:r>
      <w:r>
        <w:t xml:space="preserve"> </w:t>
      </w:r>
      <w:r>
        <w:rPr>
          <w:b/>
          <w:bCs/>
        </w:rPr>
        <w:t xml:space="preserve">granularity before identity</w:t>
      </w:r>
      <w:r>
        <w:t xml:space="preserve">: do not attempt to decide whether two records are “the same” until you know whether they describe the same kind of thing—object, work/design, manifestation/edition, item/copy, event, person, movement, publication, or visual record. IFLA LRM distinguishes work, expression, manifestation, and item; Linked Art and Europeana distinguish the physical or conceptual cultural object from digital surrogates and web resources; CIDOC CRM’s</w:t>
      </w:r>
      <w:r>
        <w:t xml:space="preserve"> </w:t>
      </w:r>
      <w:r>
        <w:rPr>
          <w:rStyle w:val="VerbatimChar"/>
        </w:rPr>
        <w:t xml:space="preserve">E36 Visual Item</w:t>
      </w:r>
      <w:r>
        <w:t xml:space="preserve"> </w:t>
      </w:r>
      <w:r>
        <w:t xml:space="preserve">distinguishes a visual prototype from its repeated physical carriers.</w:t>
      </w:r>
      <w:r>
        <w:t xml:space="preserve"> </w:t>
      </w:r>
      <w:hyperlink r:id="rId23">
        <w:r>
          <w:rPr>
            <w:rStyle w:val="Hyperlink"/>
          </w:rPr>
          <w:t xml:space="preserve">[3]</w:t>
        </w:r>
      </w:hyperlink>
    </w:p>
    <w:p>
      <w:pPr>
        <w:pStyle w:val="BodyText"/>
      </w:pPr>
      <w:r>
        <w:t xml:space="preserve">Third,</w:t>
      </w:r>
      <w:r>
        <w:t xml:space="preserve"> </w:t>
      </w:r>
      <w:r>
        <w:rPr>
          <w:b/>
          <w:bCs/>
        </w:rPr>
        <w:t xml:space="preserve">claims must remain attributable</w:t>
      </w:r>
      <w:r>
        <w:t xml:space="preserve">. A date, title, creator, or place should never appear as if it came from nowhere; each displayed value should remain linked to the source record, assertion actor, extraction method, and review state. This is directly supported by PROV-O, Europeana’s provenance profile for enrichments and translations, CIDOC CRM</w:t>
      </w:r>
      <w:r>
        <w:t xml:space="preserve"> </w:t>
      </w:r>
      <w:r>
        <w:rPr>
          <w:rStyle w:val="VerbatimChar"/>
        </w:rPr>
        <w:t xml:space="preserve">E13</w:t>
      </w:r>
      <w:r>
        <w:t xml:space="preserve">, and CRMinf’s argumentation model.</w:t>
      </w:r>
      <w:r>
        <w:t xml:space="preserve"> </w:t>
      </w:r>
      <w:hyperlink r:id="rId24">
        <w:r>
          <w:rPr>
            <w:rStyle w:val="Hyperlink"/>
          </w:rPr>
          <w:t xml:space="preserve">[4]</w:t>
        </w:r>
      </w:hyperlink>
    </w:p>
    <w:p>
      <w:pPr>
        <w:pStyle w:val="BodyText"/>
      </w:pPr>
      <w:r>
        <w:t xml:space="preserve">Fourth,</w:t>
      </w:r>
      <w:r>
        <w:t xml:space="preserve"> </w:t>
      </w:r>
      <w:r>
        <w:rPr>
          <w:b/>
          <w:bCs/>
        </w:rPr>
        <w:t xml:space="preserve">authority is claim-specific, not globally institutional</w:t>
      </w:r>
      <w:r>
        <w:t xml:space="preserve">. Museums are often strongest for current custody, dimensions, or object-level imaging; libraries are often strongest for bibliographic manifestation data; archives are often strongest for provenance and contextual relationships; community archives and community-informed protocols may be strongest for self-identification, culturally appropriate names, or restrictions; scholars may be strongest for historiographic synthesis; and OCR or social-media findings are usually discovery evidence unless reviewed and contextualized. Getty explicitly recommends preferring the most authoritative and up-to-date source available, but archival and reparative-description literature also shows that institutional description can contain harmful, outdated, or incomplete language, and that description should be iterative and open to community-informed revision.</w:t>
      </w:r>
      <w:r>
        <w:t xml:space="preserve"> </w:t>
      </w:r>
      <w:hyperlink r:id="rId25">
        <w:r>
          <w:rPr>
            <w:rStyle w:val="Hyperlink"/>
          </w:rPr>
          <w:t xml:space="preserve">[5]</w:t>
        </w:r>
      </w:hyperlink>
    </w:p>
    <w:p>
      <w:pPr>
        <w:pStyle w:val="BodyText"/>
      </w:pPr>
      <w:r>
        <w:t xml:space="preserve">Fifth,</w:t>
      </w:r>
      <w:r>
        <w:t xml:space="preserve"> </w:t>
      </w:r>
      <w:r>
        <w:rPr>
          <w:b/>
          <w:bCs/>
        </w:rPr>
        <w:t xml:space="preserve">the public interface should summarize without erasing complexity</w:t>
      </w:r>
      <w:r>
        <w:t xml:space="preserve">. A readable sheet should present a preferred display value for navigation, but expose “other attested values,” source notes, revision history, and dispute status through progressive disclosure. Cultural-collection interface scholarship argues that digital collections benefit from rich, browsable, “generous” surfaces rather than thin search-only records, and PHAROS work shows that making ambiguity legible is part of scholarly usability.</w:t>
      </w:r>
      <w:r>
        <w:t xml:space="preserve"> </w:t>
      </w:r>
      <w:hyperlink r:id="rId26">
        <w:r>
          <w:rPr>
            <w:rStyle w:val="Hyperlink"/>
          </w:rPr>
          <w:t xml:space="preserve">[6]</w:t>
        </w:r>
      </w:hyperlink>
    </w:p>
    <w:bookmarkEnd w:id="27"/>
    <w:bookmarkStart w:id="31" w:name="proposed-evidence-hierarchy"/>
    <w:p>
      <w:pPr>
        <w:pStyle w:val="Heading2"/>
      </w:pPr>
      <w:r>
        <w:t xml:space="preserve">Proposed evidence hierarchy</w:t>
      </w:r>
    </w:p>
    <w:p>
      <w:pPr>
        <w:pStyle w:val="FirstParagraph"/>
      </w:pPr>
      <w:r>
        <w:t xml:space="preserve">A usable hierarchy is not a single rigid ladder. It should be a</w:t>
      </w:r>
      <w:r>
        <w:t xml:space="preserve"> </w:t>
      </w:r>
      <w:r>
        <w:rPr>
          <w:b/>
          <w:bCs/>
        </w:rPr>
        <w:t xml:space="preserve">claim-scoped evidence hierarchy</w:t>
      </w:r>
      <w:r>
        <w:t xml:space="preserve"> </w:t>
      </w:r>
      <w:r>
        <w:t xml:space="preserve">with a default ranking and a set of overrides by claim type. The default rule should be:</w:t>
      </w:r>
      <w:r>
        <w:t xml:space="preserve"> </w:t>
      </w:r>
      <w:r>
        <w:rPr>
          <w:b/>
          <w:bCs/>
        </w:rPr>
        <w:t xml:space="preserve">prefer the source that is closest to the event or entity, most accountable, most stable, and most specific to the claim being asserted</w:t>
      </w:r>
      <w:r>
        <w:t xml:space="preserve">. Europeana’s provider/proxy model, Getty’s source-linked editorial rules, and community-archives scholarship together support this more plural model of authority.</w:t>
      </w:r>
      <w:r>
        <w:t xml:space="preserve"> </w:t>
      </w:r>
      <w:hyperlink r:id="rId28">
        <w:r>
          <w:rPr>
            <w:rStyle w:val="Hyperlink"/>
          </w:rPr>
          <w:t xml:space="preserve">[7]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Default evidentiary strength</w:t>
            </w:r>
          </w:p>
        </w:tc>
        <w:tc>
          <w:tcPr/>
          <w:p>
            <w:pPr>
              <w:pStyle w:val="Compact"/>
            </w:pPr>
            <w:r>
              <w:t xml:space="preserve">Best used for</w:t>
            </w:r>
          </w:p>
        </w:tc>
        <w:tc>
          <w:tcPr/>
          <w:p>
            <w:pPr>
              <w:pStyle w:val="Compact"/>
            </w:pPr>
            <w:r>
              <w:t xml:space="preserve">Main risks</w:t>
            </w:r>
          </w:p>
        </w:tc>
        <w:tc>
          <w:tcPr/>
          <w:p>
            <w:pPr>
              <w:pStyle w:val="Compact"/>
            </w:pPr>
            <w:r>
              <w:t xml:space="preserve">Archive rule</w:t>
            </w:r>
          </w:p>
        </w:tc>
      </w:tr>
      <w:tr>
        <w:tc>
          <w:tcPr/>
          <w:p>
            <w:pPr>
              <w:pStyle w:val="Compact"/>
            </w:pPr>
            <w:r>
              <w:t xml:space="preserve">Museum collection records and object files</w:t>
            </w:r>
          </w:p>
        </w:tc>
        <w:tc>
          <w:tcPr/>
          <w:p>
            <w:pPr>
              <w:pStyle w:val="Compact"/>
            </w:pPr>
            <w:r>
              <w:t xml:space="preserve">High for current custody, dimensions, inscriptions, accession context, current image rights</w:t>
            </w:r>
          </w:p>
        </w:tc>
        <w:tc>
          <w:tcPr/>
          <w:p>
            <w:pPr>
              <w:pStyle w:val="Compact"/>
            </w:pPr>
            <w:r>
              <w:t xml:space="preserve">Physical object state, repository location, accession identifiers, institutional imaging</w:t>
            </w:r>
          </w:p>
        </w:tc>
        <w:tc>
          <w:tcPr/>
          <w:p>
            <w:pPr>
              <w:pStyle w:val="Compact"/>
            </w:pPr>
            <w:r>
              <w:t xml:space="preserve">Later cataloging may normalize or retrospectively assign titles/dates</w:t>
            </w:r>
          </w:p>
        </w:tc>
        <w:tc>
          <w:tcPr/>
          <w:p>
            <w:pPr>
              <w:pStyle w:val="Compact"/>
            </w:pPr>
            <w:r>
              <w:t xml:space="preserve">Use strongly for present-state object facts; preserve older or conflicting historical attributions as separate claims</w:t>
            </w:r>
          </w:p>
        </w:tc>
      </w:tr>
      <w:tr>
        <w:tc>
          <w:tcPr/>
          <w:p>
            <w:pPr>
              <w:pStyle w:val="Compact"/>
            </w:pPr>
            <w:r>
              <w:t xml:space="preserve">Library catalogues and authority/bibliographic records</w:t>
            </w:r>
          </w:p>
        </w:tc>
        <w:tc>
          <w:tcPr/>
          <w:p>
            <w:pPr>
              <w:pStyle w:val="Compact"/>
            </w:pPr>
            <w:r>
              <w:t xml:space="preserve">High for publication, edition, serial, issue, language, imprint, standardized identifiers</w:t>
            </w:r>
          </w:p>
        </w:tc>
        <w:tc>
          <w:tcPr/>
          <w:p>
            <w:pPr>
              <w:pStyle w:val="Compact"/>
            </w:pPr>
            <w:r>
              <w:t xml:space="preserve">Manifestation-level publication facts, bibliographic control, parallel titles, edition relationships</w:t>
            </w:r>
          </w:p>
        </w:tc>
        <w:tc>
          <w:tcPr/>
          <w:p>
            <w:pPr>
              <w:pStyle w:val="Compact"/>
            </w:pPr>
            <w:r>
              <w:t xml:space="preserve">Often weak for copy-specific object history unless item notes exist</w:t>
            </w:r>
          </w:p>
        </w:tc>
        <w:tc>
          <w:tcPr/>
          <w:p>
            <w:pPr>
              <w:pStyle w:val="Compact"/>
            </w:pPr>
            <w:r>
              <w:t xml:space="preserve">Treat as primary for publication/manifestation claims, not automatically for unique-object claims</w:t>
            </w:r>
          </w:p>
        </w:tc>
      </w:tr>
      <w:tr>
        <w:tc>
          <w:tcPr/>
          <w:p>
            <w:pPr>
              <w:pStyle w:val="Compact"/>
            </w:pPr>
            <w:r>
              <w:t xml:space="preserve">Archival item records and finding aids</w:t>
            </w:r>
          </w:p>
        </w:tc>
        <w:tc>
          <w:tcPr/>
          <w:p>
            <w:pPr>
              <w:pStyle w:val="Compact"/>
            </w:pPr>
            <w:r>
              <w:t xml:space="preserve">High for provenance chains, creators of fonds, contextual relationships; variable for item-level facts</w:t>
            </w:r>
          </w:p>
        </w:tc>
        <w:tc>
          <w:tcPr/>
          <w:p>
            <w:pPr>
              <w:pStyle w:val="Compact"/>
            </w:pPr>
            <w:r>
              <w:t xml:space="preserve">Creator context, custodial history, relationship networks, collection structure</w:t>
            </w:r>
          </w:p>
        </w:tc>
        <w:tc>
          <w:tcPr/>
          <w:p>
            <w:pPr>
              <w:pStyle w:val="Compact"/>
            </w:pPr>
            <w:r>
              <w:t xml:space="preserve">Collection-level finding aids may be too coarse for item-level identity</w:t>
            </w:r>
          </w:p>
        </w:tc>
        <w:tc>
          <w:tcPr/>
          <w:p>
            <w:pPr>
              <w:pStyle w:val="Compact"/>
            </w:pPr>
            <w:r>
              <w:t xml:space="preserve">Keep item-level and collection-level evidence distinct; do not let collection description overwrite item specifics</w:t>
            </w:r>
          </w:p>
        </w:tc>
      </w:tr>
      <w:tr>
        <w:tc>
          <w:tcPr/>
          <w:p>
            <w:pPr>
              <w:pStyle w:val="Compact"/>
            </w:pPr>
            <w:r>
              <w:t xml:space="preserve">Contemporary primary sources such as periodical scans, exhibition checklists, colophons, advertisements</w:t>
            </w:r>
          </w:p>
        </w:tc>
        <w:tc>
          <w:tcPr/>
          <w:p>
            <w:pPr>
              <w:pStyle w:val="Compact"/>
            </w:pPr>
            <w:r>
              <w:t xml:space="preserve">High when dated and attributable</w:t>
            </w:r>
          </w:p>
        </w:tc>
        <w:tc>
          <w:tcPr/>
          <w:p>
            <w:pPr>
              <w:pStyle w:val="Compact"/>
            </w:pPr>
            <w:r>
              <w:t xml:space="preserve">Original titles, dates in use, event participation, contemporaneous creator attributions</w:t>
            </w:r>
          </w:p>
        </w:tc>
        <w:tc>
          <w:tcPr/>
          <w:p>
            <w:pPr>
              <w:pStyle w:val="Compact"/>
            </w:pPr>
            <w:r>
              <w:t xml:space="preserve">OCR noise, reproduction ambiguities, promotional overstatement</w:t>
            </w:r>
          </w:p>
        </w:tc>
        <w:tc>
          <w:tcPr/>
          <w:p>
            <w:pPr>
              <w:pStyle w:val="Compact"/>
            </w:pPr>
            <w:r>
              <w:t xml:space="preserve">Use as strong attestation when the scan is reviewable; keep OCR-derived text separate from verified transcription</w:t>
            </w:r>
          </w:p>
        </w:tc>
      </w:tr>
      <w:tr>
        <w:tc>
          <w:tcPr/>
          <w:p>
            <w:pPr>
              <w:pStyle w:val="Compact"/>
            </w:pPr>
            <w:r>
              <w:t xml:space="preserve">Designer archives, studio records, and author-controlled websites</w:t>
            </w:r>
          </w:p>
        </w:tc>
        <w:tc>
          <w:tcPr/>
          <w:p>
            <w:pPr>
              <w:pStyle w:val="Compact"/>
            </w:pPr>
            <w:r>
              <w:t xml:space="preserve">Medium to high, depending on provenance and capture</w:t>
            </w:r>
          </w:p>
        </w:tc>
        <w:tc>
          <w:tcPr/>
          <w:p>
            <w:pPr>
              <w:pStyle w:val="Compact"/>
            </w:pPr>
            <w:r>
              <w:t xml:space="preserve">Self-description, project lists, studio credits, official statements on rights or biography</w:t>
            </w:r>
          </w:p>
        </w:tc>
        <w:tc>
          <w:tcPr/>
          <w:p>
            <w:pPr>
              <w:pStyle w:val="Compact"/>
            </w:pPr>
            <w:r>
              <w:t xml:space="preserve">Promotional framing, retrospective revision, disappearing pages</w:t>
            </w:r>
          </w:p>
        </w:tc>
        <w:tc>
          <w:tcPr/>
          <w:p>
            <w:pPr>
              <w:pStyle w:val="Compact"/>
            </w:pPr>
            <w:r>
              <w:t xml:space="preserve">Use as attributable source records; capture version and date; corroborate retrospective chronology when possible</w:t>
            </w:r>
          </w:p>
        </w:tc>
      </w:tr>
      <w:tr>
        <w:tc>
          <w:tcPr/>
          <w:p>
            <w:pPr>
              <w:pStyle w:val="Compact"/>
            </w:pPr>
            <w:r>
              <w:t xml:space="preserve">Community archives and community-informed sources</w:t>
            </w:r>
          </w:p>
        </w:tc>
        <w:tc>
          <w:tcPr/>
          <w:p>
            <w:pPr>
              <w:pStyle w:val="Compact"/>
            </w:pPr>
            <w:r>
              <w:t xml:space="preserve">High for self-identification, community-preferred names, cultural context, sensitivity notes, access protocols</w:t>
            </w:r>
          </w:p>
        </w:tc>
        <w:tc>
          <w:tcPr/>
          <w:p>
            <w:pPr>
              <w:pStyle w:val="Compact"/>
            </w:pPr>
            <w:r>
              <w:t xml:space="preserve">Names, community context, reparative description, culturally appropriate access language</w:t>
            </w:r>
          </w:p>
        </w:tc>
        <w:tc>
          <w:tcPr/>
          <w:p>
            <w:pPr>
              <w:pStyle w:val="Compact"/>
            </w:pPr>
            <w:r>
              <w:t xml:space="preserve">May use different categorizations than legacy GLAM systems; may be under-cited by mainstream sources</w:t>
            </w:r>
          </w:p>
        </w:tc>
        <w:tc>
          <w:tcPr/>
          <w:p>
            <w:pPr>
              <w:pStyle w:val="Compact"/>
            </w:pPr>
            <w:r>
              <w:t xml:space="preserve">For community-defined claims, these sources can override legacy institutional headings on the public surface while the legacy term is retained as historical evidence</w:t>
            </w:r>
          </w:p>
        </w:tc>
      </w:tr>
      <w:tr>
        <w:tc>
          <w:tcPr/>
          <w:p>
            <w:pPr>
              <w:pStyle w:val="Compact"/>
            </w:pPr>
            <w:r>
              <w:t xml:space="preserve">Scholarly monographs, catalogues raisonnés, exhibition essays, peer-reviewed articles</w:t>
            </w:r>
          </w:p>
        </w:tc>
        <w:tc>
          <w:tcPr/>
          <w:p>
            <w:pPr>
              <w:pStyle w:val="Compact"/>
            </w:pPr>
            <w:r>
              <w:t xml:space="preserve">Medium to high for argued synthesis</w:t>
            </w:r>
          </w:p>
        </w:tc>
        <w:tc>
          <w:tcPr/>
          <w:p>
            <w:pPr>
              <w:pStyle w:val="Compact"/>
            </w:pPr>
            <w:r>
              <w:t xml:space="preserve">Historiography, contested attributions, comparative interpretation, source reconciliation</w:t>
            </w:r>
          </w:p>
        </w:tc>
        <w:tc>
          <w:tcPr/>
          <w:p>
            <w:pPr>
              <w:pStyle w:val="Compact"/>
            </w:pPr>
            <w:r>
              <w:t xml:space="preserve">Can silently harmonize earlier disagreement or privilege one school of interpretation</w:t>
            </w:r>
          </w:p>
        </w:tc>
        <w:tc>
          <w:tcPr/>
          <w:p>
            <w:pPr>
              <w:pStyle w:val="Compact"/>
            </w:pPr>
            <w:r>
              <w:t xml:space="preserve">Use for interpretive claims and justified preferences, but do not let them erase direct evidence in source records</w:t>
            </w:r>
          </w:p>
        </w:tc>
      </w:tr>
      <w:tr>
        <w:tc>
          <w:tcPr/>
          <w:p>
            <w:pPr>
              <w:pStyle w:val="Compact"/>
            </w:pPr>
            <w:r>
              <w:t xml:space="preserve">OCR, NER, or other machine extraction</w:t>
            </w:r>
          </w:p>
        </w:tc>
        <w:tc>
          <w:tcPr/>
          <w:p>
            <w:pPr>
              <w:pStyle w:val="Compact"/>
            </w:pPr>
            <w:r>
              <w:t xml:space="preserve">Low unless reviewed; medium as search aid</w:t>
            </w:r>
          </w:p>
        </w:tc>
        <w:tc>
          <w:tcPr/>
          <w:p>
            <w:pPr>
              <w:pStyle w:val="Compact"/>
            </w:pPr>
            <w:r>
              <w:t xml:space="preserve">Discovery, blocking candidates, extracting leads from scans</w:t>
            </w:r>
          </w:p>
        </w:tc>
        <w:tc>
          <w:tcPr/>
          <w:p>
            <w:pPr>
              <w:pStyle w:val="Compact"/>
            </w:pPr>
            <w:r>
              <w:t xml:space="preserve">Error, poor confidence calibration, loss of layout context</w:t>
            </w:r>
          </w:p>
        </w:tc>
        <w:tc>
          <w:tcPr/>
          <w:p>
            <w:pPr>
              <w:pStyle w:val="Compact"/>
            </w:pPr>
            <w:r>
              <w:t xml:space="preserve">Never treat unreviewed extraction as authoritative description; keep confidence, page/region pointer, and review state</w:t>
            </w:r>
          </w:p>
        </w:tc>
      </w:tr>
      <w:tr>
        <w:tc>
          <w:tcPr/>
          <w:p>
            <w:pPr>
              <w:pStyle w:val="Compact"/>
            </w:pPr>
            <w:r>
              <w:t xml:space="preserve">Social media discovery</w:t>
            </w:r>
          </w:p>
        </w:tc>
        <w:tc>
          <w:tcPr/>
          <w:p>
            <w:pPr>
              <w:pStyle w:val="Compact"/>
            </w:pPr>
            <w:r>
              <w:t xml:space="preserve">Low to medium, depending on account authenticity and capture</w:t>
            </w:r>
          </w:p>
        </w:tc>
        <w:tc>
          <w:tcPr/>
          <w:p>
            <w:pPr>
              <w:pStyle w:val="Compact"/>
            </w:pPr>
            <w:r>
              <w:t xml:space="preserve">Discovery of ephemeral evidence, self-published announcements, community circulation</w:t>
            </w:r>
          </w:p>
        </w:tc>
        <w:tc>
          <w:tcPr/>
          <w:p>
            <w:pPr>
              <w:pStyle w:val="Compact"/>
            </w:pPr>
            <w:r>
              <w:t xml:space="preserve">Platform ephemerality, identity ambiguity, stripped context, edited/deleted posts</w:t>
            </w:r>
          </w:p>
        </w:tc>
        <w:tc>
          <w:tcPr/>
          <w:p>
            <w:pPr>
              <w:pStyle w:val="Compact"/>
            </w:pPr>
            <w:r>
              <w:t xml:space="preserve">Use as lead evidence or as a captured source record only if content and context were preserved promptly</w:t>
            </w:r>
          </w:p>
        </w:tc>
      </w:tr>
      <w:tr>
        <w:tc>
          <w:tcPr/>
          <w:p>
            <w:pPr>
              <w:pStyle w:val="Compact"/>
            </w:pPr>
            <w:r>
              <w:t xml:space="preserve">Rehosted image sources and image aggregators</w:t>
            </w:r>
          </w:p>
        </w:tc>
        <w:tc>
          <w:tcPr/>
          <w:p>
            <w:pPr>
              <w:pStyle w:val="Compact"/>
            </w:pPr>
            <w:r>
              <w:t xml:space="preserve">Low for identity and rights; medium for access only</w:t>
            </w:r>
          </w:p>
        </w:tc>
        <w:tc>
          <w:tcPr/>
          <w:p>
            <w:pPr>
              <w:pStyle w:val="Compact"/>
            </w:pPr>
            <w:r>
              <w:t xml:space="preserve">Image discovery, visual comparison, locating higher-quality copies</w:t>
            </w:r>
          </w:p>
        </w:tc>
        <w:tc>
          <w:tcPr/>
          <w:p>
            <w:pPr>
              <w:pStyle w:val="Compact"/>
            </w:pPr>
            <w:r>
              <w:t xml:space="preserve">Broken provenance chain, stripped metadata, unclear rights</w:t>
            </w:r>
          </w:p>
        </w:tc>
        <w:tc>
          <w:tcPr/>
          <w:p>
            <w:pPr>
              <w:pStyle w:val="Compact"/>
            </w:pPr>
            <w:r>
              <w:t xml:space="preserve">Treat as access copies or candidate leads unless provenance to a canonical or archived source is established</w:t>
            </w:r>
          </w:p>
        </w:tc>
      </w:tr>
    </w:tbl>
    <w:p>
      <w:pPr>
        <w:pStyle w:val="BodyText"/>
      </w:pPr>
      <w:r>
        <w:t xml:space="preserve">This hierarchy is grounded in source-linking and provenance standards, but it also requires</w:t>
      </w:r>
      <w:r>
        <w:t xml:space="preserve"> </w:t>
      </w:r>
      <w:r>
        <w:rPr>
          <w:b/>
          <w:bCs/>
        </w:rPr>
        <w:t xml:space="preserve">claim-jurisdiction overrides</w:t>
      </w:r>
      <w:r>
        <w:t xml:space="preserve">. For example, community-preferred names and culturally appropriate terminology should generally outrank legacy institutional headings on the public surface; current repository location should generally be taken from the current holding institution; and manifestation-level publication facts should generally defer to library or serial control plus contemporary imprint evidence. OCR is useful for full-text search, but OCR confidence is not the same as truth, and the Library of Congress’ ALTO standard and newspaper-digitization practice both emphasize that OCR output is a technical layer attached to page images rather than a substitute for verified description. Social-media records guidance likewise stresses capturing both content and context as soon as possible because externally hosted posts are unstable.</w:t>
      </w:r>
      <w:r>
        <w:t xml:space="preserve"> </w:t>
      </w:r>
      <w:hyperlink r:id="rId29">
        <w:r>
          <w:rPr>
            <w:rStyle w:val="Hyperlink"/>
          </w:rPr>
          <w:t xml:space="preserve">[8]</w:t>
        </w:r>
      </w:hyperlink>
    </w:p>
    <w:p>
      <w:pPr>
        <w:pStyle w:val="BodyText"/>
      </w:pPr>
      <w:r>
        <w:t xml:space="preserve">A practical implementation should score each field-level claim with a short, inspectable rubric such as:</w:t>
      </w:r>
      <w:r>
        <w:t xml:space="preserve"> </w:t>
      </w:r>
      <w:r>
        <w:rPr>
          <w:b/>
          <w:bCs/>
        </w:rPr>
        <w:t xml:space="preserve">source proximity + claim jurisdiction + identifier strength + corroboration − method penalty</w:t>
      </w:r>
      <w:r>
        <w:t xml:space="preserve">. The result should be stored as an editable project assessment, not mistaken for an objective fact. Europeana’s provenance extension exists precisely because end users need to know where enrichments and translations came from in order to judge their quality.</w:t>
      </w:r>
      <w:r>
        <w:t xml:space="preserve"> </w:t>
      </w:r>
      <w:hyperlink r:id="rId30">
        <w:r>
          <w:rPr>
            <w:rStyle w:val="Hyperlink"/>
          </w:rPr>
          <w:t xml:space="preserve">[9]</w:t>
        </w:r>
      </w:hyperlink>
    </w:p>
    <w:bookmarkEnd w:id="31"/>
    <w:bookmarkStart w:id="37" w:name="record-linking-decision-tree"/>
    <w:p>
      <w:pPr>
        <w:pStyle w:val="Heading2"/>
      </w:pPr>
      <w:r>
        <w:t xml:space="preserve">Record-linking decision tree</w:t>
      </w:r>
    </w:p>
    <w:p>
      <w:pPr>
        <w:pStyle w:val="FirstParagraph"/>
      </w:pPr>
      <w:r>
        <w:t xml:space="preserve">The archive should link records through a decision process that begins with</w:t>
      </w:r>
      <w:r>
        <w:t xml:space="preserve"> </w:t>
      </w:r>
      <w:r>
        <w:rPr>
          <w:b/>
          <w:bCs/>
        </w:rPr>
        <w:t xml:space="preserve">entity typing and level separation</w:t>
      </w:r>
      <w:r>
        <w:t xml:space="preserve">, then moves to matching, then to public presentation. Computational methods are useful for candidate generation—Heritage Connector uses named-entity recognition, entity linking, and speculative identification at scale—but PHAROS work is clear that cultural-heritage reconciliation is often many-to-many and needs human review at identity boundaries.</w:t>
      </w:r>
      <w:r>
        <w:t xml:space="preserve"> </w:t>
      </w:r>
      <w:hyperlink r:id="rId32">
        <w:r>
          <w:rPr>
            <w:rStyle w:val="Hyperlink"/>
          </w:rPr>
          <w:t xml:space="preserve">[10]</w:t>
        </w:r>
      </w:hyperlink>
    </w:p>
    <w:p>
      <w:pPr>
        <w:pStyle w:val="BodyText"/>
      </w:pPr>
      <w:r>
        <w:t xml:space="preserve">Use this decision tree:</w:t>
      </w:r>
    </w:p>
    <w:p>
      <w:pPr>
        <w:numPr>
          <w:ilvl w:val="0"/>
          <w:numId w:val="1001"/>
        </w:numPr>
      </w:pPr>
      <w:r>
        <w:rPr>
          <w:b/>
          <w:bCs/>
        </w:rPr>
        <w:t xml:space="preserve">Preserve the source record first.</w:t>
      </w:r>
      <w:r>
        <w:t xml:space="preserve"> </w:t>
      </w:r>
      <w:r>
        <w:t xml:space="preserve">Mint a stable local source-record ID before attempting linkage. Record provider, local identifier, URL, access date, capture method, and version.</w:t>
      </w:r>
      <w:r>
        <w:t xml:space="preserve"> </w:t>
      </w:r>
      <w:hyperlink r:id="rId24">
        <w:r>
          <w:rPr>
            <w:rStyle w:val="Hyperlink"/>
          </w:rPr>
          <w:t xml:space="preserve">[11]</w:t>
        </w:r>
      </w:hyperlink>
    </w:p>
    <w:p>
      <w:pPr>
        <w:numPr>
          <w:ilvl w:val="0"/>
          <w:numId w:val="1001"/>
        </w:numPr>
      </w:pPr>
      <w:r>
        <w:rPr>
          <w:b/>
          <w:bCs/>
        </w:rPr>
        <w:t xml:space="preserve">Classify the entity layer described by the source.</w:t>
      </w:r>
      <w:r>
        <w:t xml:space="preserve"> </w:t>
      </w:r>
      <w:r>
        <w:t xml:space="preserve">Is it describing a work/design concept, a manifestation/edition, an individual item/object, an event, an agent, a movement, a publication title, or a visual record/digital surrogate? If two records sit on different layers, do</w:t>
      </w:r>
      <w:r>
        <w:t xml:space="preserve"> </w:t>
      </w:r>
      <w:r>
        <w:rPr>
          <w:b/>
          <w:bCs/>
        </w:rPr>
        <w:t xml:space="preserve">not</w:t>
      </w:r>
      <w:r>
        <w:t xml:space="preserve"> </w:t>
      </w:r>
      <w:r>
        <w:t xml:space="preserve">merge them; relate them. IFLA LRM, Linked Art, Europeana EDM, and CIDOC CRM all support this separation.</w:t>
      </w:r>
      <w:r>
        <w:t xml:space="preserve"> </w:t>
      </w:r>
      <w:hyperlink r:id="rId23">
        <w:r>
          <w:rPr>
            <w:rStyle w:val="Hyperlink"/>
          </w:rPr>
          <w:t xml:space="preserve">[12]</w:t>
        </w:r>
      </w:hyperlink>
    </w:p>
    <w:p>
      <w:pPr>
        <w:numPr>
          <w:ilvl w:val="0"/>
          <w:numId w:val="1001"/>
        </w:numPr>
      </w:pPr>
      <w:r>
        <w:rPr>
          <w:b/>
          <w:bCs/>
        </w:rPr>
        <w:t xml:space="preserve">Look for hard anchors.</w:t>
      </w:r>
      <w:r>
        <w:t xml:space="preserve"> </w:t>
      </w:r>
      <w:r>
        <w:t xml:space="preserve">Shared accession numbers, call numbers, issue numbers, shelfmarks, persistent identifiers, colophon data, edition statements, signed inscriptions, or stable image/scan anchors are stronger than text similarity alone. Library and serial guidance also supports citation and identification at multiple levels of granularity.</w:t>
      </w:r>
      <w:r>
        <w:t xml:space="preserve"> </w:t>
      </w:r>
      <w:hyperlink r:id="rId33">
        <w:r>
          <w:rPr>
            <w:rStyle w:val="Hyperlink"/>
          </w:rPr>
          <w:t xml:space="preserve">[13]</w:t>
        </w:r>
      </w:hyperlink>
    </w:p>
    <w:p>
      <w:pPr>
        <w:numPr>
          <w:ilvl w:val="0"/>
          <w:numId w:val="1001"/>
        </w:numPr>
      </w:pPr>
      <w:r>
        <w:rPr>
          <w:b/>
          <w:bCs/>
        </w:rPr>
        <w:t xml:space="preserve">Compare a claim bundle, not one field.</w:t>
      </w:r>
      <w:r>
        <w:t xml:space="preserve"> </w:t>
      </w:r>
      <w:r>
        <w:t xml:space="preserve">Compare title(s), creator string(s) and role(s), dates as text and normalized range, place(s), medium/form, language/script, dimensions, notes, collection context, image evidence, and relationships to events or publications. A candidate match created only because two titles look alike should remain provisional. PHAROS specifically reports that incomplete data, shifting attributions, and different cataloging traditions make one-field matching unsafe.</w:t>
      </w:r>
      <w:r>
        <w:t xml:space="preserve"> </w:t>
      </w:r>
      <w:hyperlink r:id="rId34">
        <w:r>
          <w:rPr>
            <w:rStyle w:val="Hyperlink"/>
          </w:rPr>
          <w:t xml:space="preserve">[14]</w:t>
        </w:r>
      </w:hyperlink>
    </w:p>
    <w:p>
      <w:pPr>
        <w:numPr>
          <w:ilvl w:val="0"/>
          <w:numId w:val="1001"/>
        </w:numPr>
      </w:pPr>
      <w:r>
        <w:rPr>
          <w:b/>
          <w:bCs/>
        </w:rPr>
        <w:t xml:space="preserve">Apply a layer-specific identity test.</w:t>
      </w:r>
    </w:p>
    <w:p>
      <w:pPr>
        <w:numPr>
          <w:ilvl w:val="0"/>
          <w:numId w:val="1001"/>
        </w:numPr>
      </w:pPr>
      <w:r>
        <w:t xml:space="preserve">If the records describe the</w:t>
      </w:r>
      <w:r>
        <w:t xml:space="preserve"> </w:t>
      </w:r>
      <w:r>
        <w:rPr>
          <w:b/>
          <w:bCs/>
        </w:rPr>
        <w:t xml:space="preserve">same item/object</w:t>
      </w:r>
      <w:r>
        <w:t xml:space="preserve">, require strong anchors or a very strong multi-field bundle.</w:t>
      </w:r>
    </w:p>
    <w:p>
      <w:pPr>
        <w:pStyle w:val="Compact"/>
        <w:numPr>
          <w:ilvl w:val="0"/>
          <w:numId w:val="1001"/>
        </w:numPr>
      </w:pPr>
      <w:r>
        <w:t xml:space="preserve">If they describe the</w:t>
      </w:r>
      <w:r>
        <w:t xml:space="preserve"> </w:t>
      </w:r>
      <w:r>
        <w:rPr>
          <w:b/>
          <w:bCs/>
        </w:rPr>
        <w:t xml:space="preserve">same design/work but different editions, reprints, language versions, or carriers</w:t>
      </w:r>
      <w:r>
        <w:t xml:space="preserve">, relate them as different manifestations or items under a higher-level grouping.</w:t>
      </w:r>
    </w:p>
    <w:p>
      <w:pPr>
        <w:pStyle w:val="Compact"/>
        <w:numPr>
          <w:ilvl w:val="0"/>
          <w:numId w:val="1001"/>
        </w:numPr>
      </w:pPr>
      <w:r>
        <w:t xml:space="preserve">If they describe the</w:t>
      </w:r>
      <w:r>
        <w:t xml:space="preserve"> </w:t>
      </w:r>
      <w:r>
        <w:rPr>
          <w:b/>
          <w:bCs/>
        </w:rPr>
        <w:t xml:space="preserve">same visual composition appearing on different supports</w:t>
      </w:r>
      <w:r>
        <w:t xml:space="preserve">, model “same visual item/different carrier,” following CIDOC CRM’s</w:t>
      </w:r>
      <w:r>
        <w:t xml:space="preserve"> </w:t>
      </w:r>
      <w:r>
        <w:rPr>
          <w:rStyle w:val="VerbatimChar"/>
        </w:rPr>
        <w:t xml:space="preserve">E36 Visual Item</w:t>
      </w:r>
      <w:r>
        <w:t xml:space="preserve">.</w:t>
      </w:r>
    </w:p>
    <w:p>
      <w:pPr>
        <w:numPr>
          <w:ilvl w:val="0"/>
          <w:numId w:val="1001"/>
        </w:numPr>
      </w:pPr>
      <w:r>
        <w:t xml:space="preserve">If one record is only a scan or web image of another item, relate it as a digital surrogate or web resource, not as a second object.</w:t>
      </w:r>
      <w:r>
        <w:t xml:space="preserve"> </w:t>
      </w:r>
      <w:hyperlink r:id="rId23">
        <w:r>
          <w:rPr>
            <w:rStyle w:val="Hyperlink"/>
          </w:rPr>
          <w:t xml:space="preserve">[15]</w:t>
        </w:r>
      </w:hyperlink>
    </w:p>
    <w:p>
      <w:pPr>
        <w:numPr>
          <w:ilvl w:val="0"/>
          <w:numId w:val="1001"/>
        </w:numPr>
      </w:pPr>
      <w:r>
        <w:rPr>
          <w:b/>
          <w:bCs/>
        </w:rPr>
        <w:t xml:space="preserve">Check for material contradiction.</w:t>
      </w:r>
      <w:r>
        <w:t xml:space="preserve"> </w:t>
      </w:r>
      <w:r>
        <w:t xml:space="preserve">If core identity fields conflict in ways that would change historical interpretation—different creators, dates, titles in distinct sources, different places of production versus publication, different rights, or different language/expression status—do not suppress the conflict. CIDOC CRM explicitly allows contradictory assigned values to coexist as attributed opinions.</w:t>
      </w:r>
      <w:r>
        <w:t xml:space="preserve"> </w:t>
      </w:r>
      <w:hyperlink r:id="rId35">
        <w:r>
          <w:rPr>
            <w:rStyle w:val="Hyperlink"/>
          </w:rPr>
          <w:t xml:space="preserve">[16]</w:t>
        </w:r>
      </w:hyperlink>
    </w:p>
    <w:p>
      <w:pPr>
        <w:numPr>
          <w:ilvl w:val="0"/>
          <w:numId w:val="1001"/>
        </w:numPr>
      </w:pPr>
      <w:r>
        <w:rPr>
          <w:b/>
          <w:bCs/>
        </w:rPr>
        <w:t xml:space="preserve">Choose one of three outcomes.</w:t>
      </w:r>
    </w:p>
    <w:p>
      <w:pPr>
        <w:numPr>
          <w:ilvl w:val="0"/>
          <w:numId w:val="1001"/>
        </w:numPr>
      </w:pPr>
      <w:r>
        <w:t xml:space="preserve">If same layer and identity is strong: create a composite main record.</w:t>
      </w:r>
    </w:p>
    <w:p>
      <w:pPr>
        <w:pStyle w:val="Compact"/>
        <w:numPr>
          <w:ilvl w:val="0"/>
          <w:numId w:val="1001"/>
        </w:numPr>
      </w:pPr>
      <w:r>
        <w:t xml:space="preserve">If the larger cluster is coherent but differences are intrinsic or unresolved: create a grouped appendix/dossier.</w:t>
      </w:r>
    </w:p>
    <w:p>
      <w:pPr>
        <w:numPr>
          <w:ilvl w:val="0"/>
          <w:numId w:val="1001"/>
        </w:numPr>
      </w:pPr>
      <w:r>
        <w:t xml:space="preserve">If identity is weak or disputed at the entity layer: keep separate records and add a “possibly same as” relation.</w:t>
      </w:r>
      <w:r>
        <w:t xml:space="preserve"> </w:t>
      </w:r>
      <w:hyperlink r:id="rId34">
        <w:r>
          <w:rPr>
            <w:rStyle w:val="Hyperlink"/>
          </w:rPr>
          <w:t xml:space="preserve">[17]</w:t>
        </w:r>
      </w:hyperlink>
    </w:p>
    <w:p>
      <w:pPr>
        <w:numPr>
          <w:ilvl w:val="0"/>
          <w:numId w:val="1001"/>
        </w:numPr>
      </w:pPr>
      <w:r>
        <w:rPr>
          <w:b/>
          <w:bCs/>
        </w:rPr>
        <w:t xml:space="preserve">Require human review at the identity boundary.</w:t>
      </w:r>
      <w:r>
        <w:t xml:space="preserve"> </w:t>
      </w:r>
      <w:r>
        <w:t xml:space="preserve">Automated systems may suggest links, but only reviewed links should drive composite public sheets. Machine suggestions should remain visible in an internal review queue, with score components and reviewer disposition stored for reproducibility. Heritage Connector’s approach and archival authenticity literature both support heavy metadata capture around such transformations.</w:t>
      </w:r>
      <w:r>
        <w:t xml:space="preserve"> </w:t>
      </w:r>
      <w:hyperlink r:id="rId32">
        <w:r>
          <w:rPr>
            <w:rStyle w:val="Hyperlink"/>
          </w:rPr>
          <w:t xml:space="preserve">[18]</w:t>
        </w:r>
      </w:hyperlink>
    </w:p>
    <w:p>
      <w:pPr>
        <w:pStyle w:val="FirstParagraph"/>
      </w:pPr>
      <w:r>
        <w:t xml:space="preserve">For uncertainty labels, use a small, explicit vocabulary on the public surface:</w:t>
      </w:r>
      <w:r>
        <w:t xml:space="preserve"> </w:t>
      </w:r>
      <w:r>
        <w:rPr>
          <w:b/>
          <w:bCs/>
        </w:rPr>
        <w:t xml:space="preserve">same entity confirmed</w:t>
      </w:r>
      <w:r>
        <w:t xml:space="preserve">,</w:t>
      </w:r>
      <w:r>
        <w:t xml:space="preserve"> </w:t>
      </w:r>
      <w:r>
        <w:rPr>
          <w:b/>
          <w:bCs/>
        </w:rPr>
        <w:t xml:space="preserve">possibly same as</w:t>
      </w:r>
      <w:r>
        <w:t xml:space="preserve">,</w:t>
      </w:r>
      <w:r>
        <w:t xml:space="preserve"> </w:t>
      </w:r>
      <w:r>
        <w:rPr>
          <w:b/>
          <w:bCs/>
        </w:rPr>
        <w:t xml:space="preserve">same work different manifestation</w:t>
      </w:r>
      <w:r>
        <w:t xml:space="preserve">,</w:t>
      </w:r>
      <w:r>
        <w:t xml:space="preserve"> </w:t>
      </w:r>
      <w:r>
        <w:rPr>
          <w:b/>
          <w:bCs/>
        </w:rPr>
        <w:t xml:space="preserve">same visual item different carrier</w:t>
      </w:r>
      <w:r>
        <w:t xml:space="preserve">,</w:t>
      </w:r>
      <w:r>
        <w:t xml:space="preserve"> </w:t>
      </w:r>
      <w:r>
        <w:rPr>
          <w:b/>
          <w:bCs/>
        </w:rPr>
        <w:t xml:space="preserve">derived from</w:t>
      </w:r>
      <w:r>
        <w:t xml:space="preserve">,</w:t>
      </w:r>
      <w:r>
        <w:t xml:space="preserve"> </w:t>
      </w:r>
      <w:r>
        <w:rPr>
          <w:b/>
          <w:bCs/>
        </w:rPr>
        <w:t xml:space="preserve">translation of</w:t>
      </w:r>
      <w:r>
        <w:t xml:space="preserve">,</w:t>
      </w:r>
      <w:r>
        <w:t xml:space="preserve"> </w:t>
      </w:r>
      <w:r>
        <w:rPr>
          <w:b/>
          <w:bCs/>
        </w:rPr>
        <w:t xml:space="preserve">documents</w:t>
      </w:r>
      <w:r>
        <w:t xml:space="preserve">, and</w:t>
      </w:r>
      <w:r>
        <w:t xml:space="preserve"> </w:t>
      </w:r>
      <w:r>
        <w:rPr>
          <w:b/>
          <w:bCs/>
        </w:rPr>
        <w:t xml:space="preserve">related but not same</w:t>
      </w:r>
      <w:r>
        <w:t xml:space="preserve">. As a design inference from SKOS and PHAROS, avoid very strong semantic equivalence claims casually:</w:t>
      </w:r>
      <w:r>
        <w:t xml:space="preserve"> </w:t>
      </w:r>
      <w:r>
        <w:rPr>
          <w:rStyle w:val="VerbatimChar"/>
        </w:rPr>
        <w:t xml:space="preserve">skos:exactMatch</w:t>
      </w:r>
      <w:r>
        <w:t xml:space="preserve"> </w:t>
      </w:r>
      <w:r>
        <w:t xml:space="preserve">and</w:t>
      </w:r>
      <w:r>
        <w:t xml:space="preserve"> </w:t>
      </w:r>
      <w:r>
        <w:rPr>
          <w:rStyle w:val="VerbatimChar"/>
        </w:rPr>
        <w:t xml:space="preserve">skos:closeMatch</w:t>
      </w:r>
      <w:r>
        <w:t xml:space="preserve"> </w:t>
      </w:r>
      <w:r>
        <w:t xml:space="preserve">are already differentiated for concept mappings, and SKOS makes clear that they are not the same as</w:t>
      </w:r>
      <w:r>
        <w:t xml:space="preserve"> </w:t>
      </w:r>
      <w:r>
        <w:rPr>
          <w:rStyle w:val="VerbatimChar"/>
        </w:rPr>
        <w:t xml:space="preserve">owl:sameAs</w:t>
      </w:r>
      <w:r>
        <w:t xml:space="preserve">. For object identities in a research archive, a project-specific reviewed relation is usually safer than a universal identity assertion.</w:t>
      </w:r>
      <w:r>
        <w:t xml:space="preserve"> </w:t>
      </w:r>
      <w:hyperlink r:id="rId36">
        <w:r>
          <w:rPr>
            <w:rStyle w:val="Hyperlink"/>
          </w:rPr>
          <w:t xml:space="preserve">[19]</w:t>
        </w:r>
      </w:hyperlink>
    </w:p>
    <w:bookmarkEnd w:id="37"/>
    <w:bookmarkStart w:id="39" w:name="X7190ccba746620348b42b548ca0975da83d63b1"/>
    <w:p>
      <w:pPr>
        <w:pStyle w:val="Heading2"/>
      </w:pPr>
      <w:r>
        <w:t xml:space="preserve">Rules for composite records, grouped appendices, and separate records</w:t>
      </w:r>
    </w:p>
    <w:p>
      <w:pPr>
        <w:pStyle w:val="FirstParagraph"/>
      </w:pPr>
      <w:r>
        <w:t xml:space="preserve">A</w:t>
      </w:r>
      <w:r>
        <w:t xml:space="preserve"> </w:t>
      </w:r>
      <w:r>
        <w:rPr>
          <w:b/>
          <w:bCs/>
        </w:rPr>
        <w:t xml:space="preserve">composite main record</w:t>
      </w:r>
      <w:r>
        <w:t xml:space="preserve"> </w:t>
      </w:r>
      <w:r>
        <w:t xml:space="preserve">should be created only when multiple source records clearly describe the</w:t>
      </w:r>
      <w:r>
        <w:t xml:space="preserve"> </w:t>
      </w:r>
      <w:r>
        <w:rPr>
          <w:b/>
          <w:bCs/>
        </w:rPr>
        <w:t xml:space="preserve">same entity at the same granularity</w:t>
      </w:r>
      <w:r>
        <w:t xml:space="preserve"> </w:t>
      </w:r>
      <w:r>
        <w:t xml:space="preserve">and the archive can responsibly present a single navigational sheet without erasing disagreement. In that case, the main record is a</w:t>
      </w:r>
      <w:r>
        <w:t xml:space="preserve"> </w:t>
      </w:r>
      <w:r>
        <w:rPr>
          <w:b/>
          <w:bCs/>
        </w:rPr>
        <w:t xml:space="preserve">view</w:t>
      </w:r>
      <w:r>
        <w:t xml:space="preserve"> </w:t>
      </w:r>
      <w:r>
        <w:t xml:space="preserve">over the evidence, not a replacement for it. Europeana’s proxy pattern is the clearest precedent: multiple providers may contribute separate descriptions of the same “real” object, and those provider views are preserved through distinct proxies linked to one underlying cultural object.</w:t>
      </w:r>
      <w:r>
        <w:t xml:space="preserve"> </w:t>
      </w:r>
      <w:hyperlink r:id="rId28">
        <w:r>
          <w:rPr>
            <w:rStyle w:val="Hyperlink"/>
          </w:rPr>
          <w:t xml:space="preserve">[20]</w:t>
        </w:r>
      </w:hyperlink>
    </w:p>
    <w:p>
      <w:pPr>
        <w:pStyle w:val="BodyText"/>
      </w:pPr>
      <w:r>
        <w:t xml:space="preserve">A</w:t>
      </w:r>
      <w:r>
        <w:t xml:space="preserve"> </w:t>
      </w:r>
      <w:r>
        <w:rPr>
          <w:b/>
          <w:bCs/>
        </w:rPr>
        <w:t xml:space="preserve">grouped appendix</w:t>
      </w:r>
      <w:r>
        <w:t xml:space="preserve"> </w:t>
      </w:r>
      <w:r>
        <w:t xml:space="preserve">or</w:t>
      </w:r>
      <w:r>
        <w:t xml:space="preserve"> </w:t>
      </w:r>
      <w:r>
        <w:rPr>
          <w:b/>
          <w:bCs/>
        </w:rPr>
        <w:t xml:space="preserve">dossier page</w:t>
      </w:r>
      <w:r>
        <w:t xml:space="preserve"> </w:t>
      </w:r>
      <w:r>
        <w:t xml:space="preserve">should be used when the relationship is real but a single normalized sheet would be misleading. This is the right choice for clusters such as: same work across multiple manifestations; same visual item across different carriers; a publication title with separate issue-level evidence; or an unresolved candidate cluster where sources clearly concern a small scholarly problem but do not yet justify one sheet of asserted facts. This mode best matches LRM’s work/expression/manifestation distinctions, Linked Art’s separation of information content from digital carrier, and PHAROS’ emphasis on many-to-many reconciliation.</w:t>
      </w:r>
      <w:r>
        <w:t xml:space="preserve"> </w:t>
      </w:r>
      <w:hyperlink r:id="rId23">
        <w:r>
          <w:rPr>
            <w:rStyle w:val="Hyperlink"/>
          </w:rPr>
          <w:t xml:space="preserve">[21]</w:t>
        </w:r>
      </w:hyperlink>
    </w:p>
    <w:p>
      <w:pPr>
        <w:pStyle w:val="BodyText"/>
      </w:pPr>
      <w:r>
        <w:t xml:space="preserve">A</w:t>
      </w:r>
      <w:r>
        <w:t xml:space="preserve"> </w:t>
      </w:r>
      <w:r>
        <w:rPr>
          <w:b/>
          <w:bCs/>
        </w:rPr>
        <w:t xml:space="preserve">separate record</w:t>
      </w:r>
      <w:r>
        <w:t xml:space="preserve"> </w:t>
      </w:r>
      <w:r>
        <w:t xml:space="preserve">should remain separate whenever evidence is insufficient, entity levels differ, or the conflict is itself historically meaningful. The Code4Lib case of reconciling Florentine drawings is instructive: the project deliberately minted two URIs rather than collapse historically distinct identities into one modern authority entry, because preserving the philological value of the original catalog mattered. That logic is directly applicable to design-history data.</w:t>
      </w:r>
      <w:r>
        <w:t xml:space="preserve"> </w:t>
      </w:r>
      <w:hyperlink r:id="rId38">
        <w:r>
          <w:rPr>
            <w:rStyle w:val="Hyperlink"/>
          </w:rPr>
          <w:t xml:space="preserve">[22]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mode</w:t>
            </w:r>
          </w:p>
        </w:tc>
        <w:tc>
          <w:tcPr/>
          <w:p>
            <w:pPr>
              <w:pStyle w:val="Compact"/>
            </w:pPr>
            <w:r>
              <w:t xml:space="preserve">Use when</w:t>
            </w:r>
          </w:p>
        </w:tc>
        <w:tc>
          <w:tcPr/>
          <w:p>
            <w:pPr>
              <w:pStyle w:val="Compact"/>
            </w:pPr>
            <w:r>
              <w:t xml:space="preserve">Do not use when</w:t>
            </w:r>
          </w:p>
        </w:tc>
        <w:tc>
          <w:tcPr/>
          <w:p>
            <w:pPr>
              <w:pStyle w:val="Compact"/>
            </w:pPr>
            <w:r>
              <w:t xml:space="preserve">Public display rule</w:t>
            </w:r>
          </w:p>
        </w:tc>
      </w:tr>
      <w:tr>
        <w:tc>
          <w:tcPr/>
          <w:p>
            <w:pPr>
              <w:pStyle w:val="Compact"/>
            </w:pPr>
            <w:r>
              <w:t xml:space="preserve">Composite main record</w:t>
            </w:r>
          </w:p>
        </w:tc>
        <w:tc>
          <w:tcPr/>
          <w:p>
            <w:pPr>
              <w:pStyle w:val="Compact"/>
            </w:pPr>
            <w:r>
              <w:t xml:space="preserve">Same entity, same layer, strong identity evidence, manageable disagreement</w:t>
            </w:r>
          </w:p>
        </w:tc>
        <w:tc>
          <w:tcPr/>
          <w:p>
            <w:pPr>
              <w:pStyle w:val="Compact"/>
            </w:pPr>
            <w:r>
              <w:t xml:space="preserve">Records are on different entity layers or conflict on core identity in unresolved ways</w:t>
            </w:r>
          </w:p>
        </w:tc>
        <w:tc>
          <w:tcPr/>
          <w:p>
            <w:pPr>
              <w:pStyle w:val="Compact"/>
            </w:pPr>
            <w:r>
              <w:t xml:space="preserve">Show one summary sheet plus an evidence panel listing all source records and contested values</w:t>
            </w:r>
          </w:p>
        </w:tc>
      </w:tr>
      <w:tr>
        <w:tc>
          <w:tcPr/>
          <w:p>
            <w:pPr>
              <w:pStyle w:val="Compact"/>
            </w:pPr>
            <w:r>
              <w:t xml:space="preserve">Grouped appendix or dossier</w:t>
            </w:r>
          </w:p>
        </w:tc>
        <w:tc>
          <w:tcPr/>
          <w:p>
            <w:pPr>
              <w:pStyle w:val="Compact"/>
            </w:pPr>
            <w:r>
              <w:t xml:space="preserve">Coherent cluster exists, but values differ because of manifestation, carrier, language, or unresolved but bounded ambiguity</w:t>
            </w:r>
          </w:p>
        </w:tc>
        <w:tc>
          <w:tcPr/>
          <w:p>
            <w:pPr>
              <w:pStyle w:val="Compact"/>
            </w:pPr>
            <w:r>
              <w:t xml:space="preserve">There is no meaningful relationship beyond vague similarity</w:t>
            </w:r>
          </w:p>
        </w:tc>
        <w:tc>
          <w:tcPr/>
          <w:p>
            <w:pPr>
              <w:pStyle w:val="Compact"/>
            </w:pPr>
            <w:r>
              <w:t xml:space="preserve">Show a cluster label, relation types, and per-source summaries; avoid presenting one canonical fact-set</w:t>
            </w:r>
          </w:p>
        </w:tc>
      </w:tr>
      <w:tr>
        <w:tc>
          <w:tcPr/>
          <w:p>
            <w:pPr>
              <w:pStyle w:val="Compact"/>
            </w:pPr>
            <w:r>
              <w:t xml:space="preserve">Separate records</w:t>
            </w:r>
          </w:p>
        </w:tc>
        <w:tc>
          <w:tcPr/>
          <w:p>
            <w:pPr>
              <w:pStyle w:val="Compact"/>
            </w:pPr>
            <w:r>
              <w:t xml:space="preserve">Identity is uncertain, disputed, or historically distinct; or sources describe different layers</w:t>
            </w:r>
          </w:p>
        </w:tc>
        <w:tc>
          <w:tcPr/>
          <w:p>
            <w:pPr>
              <w:pStyle w:val="Compact"/>
            </w:pPr>
            <w:r>
              <w:t xml:space="preserve">A composite or dossier would materially improve access without hiding disagreement</w:t>
            </w:r>
          </w:p>
        </w:tc>
        <w:tc>
          <w:tcPr/>
          <w:p>
            <w:pPr>
              <w:pStyle w:val="Compact"/>
            </w:pPr>
            <w:r>
              <w:t xml:space="preserve">Keep records distinct and add explicit relation labels such as “possibly same as” or “translation of”</w:t>
            </w:r>
          </w:p>
        </w:tc>
      </w:tr>
    </w:tbl>
    <w:p>
      <w:pPr>
        <w:pStyle w:val="BodyText"/>
      </w:pPr>
      <w:r>
        <w:t xml:space="preserve">A useful operational rule is:</w:t>
      </w:r>
      <w:r>
        <w:t xml:space="preserve"> </w:t>
      </w:r>
      <w:r>
        <w:rPr>
          <w:b/>
          <w:bCs/>
        </w:rPr>
        <w:t xml:space="preserve">merge only navigationally; never merge evidentially</w:t>
      </w:r>
      <w:r>
        <w:t xml:space="preserve">. In other words, you may create one page for a user to land on, but you should never destroy or overwrite the distinct source records, distinct claims, and distinct revision histories that produced that page.</w:t>
      </w:r>
      <w:r>
        <w:t xml:space="preserve"> </w:t>
      </w:r>
      <w:hyperlink r:id="rId28">
        <w:r>
          <w:rPr>
            <w:rStyle w:val="Hyperlink"/>
          </w:rPr>
          <w:t xml:space="preserve">[23]</w:t>
        </w:r>
      </w:hyperlink>
    </w:p>
    <w:bookmarkEnd w:id="39"/>
    <w:bookmarkStart w:id="42" w:name="X989ed7d86f838dd06cdbc4736d5a46d8b1511fd"/>
    <w:p>
      <w:pPr>
        <w:pStyle w:val="Heading2"/>
      </w:pPr>
      <w:r>
        <w:t xml:space="preserve">Metadata fields needed to preserve source integrity</w:t>
      </w:r>
    </w:p>
    <w:p>
      <w:pPr>
        <w:pStyle w:val="FirstParagraph"/>
      </w:pPr>
      <w:r>
        <w:t xml:space="preserve">The archive needs both</w:t>
      </w:r>
      <w:r>
        <w:t xml:space="preserve"> </w:t>
      </w:r>
      <w:r>
        <w:rPr>
          <w:b/>
          <w:bCs/>
        </w:rPr>
        <w:t xml:space="preserve">source-record metadata</w:t>
      </w:r>
      <w:r>
        <w:t xml:space="preserve"> </w:t>
      </w:r>
      <w:r>
        <w:t xml:space="preserve">and</w:t>
      </w:r>
      <w:r>
        <w:t xml:space="preserve"> </w:t>
      </w:r>
      <w:r>
        <w:rPr>
          <w:b/>
          <w:bCs/>
        </w:rPr>
        <w:t xml:space="preserve">claim-level metadata</w:t>
      </w:r>
      <w:r>
        <w:t xml:space="preserve">. Source-record metadata preserves the integrity of each input; claim-level metadata preserves the integrity of each individual assertion extracted or normalized from those inputs. This requirement is strongly supported by PROV-O, Europeana’s enrichment provenance profile, archival authenticity work, revision-history scholarship, and digital preservation guidance that calls for audit trails and version-aware metadata.</w:t>
      </w:r>
      <w:r>
        <w:t xml:space="preserve"> </w:t>
      </w:r>
      <w:hyperlink r:id="rId24">
        <w:r>
          <w:rPr>
            <w:rStyle w:val="Hyperlink"/>
          </w:rPr>
          <w:t xml:space="preserve">[24]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Metadata group</w:t>
            </w:r>
          </w:p>
        </w:tc>
        <w:tc>
          <w:tcPr/>
          <w:p>
            <w:pPr>
              <w:pStyle w:val="Compact"/>
            </w:pPr>
            <w:r>
              <w:t xml:space="preserve">Required fields</w:t>
            </w:r>
          </w:p>
        </w:tc>
        <w:tc>
          <w:tcPr/>
          <w:p>
            <w:pPr>
              <w:pStyle w:val="Compact"/>
            </w:pPr>
            <w:r>
              <w:t xml:space="preserve">Why it matters</w:t>
            </w:r>
          </w:p>
        </w:tc>
      </w:tr>
      <w:tr>
        <w:tc>
          <w:tcPr/>
          <w:p>
            <w:pPr>
              <w:pStyle w:val="Compact"/>
            </w:pPr>
            <w:r>
              <w:t xml:space="preserve">Source identity</w:t>
            </w:r>
          </w:p>
        </w:tc>
        <w:tc>
          <w:tcPr/>
          <w:p>
            <w:pPr>
              <w:pStyle w:val="Compact"/>
            </w:pPr>
            <w:r>
              <w:rPr>
                <w:rStyle w:val="VerbatimChar"/>
              </w:rPr>
              <w:t xml:space="preserve">source_record_id</w:t>
            </w:r>
            <w:r>
              <w:t xml:space="preserve">, provider/repository, local identifier, source type, source title, source URI, access/capture date, ingest date, version or snapshot identifier</w:t>
            </w:r>
          </w:p>
        </w:tc>
        <w:tc>
          <w:tcPr/>
          <w:p>
            <w:pPr>
              <w:pStyle w:val="Compact"/>
            </w:pPr>
            <w:r>
              <w:t xml:space="preserve">Preserves what was seen, where, and when</w:t>
            </w:r>
          </w:p>
        </w:tc>
      </w:tr>
      <w:tr>
        <w:tc>
          <w:tcPr/>
          <w:p>
            <w:pPr>
              <w:pStyle w:val="Compact"/>
            </w:pPr>
            <w:r>
              <w:t xml:space="preserve">Entity typing</w:t>
            </w:r>
          </w:p>
        </w:tc>
        <w:tc>
          <w:tcPr/>
          <w:p>
            <w:pPr>
              <w:pStyle w:val="Compact"/>
            </w:pPr>
            <w:r>
              <w:rPr>
                <w:rStyle w:val="VerbatimChar"/>
              </w:rPr>
              <w:t xml:space="preserve">entity_layer</w:t>
            </w:r>
            <w:r>
              <w:t xml:space="preserve">,</w:t>
            </w:r>
            <w:r>
              <w:t xml:space="preserve"> </w:t>
            </w:r>
            <w:r>
              <w:rPr>
                <w:rStyle w:val="VerbatimChar"/>
              </w:rPr>
              <w:t xml:space="preserve">relationship_to_cluster</w:t>
            </w:r>
            <w:r>
              <w:t xml:space="preserve">, source granularity, relation labels such as</w:t>
            </w:r>
            <w:r>
              <w:t xml:space="preserve"> </w:t>
            </w:r>
            <w:r>
              <w:rPr>
                <w:rStyle w:val="VerbatimChar"/>
              </w:rPr>
              <w:t xml:space="preserve">documents</w:t>
            </w:r>
            <w:r>
              <w:t xml:space="preserve">,</w:t>
            </w:r>
            <w:r>
              <w:t xml:space="preserve"> </w:t>
            </w:r>
            <w:r>
              <w:rPr>
                <w:rStyle w:val="VerbatimChar"/>
              </w:rPr>
              <w:t xml:space="preserve">translation_of</w:t>
            </w:r>
            <w:r>
              <w:t xml:space="preserve">,</w:t>
            </w:r>
            <w:r>
              <w:t xml:space="preserve"> </w:t>
            </w:r>
            <w:r>
              <w:rPr>
                <w:rStyle w:val="VerbatimChar"/>
              </w:rPr>
              <w:t xml:space="preserve">same_visual_item_different_carrier</w:t>
            </w:r>
          </w:p>
        </w:tc>
        <w:tc>
          <w:tcPr/>
          <w:p>
            <w:pPr>
              <w:pStyle w:val="Compact"/>
            </w:pPr>
            <w:r>
              <w:t xml:space="preserve">Prevents inappropriate merging across work/item/surrogate levels</w:t>
            </w:r>
          </w:p>
        </w:tc>
      </w:tr>
      <w:tr>
        <w:tc>
          <w:tcPr/>
          <w:p>
            <w:pPr>
              <w:pStyle w:val="Compact"/>
            </w:pPr>
            <w:r>
              <w:t xml:space="preserve">Provenance and responsibility</w:t>
            </w:r>
          </w:p>
        </w:tc>
        <w:tc>
          <w:tcPr/>
          <w:p>
            <w:pPr>
              <w:pStyle w:val="Compact"/>
            </w:pPr>
            <w:r>
              <w:t xml:space="preserve">assertion actor, extraction actor, review actor, extraction method, transformation history, software/tool version</w:t>
            </w:r>
          </w:p>
        </w:tc>
        <w:tc>
          <w:tcPr/>
          <w:p>
            <w:pPr>
              <w:pStyle w:val="Compact"/>
            </w:pPr>
            <w:r>
              <w:t xml:space="preserve">Makes later trust judgments possible</w:t>
            </w:r>
          </w:p>
        </w:tc>
      </w:tr>
      <w:tr>
        <w:tc>
          <w:tcPr/>
          <w:p>
            <w:pPr>
              <w:pStyle w:val="Compact"/>
            </w:pPr>
            <w:r>
              <w:t xml:space="preserve">Raw and normalized values</w:t>
            </w:r>
          </w:p>
        </w:tc>
        <w:tc>
          <w:tcPr/>
          <w:p>
            <w:pPr>
              <w:pStyle w:val="Compact"/>
            </w:pPr>
            <w:r>
              <w:t xml:space="preserve">raw source string, normalized display value, normalization note, language and script, transliteration status, translation status, value-level confidence</w:t>
            </w:r>
          </w:p>
        </w:tc>
        <w:tc>
          <w:tcPr/>
          <w:p>
            <w:pPr>
              <w:pStyle w:val="Compact"/>
            </w:pPr>
            <w:r>
              <w:t xml:space="preserve">Preserves original evidence while enabling search and display</w:t>
            </w:r>
          </w:p>
        </w:tc>
      </w:tr>
      <w:tr>
        <w:tc>
          <w:tcPr/>
          <w:p>
            <w:pPr>
              <w:pStyle w:val="Compact"/>
            </w:pPr>
            <w:r>
              <w:t xml:space="preserve">Citation and evidence</w:t>
            </w:r>
          </w:p>
        </w:tc>
        <w:tc>
          <w:tcPr/>
          <w:p>
            <w:pPr>
              <w:pStyle w:val="Compact"/>
            </w:pPr>
            <w:r>
              <w:t xml:space="preserve">field-level citation pointer, page/folio/region/selector, quotation or transcription flag, corroborating source list</w:t>
            </w:r>
          </w:p>
        </w:tc>
        <w:tc>
          <w:tcPr/>
          <w:p>
            <w:pPr>
              <w:pStyle w:val="Compact"/>
            </w:pPr>
            <w:r>
              <w:t xml:space="preserve">Supports verification and readable public attribution</w:t>
            </w:r>
          </w:p>
        </w:tc>
      </w:tr>
      <w:tr>
        <w:tc>
          <w:tcPr/>
          <w:p>
            <w:pPr>
              <w:pStyle w:val="Compact"/>
            </w:pPr>
            <w:r>
              <w:t xml:space="preserve">Dates and places</w:t>
            </w:r>
          </w:p>
        </w:tc>
        <w:tc>
          <w:tcPr/>
          <w:p>
            <w:pPr>
              <w:pStyle w:val="Compact"/>
            </w:pPr>
            <w:r>
              <w:t xml:space="preserve">literal date text, normalized start/end, approximation flag, disputed flag, place as-attested, normalized place authority if used, place role</w:t>
            </w:r>
          </w:p>
        </w:tc>
        <w:tc>
          <w:tcPr/>
          <w:p>
            <w:pPr>
              <w:pStyle w:val="Compact"/>
            </w:pPr>
            <w:r>
              <w:t xml:space="preserve">Avoids flattening “designed in,” “printed in,” and “published in” into one undifferentiated place</w:t>
            </w:r>
          </w:p>
        </w:tc>
      </w:tr>
      <w:tr>
        <w:tc>
          <w:tcPr/>
          <w:p>
            <w:pPr>
              <w:pStyle w:val="Compact"/>
            </w:pPr>
            <w:r>
              <w:t xml:space="preserve">Attribution</w:t>
            </w:r>
          </w:p>
        </w:tc>
        <w:tc>
          <w:tcPr/>
          <w:p>
            <w:pPr>
              <w:pStyle w:val="Compact"/>
            </w:pPr>
            <w:r>
              <w:t xml:space="preserve">creator as attested, normalized creator, role, qualifier such as attributed/school/studio/anonymous, source note</w:t>
            </w:r>
          </w:p>
        </w:tc>
        <w:tc>
          <w:tcPr/>
          <w:p>
            <w:pPr>
              <w:pStyle w:val="Compact"/>
            </w:pPr>
            <w:r>
              <w:t xml:space="preserve">Keeps creator disputes legible</w:t>
            </w:r>
          </w:p>
        </w:tc>
      </w:tr>
      <w:tr>
        <w:tc>
          <w:tcPr/>
          <w:p>
            <w:pPr>
              <w:pStyle w:val="Compact"/>
            </w:pPr>
            <w:r>
              <w:t xml:space="preserve">Digital representation</w:t>
            </w:r>
          </w:p>
        </w:tc>
        <w:tc>
          <w:tcPr/>
          <w:p>
            <w:pPr>
              <w:pStyle w:val="Compact"/>
            </w:pPr>
            <w:r>
              <w:t xml:space="preserve">web resource URI, IIIF or image endpoint if available, file format, dimensions, checksum or perceptual hash, region/page selector, OCR/ALTO pointer and confidence if present</w:t>
            </w:r>
          </w:p>
        </w:tc>
        <w:tc>
          <w:tcPr/>
          <w:p>
            <w:pPr>
              <w:pStyle w:val="Compact"/>
            </w:pPr>
            <w:r>
              <w:t xml:space="preserve">Separates the source image from the underlying object and enables evidence reuse</w:t>
            </w:r>
          </w:p>
        </w:tc>
      </w:tr>
      <w:tr>
        <w:tc>
          <w:tcPr/>
          <w:p>
            <w:pPr>
              <w:pStyle w:val="Compact"/>
            </w:pPr>
            <w:r>
              <w:t xml:space="preserve">Rights and access</w:t>
            </w:r>
          </w:p>
        </w:tc>
        <w:tc>
          <w:tcPr/>
          <w:p>
            <w:pPr>
              <w:pStyle w:val="Compact"/>
            </w:pPr>
            <w:r>
              <w:t xml:space="preserve">rights statement URI, rights note, rights-holder string if known, credit line, cultural sensitivity/access note, source of rights claim</w:t>
            </w:r>
          </w:p>
        </w:tc>
        <w:tc>
          <w:tcPr/>
          <w:p>
            <w:pPr>
              <w:pStyle w:val="Compact"/>
            </w:pPr>
            <w:r>
              <w:t xml:space="preserve">Rights often differ between the underlying item and a digital file</w:t>
            </w:r>
          </w:p>
        </w:tc>
      </w:tr>
      <w:tr>
        <w:tc>
          <w:tcPr/>
          <w:p>
            <w:pPr>
              <w:pStyle w:val="Compact"/>
            </w:pPr>
            <w:r>
              <w:t xml:space="preserve">Change history</w:t>
            </w:r>
          </w:p>
        </w:tc>
        <w:tc>
          <w:tcPr/>
          <w:p>
            <w:pPr>
              <w:pStyle w:val="Compact"/>
            </w:pPr>
            <w:r>
              <w:t xml:space="preserve">created/updated timestamps, supersedes/replaces, previous version URI, editorial note, public-sheet version</w:t>
            </w:r>
          </w:p>
        </w:tc>
        <w:tc>
          <w:tcPr/>
          <w:p>
            <w:pPr>
              <w:pStyle w:val="Compact"/>
            </w:pPr>
            <w:r>
              <w:t xml:space="preserve">Makes the archive reproducible and historically honest</w:t>
            </w:r>
          </w:p>
        </w:tc>
      </w:tr>
    </w:tbl>
    <w:p>
      <w:pPr>
        <w:pStyle w:val="BodyText"/>
      </w:pPr>
      <w:r>
        <w:t xml:space="preserve">Two details are especially important for this project. First,</w:t>
      </w:r>
      <w:r>
        <w:t xml:space="preserve"> </w:t>
      </w:r>
      <w:r>
        <w:rPr>
          <w:b/>
          <w:bCs/>
        </w:rPr>
        <w:t xml:space="preserve">titles and names must be multi-valued and source-linked</w:t>
      </w:r>
      <w:r>
        <w:t xml:space="preserve">. Getty’s editorial guidance links citations to titles, names, notes, and the record overall; its vocabularies also maintain multilingual and ambiguous data with cited sources rather than forcing one label to erase the rest. Second,</w:t>
      </w:r>
      <w:r>
        <w:t xml:space="preserve"> </w:t>
      </w:r>
      <w:r>
        <w:rPr>
          <w:b/>
          <w:bCs/>
        </w:rPr>
        <w:t xml:space="preserve">language must be explicit at the value level</w:t>
      </w:r>
      <w:r>
        <w:t xml:space="preserve">. Europeana recommends that when the same object has metadata in multiple languages, these should be repeated within one record using language tags, not split into separate object records.</w:t>
      </w:r>
      <w:r>
        <w:t xml:space="preserve"> </w:t>
      </w:r>
      <w:hyperlink r:id="rId22">
        <w:r>
          <w:rPr>
            <w:rStyle w:val="Hyperlink"/>
          </w:rPr>
          <w:t xml:space="preserve">[25]</w:t>
        </w:r>
      </w:hyperlink>
    </w:p>
    <w:p>
      <w:pPr>
        <w:pStyle w:val="BodyText"/>
      </w:pPr>
      <w:r>
        <w:t xml:space="preserve">For OCR-derived evidence, store the</w:t>
      </w:r>
      <w:r>
        <w:t xml:space="preserve"> </w:t>
      </w:r>
      <w:r>
        <w:rPr>
          <w:b/>
          <w:bCs/>
        </w:rPr>
        <w:t xml:space="preserve">OCR text as OCR</w:t>
      </w:r>
      <w:r>
        <w:t xml:space="preserve">, not as a plain transcript. ALTO is designed as a technical layer for recognized text and layout; OCR confidence levels can be recorded, but newspaper digitization research warns that confidence is not the same as true accuracy and is heavily affected by source condition and layout.</w:t>
      </w:r>
      <w:r>
        <w:t xml:space="preserve"> </w:t>
      </w:r>
      <w:hyperlink r:id="rId40">
        <w:r>
          <w:rPr>
            <w:rStyle w:val="Hyperlink"/>
          </w:rPr>
          <w:t xml:space="preserve">[26]</w:t>
        </w:r>
      </w:hyperlink>
    </w:p>
    <w:p>
      <w:pPr>
        <w:pStyle w:val="BodyText"/>
      </w:pPr>
      <w:r>
        <w:t xml:space="preserve">For social-media and ephemeral web evidence, store both</w:t>
      </w:r>
      <w:r>
        <w:t xml:space="preserve"> </w:t>
      </w:r>
      <w:r>
        <w:rPr>
          <w:b/>
          <w:bCs/>
        </w:rPr>
        <w:t xml:space="preserve">content and context</w:t>
      </w:r>
      <w:r>
        <w:t xml:space="preserve">. Public Record Office Victoria advises capturing date/time, account name, authorizing actor where relevant, purpose, platform, and thread context, and stresses that posts should be captured quickly because long-term access is not guaranteed. The Digital Preservation Coalition similarly emphasizes that without preservation of social media, reproducible research is impossible.</w:t>
      </w:r>
      <w:r>
        <w:t xml:space="preserve"> </w:t>
      </w:r>
      <w:hyperlink r:id="rId41">
        <w:r>
          <w:rPr>
            <w:rStyle w:val="Hyperlink"/>
          </w:rPr>
          <w:t xml:space="preserve">[27]</w:t>
        </w:r>
      </w:hyperlink>
    </w:p>
    <w:bookmarkEnd w:id="42"/>
    <w:bookmarkStart w:id="46" w:name="X2914b0ae26a098ba8458e3df205e98d5f0a030c"/>
    <w:p>
      <w:pPr>
        <w:pStyle w:val="Heading2"/>
      </w:pPr>
      <w:r>
        <w:t xml:space="preserve">How citations and the public surface should work</w:t>
      </w:r>
    </w:p>
    <w:p>
      <w:pPr>
        <w:pStyle w:val="FirstParagraph"/>
      </w:pPr>
      <w:r>
        <w:t xml:space="preserve">If a public sheet is based on several sources, citations should operate at</w:t>
      </w:r>
      <w:r>
        <w:t xml:space="preserve"> </w:t>
      </w:r>
      <w:r>
        <w:rPr>
          <w:b/>
          <w:bCs/>
        </w:rPr>
        <w:t xml:space="preserve">three levels at once</w:t>
      </w:r>
      <w:r>
        <w:t xml:space="preserve">: the record level, the field level, and the value level. FORCE11’s data-citation principles call for citations that are both human-understandable and machine-actionable; Getty links citations to specific fields; and Europeana asks reusers to credit all providers and aggregators and to disclose modifications.</w:t>
      </w:r>
      <w:r>
        <w:t xml:space="preserve"> </w:t>
      </w:r>
      <w:hyperlink r:id="rId43">
        <w:r>
          <w:rPr>
            <w:rStyle w:val="Hyperlink"/>
          </w:rPr>
          <w:t xml:space="preserve">[28]</w:t>
        </w:r>
      </w:hyperlink>
    </w:p>
    <w:p>
      <w:pPr>
        <w:pStyle w:val="BodyText"/>
      </w:pPr>
      <w:r>
        <w:t xml:space="preserve">The public sheet should therefore have a compact header and an expandable evidence pane. The compact header may show a preferred display title, a preferred date range, one display image if rights permit, and a short statement of entity type. But every header field should have an evidence affordance, such as “2 attested titles,” “3 creator attributions,” or “date disputed.” When a user opens the evidence pane, they should see: the exact source records that support the displayed value; the as-attested alternatives; who normalized the value; when the normalization was made; and what other values were rejected, deferred, or marked unresolved. This is compatible with “generous” collection interfaces and improves transparency without forcing all users to read full provenance metadata up front.</w:t>
      </w:r>
      <w:r>
        <w:t xml:space="preserve"> </w:t>
      </w:r>
      <w:hyperlink r:id="rId26">
        <w:r>
          <w:rPr>
            <w:rStyle w:val="Hyperlink"/>
          </w:rPr>
          <w:t xml:space="preserve">[29]</w:t>
        </w:r>
      </w:hyperlink>
    </w:p>
    <w:p>
      <w:pPr>
        <w:pStyle w:val="BodyText"/>
      </w:pPr>
      <w:r>
        <w:t xml:space="preserve">A good citation architecture for a composite sheet is:</w:t>
      </w:r>
    </w:p>
    <w:p>
      <w:pPr>
        <w:pStyle w:val="Compact"/>
        <w:numPr>
          <w:ilvl w:val="0"/>
          <w:numId w:val="1002"/>
        </w:numPr>
      </w:pPr>
      <w:r>
        <w:rPr>
          <w:b/>
          <w:bCs/>
        </w:rPr>
        <w:t xml:space="preserve">Record-level citation panel</w:t>
      </w:r>
      <w:r>
        <w:t xml:space="preserve">: all contributing source records, with provider, local ID, date accessed, and role in the composite sheet.</w:t>
      </w:r>
    </w:p>
    <w:p>
      <w:pPr>
        <w:pStyle w:val="Compact"/>
        <w:numPr>
          <w:ilvl w:val="0"/>
          <w:numId w:val="1002"/>
        </w:numPr>
      </w:pPr>
      <w:r>
        <w:rPr>
          <w:b/>
          <w:bCs/>
        </w:rPr>
        <w:t xml:space="preserve">Field-level citations</w:t>
      </w:r>
      <w:r>
        <w:t xml:space="preserve">: attached to each displayed field such as title, creator, date, place, rights, and image.</w:t>
      </w:r>
    </w:p>
    <w:p>
      <w:pPr>
        <w:pStyle w:val="Compact"/>
        <w:numPr>
          <w:ilvl w:val="0"/>
          <w:numId w:val="1002"/>
        </w:numPr>
      </w:pPr>
      <w:r>
        <w:rPr>
          <w:b/>
          <w:bCs/>
        </w:rPr>
        <w:t xml:space="preserve">Value-level evidence notes</w:t>
      </w:r>
      <w:r>
        <w:t xml:space="preserve">: only when there is conflict, normalization, translation, or machine extraction.</w:t>
      </w:r>
    </w:p>
    <w:p>
      <w:pPr>
        <w:pStyle w:val="Compact"/>
        <w:numPr>
          <w:ilvl w:val="0"/>
          <w:numId w:val="1002"/>
        </w:numPr>
      </w:pPr>
      <w:r>
        <w:rPr>
          <w:b/>
          <w:bCs/>
        </w:rPr>
        <w:t xml:space="preserve">Machine-readable provenance export</w:t>
      </w:r>
      <w:r>
        <w:t xml:space="preserve">: JSON-LD, CSV, or similar, exposing the source graph and activity history.</w:t>
      </w:r>
    </w:p>
    <w:p>
      <w:pPr>
        <w:pStyle w:val="FirstParagraph"/>
      </w:pPr>
      <w:r>
        <w:t xml:space="preserve">Europeana’s metadata-use guidance is especially relevant here: if you reuse metadata, acknowledge all sources and aggregators, disclose modifications, and remember that metadata are dynamic rather than static. That means a public sheet should include</w:t>
      </w:r>
      <w:r>
        <w:t xml:space="preserve"> </w:t>
      </w:r>
      <w:r>
        <w:rPr>
          <w:i/>
          <w:iCs/>
        </w:rPr>
        <w:t xml:space="preserve">last synchronized</w:t>
      </w:r>
      <w:r>
        <w:t xml:space="preserve"> </w:t>
      </w:r>
      <w:r>
        <w:t xml:space="preserve">and</w:t>
      </w:r>
      <w:r>
        <w:t xml:space="preserve"> </w:t>
      </w:r>
      <w:r>
        <w:rPr>
          <w:i/>
          <w:iCs/>
        </w:rPr>
        <w:t xml:space="preserve">sheet version</w:t>
      </w:r>
      <w:r>
        <w:t xml:space="preserve"> </w:t>
      </w:r>
      <w:r>
        <w:t xml:space="preserve">metadata, plus a changelog when displayed facts change.</w:t>
      </w:r>
      <w:r>
        <w:t xml:space="preserve"> </w:t>
      </w:r>
      <w:hyperlink r:id="rId44">
        <w:r>
          <w:rPr>
            <w:rStyle w:val="Hyperlink"/>
          </w:rPr>
          <w:t xml:space="preserve">[30]</w:t>
        </w:r>
      </w:hyperlink>
    </w:p>
    <w:p>
      <w:pPr>
        <w:pStyle w:val="BodyText"/>
      </w:pPr>
      <w:r>
        <w:t xml:space="preserve">Rights statements also need a field-specific citation model. RightsStatements.org and Linked Art both stress that rights statements apply to the digital object made available online, and that rights for the physical or conceptual object and its digital representations should be recorded separately. Therefore, a design-history sheet should usually display at least two distinct rights lines:</w:t>
      </w:r>
      <w:r>
        <w:t xml:space="preserve"> </w:t>
      </w:r>
      <w:r>
        <w:rPr>
          <w:b/>
          <w:bCs/>
        </w:rPr>
        <w:t xml:space="preserve">rights status of the underlying entity</w:t>
      </w:r>
      <w:r>
        <w:t xml:space="preserve"> </w:t>
      </w:r>
      <w:r>
        <w:t xml:space="preserve">if known, and</w:t>
      </w:r>
      <w:r>
        <w:t xml:space="preserve"> </w:t>
      </w:r>
      <w:r>
        <w:rPr>
          <w:b/>
          <w:bCs/>
        </w:rPr>
        <w:t xml:space="preserve">rights status of each displayed digital file</w:t>
      </w:r>
      <w:r>
        <w:t xml:space="preserve">.</w:t>
      </w:r>
      <w:r>
        <w:t xml:space="preserve"> </w:t>
      </w:r>
      <w:hyperlink r:id="rId45">
        <w:r>
          <w:rPr>
            <w:rStyle w:val="Hyperlink"/>
          </w:rPr>
          <w:t xml:space="preserve">[31]</w:t>
        </w:r>
      </w:hyperlink>
    </w:p>
    <w:bookmarkEnd w:id="46"/>
    <w:bookmarkStart w:id="49" w:name="X72a6035abaefc1a6982a65c27dc504664181519"/>
    <w:p>
      <w:pPr>
        <w:pStyle w:val="Heading2"/>
      </w:pPr>
      <w:r>
        <w:t xml:space="preserve">Examples of conflict cases and how to display them</w:t>
      </w:r>
    </w:p>
    <w:p>
      <w:pPr>
        <w:pStyle w:val="FirstParagraph"/>
      </w:pPr>
      <w:r>
        <w:t xml:space="preserve">The archive should treat conflicts as part of the historical record, not as metadata dirt to be scrubbed away. PHAROS’ recent work explicitly argues that ambiguity is intrinsic to cultural-heritage data and that “clean” interfaces can erase interpretive diversity. Reparative-description policies and protocols likewise show that legacy titles, creator names, and subject terms may need contextualization rather than quiet replacement.</w:t>
      </w:r>
      <w:r>
        <w:t xml:space="preserve"> </w:t>
      </w:r>
      <w:hyperlink r:id="rId47">
        <w:r>
          <w:rPr>
            <w:rStyle w:val="Hyperlink"/>
          </w:rPr>
          <w:t xml:space="preserve">[32]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Conflict case</w:t>
            </w:r>
          </w:p>
        </w:tc>
        <w:tc>
          <w:tcPr/>
          <w:p>
            <w:pPr>
              <w:pStyle w:val="Compact"/>
            </w:pPr>
            <w:r>
              <w:t xml:space="preserve">What to preserve</w:t>
            </w:r>
          </w:p>
        </w:tc>
        <w:tc>
          <w:tcPr/>
          <w:p>
            <w:pPr>
              <w:pStyle w:val="Compact"/>
            </w:pPr>
            <w:r>
              <w:t xml:space="preserve">What the public sheet should show</w:t>
            </w:r>
          </w:p>
        </w:tc>
      </w:tr>
      <w:tr>
        <w:tc>
          <w:tcPr/>
          <w:p>
            <w:pPr>
              <w:pStyle w:val="Compact"/>
            </w:pPr>
            <w:r>
              <w:t xml:space="preserve">Conflicting dates for the same poster or leaflet</w:t>
            </w:r>
          </w:p>
        </w:tc>
        <w:tc>
          <w:tcPr/>
          <w:p>
            <w:pPr>
              <w:pStyle w:val="Compact"/>
            </w:pPr>
            <w:r>
              <w:t xml:space="preserve">Each attested date string, source, normalization, and basis for project preference</w:t>
            </w:r>
          </w:p>
        </w:tc>
        <w:tc>
          <w:tcPr/>
          <w:p>
            <w:pPr>
              <w:pStyle w:val="Compact"/>
            </w:pPr>
            <w:r>
              <w:rPr>
                <w:rStyle w:val="VerbatimChar"/>
              </w:rPr>
              <w:t xml:space="preserve">Date: 1968–1969</w:t>
            </w:r>
            <w:r>
              <w:t xml:space="preserve"> </w:t>
            </w:r>
            <w:r>
              <w:t xml:space="preserve">with “disputed”; expandable notes: “Museum record says 1968,” “periodical advertisement dated Jan. 1969,” “project uses range pending review”</w:t>
            </w:r>
          </w:p>
        </w:tc>
      </w:tr>
      <w:tr>
        <w:tc>
          <w:tcPr/>
          <w:p>
            <w:pPr>
              <w:pStyle w:val="Compact"/>
            </w:pPr>
            <w:r>
              <w:t xml:space="preserve">Conflicting titles</w:t>
            </w:r>
          </w:p>
        </w:tc>
        <w:tc>
          <w:tcPr/>
          <w:p>
            <w:pPr>
              <w:pStyle w:val="Compact"/>
            </w:pPr>
            <w:r>
              <w:t xml:space="preserve">Preferred display title by language, plus all attested titles and title roles such as caption title, published title, supplied title, translated title</w:t>
            </w:r>
          </w:p>
        </w:tc>
        <w:tc>
          <w:tcPr/>
          <w:p>
            <w:pPr>
              <w:pStyle w:val="Compact"/>
            </w:pPr>
            <w:r>
              <w:t xml:space="preserve">One navigational title per language, plus “Other attested titles” and the sources for each</w:t>
            </w:r>
          </w:p>
        </w:tc>
      </w:tr>
      <w:tr>
        <w:tc>
          <w:tcPr/>
          <w:p>
            <w:pPr>
              <w:pStyle w:val="Compact"/>
            </w:pPr>
            <w:r>
              <w:t xml:space="preserve">Conflicting creators</w:t>
            </w:r>
          </w:p>
        </w:tc>
        <w:tc>
          <w:tcPr/>
          <w:p>
            <w:pPr>
              <w:pStyle w:val="Compact"/>
            </w:pPr>
            <w:r>
              <w:t xml:space="preserve">Creator strings, roles, qualifiers such as “attributed to,” “design office,” “printer,” “anonymous,” and source rationale</w:t>
            </w:r>
          </w:p>
        </w:tc>
        <w:tc>
          <w:tcPr/>
          <w:p>
            <w:pPr>
              <w:pStyle w:val="Compact"/>
            </w:pPr>
            <w:r>
              <w:t xml:space="preserve">Do not synthesize into one creator string; show “Attributed to X by source A; source B credits studio Y; source C leaves creator unknown”</w:t>
            </w:r>
          </w:p>
        </w:tc>
      </w:tr>
      <w:tr>
        <w:tc>
          <w:tcPr/>
          <w:p>
            <w:pPr>
              <w:pStyle w:val="Compact"/>
            </w:pPr>
            <w:r>
              <w:t xml:space="preserve">Place conflicts</w:t>
            </w:r>
          </w:p>
        </w:tc>
        <w:tc>
          <w:tcPr/>
          <w:p>
            <w:pPr>
              <w:pStyle w:val="Compact"/>
            </w:pPr>
            <w:r>
              <w:t xml:space="preserve">Separate fields for place of design, printing, publication, exhibition, repository, and place depicted</w:t>
            </w:r>
          </w:p>
        </w:tc>
        <w:tc>
          <w:tcPr/>
          <w:p>
            <w:pPr>
              <w:pStyle w:val="Compact"/>
            </w:pPr>
            <w:r>
              <w:t xml:space="preserve">Never show one generic</w:t>
            </w:r>
            <w:r>
              <w:t xml:space="preserve"> </w:t>
            </w:r>
            <w:r>
              <w:rPr>
                <w:rStyle w:val="VerbatimChar"/>
              </w:rPr>
              <w:t xml:space="preserve">Place</w:t>
            </w:r>
            <w:r>
              <w:t xml:space="preserve"> </w:t>
            </w:r>
            <w:r>
              <w:t xml:space="preserve">line if the evidence really concerns different place roles</w:t>
            </w:r>
          </w:p>
        </w:tc>
      </w:tr>
      <w:tr>
        <w:tc>
          <w:tcPr/>
          <w:p>
            <w:pPr>
              <w:pStyle w:val="Compact"/>
            </w:pPr>
            <w:r>
              <w:t xml:space="preserve">Rights conflicts</w:t>
            </w:r>
          </w:p>
        </w:tc>
        <w:tc>
          <w:tcPr/>
          <w:p>
            <w:pPr>
              <w:pStyle w:val="Compact"/>
            </w:pPr>
            <w:r>
              <w:t xml:space="preserve">Rights for underlying work/object, rights for each digital image, and rights source</w:t>
            </w:r>
          </w:p>
        </w:tc>
        <w:tc>
          <w:tcPr/>
          <w:p>
            <w:pPr>
              <w:pStyle w:val="Compact"/>
            </w:pPr>
            <w:r>
              <w:t xml:space="preserve">Show each rights claim separately, e.g. “Underlying rights unknown; museum JPEG marked In Copyright; periodical scan marked No Known Copyright Restrictions”</w:t>
            </w:r>
          </w:p>
        </w:tc>
      </w:tr>
      <w:tr>
        <w:tc>
          <w:tcPr/>
          <w:p>
            <w:pPr>
              <w:pStyle w:val="Compact"/>
            </w:pPr>
            <w:r>
              <w:t xml:space="preserve">Translation versus same record</w:t>
            </w:r>
          </w:p>
        </w:tc>
        <w:tc>
          <w:tcPr/>
          <w:p>
            <w:pPr>
              <w:pStyle w:val="Compact"/>
            </w:pPr>
            <w:r>
              <w:t xml:space="preserve">Original language values, translated metadata values, and whether translation concerns the same manifestation or a different expression/publication</w:t>
            </w:r>
          </w:p>
        </w:tc>
        <w:tc>
          <w:tcPr/>
          <w:p>
            <w:pPr>
              <w:pStyle w:val="Compact"/>
            </w:pPr>
            <w:r>
              <w:t xml:space="preserve">If only metadata labels differ, keep one record with language-tagged fields; if the translation is a distinct edition or publication, create related manifestation records</w:t>
            </w:r>
          </w:p>
        </w:tc>
      </w:tr>
      <w:tr>
        <w:tc>
          <w:tcPr/>
          <w:p>
            <w:pPr>
              <w:pStyle w:val="Compact"/>
            </w:pPr>
            <w:r>
              <w:t xml:space="preserve">Rehosted image versus canonical image</w:t>
            </w:r>
          </w:p>
        </w:tc>
        <w:tc>
          <w:tcPr/>
          <w:p>
            <w:pPr>
              <w:pStyle w:val="Compact"/>
            </w:pPr>
            <w:r>
              <w:t xml:space="preserve">Rehost location, capture date, image hash, and any chain to original source</w:t>
            </w:r>
          </w:p>
        </w:tc>
        <w:tc>
          <w:tcPr/>
          <w:p>
            <w:pPr>
              <w:pStyle w:val="Compact"/>
            </w:pPr>
            <w:r>
              <w:t xml:space="preserve">Treat the rehost as an access source or lead; do not upgrade it to primary object evidence unless provenance is established</w:t>
            </w:r>
          </w:p>
        </w:tc>
      </w:tr>
      <w:tr>
        <w:tc>
          <w:tcPr/>
          <w:p>
            <w:pPr>
              <w:pStyle w:val="Compact"/>
            </w:pPr>
            <w:r>
              <w:t xml:space="preserve">Legacy harmful or outdated terms versus community-preferred terminology</w:t>
            </w:r>
          </w:p>
        </w:tc>
        <w:tc>
          <w:tcPr/>
          <w:p>
            <w:pPr>
              <w:pStyle w:val="Compact"/>
            </w:pPr>
            <w:r>
              <w:t xml:space="preserve">Historical term as quoted evidence, community-preferred term, contextual note, revision history</w:t>
            </w:r>
          </w:p>
        </w:tc>
        <w:tc>
          <w:tcPr/>
          <w:p>
            <w:pPr>
              <w:pStyle w:val="Compact"/>
            </w:pPr>
            <w:r>
              <w:t xml:space="preserve">Show the respectful/community-preferred term on the surface; retain the legacy term in evidence/history notes with explanation</w:t>
            </w:r>
          </w:p>
        </w:tc>
      </w:tr>
    </w:tbl>
    <w:p>
      <w:pPr>
        <w:pStyle w:val="BodyText"/>
      </w:pPr>
      <w:r>
        <w:t xml:space="preserve">Two of these deserve special emphasis. For</w:t>
      </w:r>
      <w:r>
        <w:t xml:space="preserve"> </w:t>
      </w:r>
      <w:r>
        <w:rPr>
          <w:b/>
          <w:bCs/>
        </w:rPr>
        <w:t xml:space="preserve">translations</w:t>
      </w:r>
      <w:r>
        <w:t xml:space="preserve">, Europeana recommends one object record with repeated language-tagged values when the metadata describe the same object in multiple languages. But IFLA LRM treats translations as derivations or parallel expressions when they are themselves distinct publications or expressions. In other words: multilingual labels do</w:t>
      </w:r>
      <w:r>
        <w:t xml:space="preserve"> </w:t>
      </w:r>
      <w:r>
        <w:rPr>
          <w:b/>
          <w:bCs/>
        </w:rPr>
        <w:t xml:space="preserve">not</w:t>
      </w:r>
      <w:r>
        <w:t xml:space="preserve"> </w:t>
      </w:r>
      <w:r>
        <w:t xml:space="preserve">require separate records, but translated editions often do.</w:t>
      </w:r>
      <w:r>
        <w:t xml:space="preserve"> </w:t>
      </w:r>
      <w:hyperlink r:id="rId48">
        <w:r>
          <w:rPr>
            <w:rStyle w:val="Hyperlink"/>
          </w:rPr>
          <w:t xml:space="preserve">[33]</w:t>
        </w:r>
      </w:hyperlink>
    </w:p>
    <w:p>
      <w:pPr>
        <w:pStyle w:val="BodyText"/>
      </w:pPr>
      <w:r>
        <w:t xml:space="preserve">For</w:t>
      </w:r>
      <w:r>
        <w:t xml:space="preserve"> </w:t>
      </w:r>
      <w:r>
        <w:rPr>
          <w:b/>
          <w:bCs/>
        </w:rPr>
        <w:t xml:space="preserve">reparative description</w:t>
      </w:r>
      <w:r>
        <w:t xml:space="preserve">, do not overwrite the past invisibly. The National Library of Australia explicitly says harmful legacy description may need contextual information when original published titles cannot be changed, and Tulane’s reparative-description guidance recommends revision notes and version histories when language is changed. That makes revision itself part of the evidence.</w:t>
      </w:r>
      <w:r>
        <w:t xml:space="preserve"> </w:t>
      </w:r>
      <w:hyperlink r:id="rId29">
        <w:r>
          <w:rPr>
            <w:rStyle w:val="Hyperlink"/>
          </w:rPr>
          <w:t xml:space="preserve">[34]</w:t>
        </w:r>
      </w:hyperlink>
    </w:p>
    <w:bookmarkEnd w:id="49"/>
    <w:bookmarkStart w:id="51" w:name="reproducibility-checklist"/>
    <w:p>
      <w:pPr>
        <w:pStyle w:val="Heading2"/>
      </w:pPr>
      <w:r>
        <w:t xml:space="preserve">Reproducibility checklist</w:t>
      </w:r>
    </w:p>
    <w:p>
      <w:pPr>
        <w:pStyle w:val="FirstParagraph"/>
      </w:pPr>
      <w:r>
        <w:t xml:space="preserve">A provenance-first archive should be auditable by another researcher. The following checklist is the minimum needed for reproducible public sheets, evidence review, and future re-linking. FORCE11’s citation principles, archival authenticity research, NAA’s audit-trail requirements, Europeana’s provenance and attribution guidance, and records guidance for OCR and social-media capture all point in the same direction.</w:t>
      </w:r>
      <w:r>
        <w:t xml:space="preserve"> </w:t>
      </w:r>
      <w:hyperlink r:id="rId43">
        <w:r>
          <w:rPr>
            <w:rStyle w:val="Hyperlink"/>
          </w:rPr>
          <w:t xml:space="preserve">[35]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Checklist item</w:t>
            </w:r>
          </w:p>
        </w:tc>
        <w:tc>
          <w:tcPr/>
          <w:p>
            <w:pPr>
              <w:pStyle w:val="Compact"/>
            </w:pPr>
            <w:r>
              <w:t xml:space="preserve">Requirement</w:t>
            </w:r>
          </w:p>
        </w:tc>
      </w:tr>
      <w:tr>
        <w:tc>
          <w:tcPr/>
          <w:p>
            <w:pPr>
              <w:pStyle w:val="Compact"/>
            </w:pPr>
            <w:r>
              <w:t xml:space="preserve">Raw source preserved</w:t>
            </w:r>
          </w:p>
        </w:tc>
        <w:tc>
          <w:tcPr/>
          <w:p>
            <w:pPr>
              <w:pStyle w:val="Compact"/>
            </w:pPr>
            <w:r>
              <w:t xml:space="preserve">Keep the raw source record or a stable pointer to it before normalization</w:t>
            </w:r>
          </w:p>
        </w:tc>
      </w:tr>
      <w:tr>
        <w:tc>
          <w:tcPr/>
          <w:p>
            <w:pPr>
              <w:pStyle w:val="Compact"/>
            </w:pPr>
            <w:r>
              <w:t xml:space="preserve">Snapshot integrity</w:t>
            </w:r>
          </w:p>
        </w:tc>
        <w:tc>
          <w:tcPr/>
          <w:p>
            <w:pPr>
              <w:pStyle w:val="Compact"/>
            </w:pPr>
            <w:r>
              <w:t xml:space="preserve">Record access date, version, and if possible a checksum, file hash, or archived snapshot</w:t>
            </w:r>
          </w:p>
        </w:tc>
      </w:tr>
      <w:tr>
        <w:tc>
          <w:tcPr/>
          <w:p>
            <w:pPr>
              <w:pStyle w:val="Compact"/>
            </w:pPr>
            <w:r>
              <w:t xml:space="preserve">Verbatim values retained</w:t>
            </w:r>
          </w:p>
        </w:tc>
        <w:tc>
          <w:tcPr/>
          <w:p>
            <w:pPr>
              <w:pStyle w:val="Compact"/>
            </w:pPr>
            <w:r>
              <w:t xml:space="preserve">Preserve source strings exactly as attested before editing, translation, or normalization</w:t>
            </w:r>
          </w:p>
        </w:tc>
      </w:tr>
      <w:tr>
        <w:tc>
          <w:tcPr/>
          <w:p>
            <w:pPr>
              <w:pStyle w:val="Compact"/>
            </w:pPr>
            <w:r>
              <w:t xml:space="preserve">Extraction documented</w:t>
            </w:r>
          </w:p>
        </w:tc>
        <w:tc>
          <w:tcPr/>
          <w:p>
            <w:pPr>
              <w:pStyle w:val="Compact"/>
            </w:pPr>
            <w:r>
              <w:t xml:space="preserve">Record whether a value came from manual cataloging, OCR, NER, API ingest, or other workflow</w:t>
            </w:r>
          </w:p>
        </w:tc>
      </w:tr>
      <w:tr>
        <w:tc>
          <w:tcPr/>
          <w:p>
            <w:pPr>
              <w:pStyle w:val="Compact"/>
            </w:pPr>
            <w:r>
              <w:t xml:space="preserve">Review trail stored</w:t>
            </w:r>
          </w:p>
        </w:tc>
        <w:tc>
          <w:tcPr/>
          <w:p>
            <w:pPr>
              <w:pStyle w:val="Compact"/>
            </w:pPr>
            <w:r>
              <w:t xml:space="preserve">Keep linkage scores, reviewer identity, decision date, and reason for acceptance/rejection</w:t>
            </w:r>
          </w:p>
        </w:tc>
      </w:tr>
      <w:tr>
        <w:tc>
          <w:tcPr/>
          <w:p>
            <w:pPr>
              <w:pStyle w:val="Compact"/>
            </w:pPr>
            <w:r>
              <w:t xml:space="preserve">Entity layer explicit</w:t>
            </w:r>
          </w:p>
        </w:tc>
        <w:tc>
          <w:tcPr/>
          <w:p>
            <w:pPr>
              <w:pStyle w:val="Compact"/>
            </w:pPr>
            <w:r>
              <w:t xml:space="preserve">Record whether each source describes a work, manifestation, item, event, agent, or surrogate</w:t>
            </w:r>
          </w:p>
        </w:tc>
      </w:tr>
      <w:tr>
        <w:tc>
          <w:tcPr/>
          <w:p>
            <w:pPr>
              <w:pStyle w:val="Compact"/>
            </w:pPr>
            <w:r>
              <w:t xml:space="preserve">Field-level citations present</w:t>
            </w:r>
          </w:p>
        </w:tc>
        <w:tc>
          <w:tcPr/>
          <w:p>
            <w:pPr>
              <w:pStyle w:val="Compact"/>
            </w:pPr>
            <w:r>
              <w:t xml:space="preserve">Every displayed fact on a public sheet points to one or more source records</w:t>
            </w:r>
          </w:p>
        </w:tc>
      </w:tr>
      <w:tr>
        <w:tc>
          <w:tcPr/>
          <w:p>
            <w:pPr>
              <w:pStyle w:val="Compact"/>
            </w:pPr>
            <w:r>
              <w:t xml:space="preserve">Changes disclosed</w:t>
            </w:r>
          </w:p>
        </w:tc>
        <w:tc>
          <w:tcPr/>
          <w:p>
            <w:pPr>
              <w:pStyle w:val="Compact"/>
            </w:pPr>
            <w:r>
              <w:t xml:space="preserve">Publish sheet version, last update date, and changelog when preferred values change</w:t>
            </w:r>
          </w:p>
        </w:tc>
      </w:tr>
      <w:tr>
        <w:tc>
          <w:tcPr/>
          <w:p>
            <w:pPr>
              <w:pStyle w:val="Compact"/>
            </w:pPr>
            <w:r>
              <w:t xml:space="preserve">Rights separated</w:t>
            </w:r>
          </w:p>
        </w:tc>
        <w:tc>
          <w:tcPr/>
          <w:p>
            <w:pPr>
              <w:pStyle w:val="Compact"/>
            </w:pPr>
            <w:r>
              <w:t xml:space="preserve">Underlying-entity rights and digital-file rights are recorded and cited separately</w:t>
            </w:r>
          </w:p>
        </w:tc>
      </w:tr>
      <w:tr>
        <w:tc>
          <w:tcPr/>
          <w:p>
            <w:pPr>
              <w:pStyle w:val="Compact"/>
            </w:pPr>
            <w:r>
              <w:t xml:space="preserve">Machine uncertainty visible</w:t>
            </w:r>
          </w:p>
        </w:tc>
        <w:tc>
          <w:tcPr/>
          <w:p>
            <w:pPr>
              <w:pStyle w:val="Compact"/>
            </w:pPr>
            <w:r>
              <w:t xml:space="preserve">OCR confidence, transcription status, translation status, and unresolved disputes are exposed</w:t>
            </w:r>
          </w:p>
        </w:tc>
      </w:tr>
      <w:tr>
        <w:tc>
          <w:tcPr/>
          <w:p>
            <w:pPr>
              <w:pStyle w:val="Compact"/>
            </w:pPr>
            <w:r>
              <w:t xml:space="preserve">Ephemeral sources captured with context</w:t>
            </w:r>
          </w:p>
        </w:tc>
        <w:tc>
          <w:tcPr/>
          <w:p>
            <w:pPr>
              <w:pStyle w:val="Compact"/>
            </w:pPr>
            <w:r>
              <w:t xml:space="preserve">Social posts, websites, and unstable discovery leads are captured quickly with context metadata</w:t>
            </w:r>
          </w:p>
        </w:tc>
      </w:tr>
      <w:tr>
        <w:tc>
          <w:tcPr/>
          <w:p>
            <w:pPr>
              <w:pStyle w:val="Compact"/>
            </w:pPr>
            <w:r>
              <w:t xml:space="preserve">Export path available</w:t>
            </w:r>
          </w:p>
        </w:tc>
        <w:tc>
          <w:tcPr/>
          <w:p>
            <w:pPr>
              <w:pStyle w:val="Compact"/>
            </w:pPr>
            <w:r>
              <w:t xml:space="preserve">Provide a machine-readable export of source records, claim provenance, and linkage relations</w:t>
            </w:r>
          </w:p>
        </w:tc>
      </w:tr>
    </w:tbl>
    <w:p>
      <w:pPr>
        <w:pStyle w:val="BodyText"/>
      </w:pPr>
      <w:r>
        <w:t xml:space="preserve">The archive should also preserve</w:t>
      </w:r>
      <w:r>
        <w:t xml:space="preserve"> </w:t>
      </w:r>
      <w:r>
        <w:rPr>
          <w:b/>
          <w:bCs/>
        </w:rPr>
        <w:t xml:space="preserve">previous versions of public sheets and, ideally, previous versions of linked source records</w:t>
      </w:r>
      <w:r>
        <w:t xml:space="preserve">. Archival meta-metadata research shows that finding aids and descriptions evolve, and that their revision history can itself be interpretively important; digital-preservation policy likewise stresses complete audit trails and retention of versions generated by preservation actions.</w:t>
      </w:r>
      <w:r>
        <w:t xml:space="preserve"> </w:t>
      </w:r>
      <w:hyperlink r:id="rId50">
        <w:r>
          <w:rPr>
            <w:rStyle w:val="Hyperlink"/>
          </w:rPr>
          <w:t xml:space="preserve">[36]</w:t>
        </w:r>
      </w:hyperlink>
    </w:p>
    <w:p>
      <w:pPr>
        <w:pStyle w:val="BodyText"/>
      </w:pPr>
      <w:r>
        <w:t xml:space="preserve">A short limitation remains. The framework above is strong on provenance, uncertainty, and display logic, but its exact confidence thresholds will still need local calibration by entity type. A poster, a serial issue, a studio identity, and a movement name should not all use the same auto-linking threshold or review queue. That calibration should be documented as policy, revised over time, and tested against real disagreement cases rather than benchmarked only on “easy” matches. PHAROS’ recent work is especially clear that ambiguity is routine, not exceptional, in art-historical reconciliation.</w:t>
      </w:r>
      <w:r>
        <w:t xml:space="preserve"> </w:t>
      </w:r>
      <w:hyperlink r:id="rId34">
        <w:r>
          <w:rPr>
            <w:rStyle w:val="Hyperlink"/>
          </w:rPr>
          <w:t xml:space="preserve">[14]</w:t>
        </w:r>
      </w:hyperlink>
    </w:p>
    <w:bookmarkEnd w:id="51"/>
    <w:bookmarkEnd w:id="52"/>
    <w:bookmarkEnd w:id="53"/>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https://europeana.atlassian.net/wiki/spaces/EF/pages/987758622/EDM%2BCore%2Bclasses</w:t>
      </w:r>
    </w:p>
    <w:p>
      <w:pPr>
        <w:pStyle w:val="BodyText"/>
      </w:pPr>
      <w:hyperlink r:id="rId21">
        <w:r>
          <w:rPr>
            <w:rStyle w:val="Hyperlink"/>
          </w:rPr>
          <w:t xml:space="preserve">https://europeana.atlassian.net/wiki/spaces/EF/pages/987758622/EDM%2BCore%2Bclasses</w:t>
        </w:r>
      </w:hyperlink>
    </w:p>
    <w:p>
      <w:pPr>
        <w:pStyle w:val="BodyText"/>
      </w:pPr>
      <w:hyperlink r:id="rId22">
        <w:r>
          <w:rPr>
            <w:rStyle w:val="Hyperlink"/>
          </w:rPr>
          <w:t xml:space="preserve">[2]</w:t>
        </w:r>
      </w:hyperlink>
      <w:r>
        <w:t xml:space="preserve"> </w:t>
      </w:r>
      <w:hyperlink r:id="rId22">
        <w:r>
          <w:rPr>
            <w:rStyle w:val="Hyperlink"/>
          </w:rPr>
          <w:t xml:space="preserve">[25]</w:t>
        </w:r>
      </w:hyperlink>
      <w:r>
        <w:t xml:space="preserve"> </w:t>
      </w:r>
      <w:r>
        <w:t xml:space="preserve">https://www.getty.edu/publications/vocabularies-editorial-guidelines/cona-guidelines/3_editorial_rules/3.3/</w:t>
      </w:r>
    </w:p>
    <w:p>
      <w:pPr>
        <w:pStyle w:val="BodyText"/>
      </w:pPr>
      <w:hyperlink r:id="rId22">
        <w:r>
          <w:rPr>
            <w:rStyle w:val="Hyperlink"/>
          </w:rPr>
          <w:t xml:space="preserve">https://www.getty.edu/publications/vocabularies-editorial-guidelines/cona-guidelines/3_editorial_rules/3.3/</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[15]</w:t>
        </w:r>
      </w:hyperlink>
      <w:r>
        <w:t xml:space="preserve"> </w:t>
      </w:r>
      <w:hyperlink r:id="rId23">
        <w:r>
          <w:rPr>
            <w:rStyle w:val="Hyperlink"/>
          </w:rPr>
          <w:t xml:space="preserve">[21]</w:t>
        </w:r>
      </w:hyperlink>
      <w:r>
        <w:t xml:space="preserve"> </w:t>
      </w:r>
      <w:r>
        <w:t xml:space="preserve">https://www.ifla.org/files/assets/cataloguing/frbr-lrm/ifla-lrm-august-2017_rev201712.pdf</w:t>
      </w:r>
    </w:p>
    <w:p>
      <w:pPr>
        <w:pStyle w:val="BodyText"/>
      </w:pPr>
      <w:hyperlink r:id="rId23">
        <w:r>
          <w:rPr>
            <w:rStyle w:val="Hyperlink"/>
          </w:rPr>
          <w:t xml:space="preserve">https://www.ifla.org/files/assets/cataloguing/frbr-lrm/ifla-lrm-august-2017_rev201712.pdf</w:t>
        </w:r>
      </w:hyperlink>
    </w:p>
    <w:p>
      <w:pPr>
        <w:pStyle w:val="BodyText"/>
      </w:pPr>
      <w:hyperlink r:id="rId24">
        <w:r>
          <w:rPr>
            <w:rStyle w:val="Hyperlink"/>
          </w:rPr>
          <w:t xml:space="preserve">[4]</w:t>
        </w:r>
      </w:hyperlink>
      <w:r>
        <w:t xml:space="preserve"> </w:t>
      </w:r>
      <w:hyperlink r:id="rId24">
        <w:r>
          <w:rPr>
            <w:rStyle w:val="Hyperlink"/>
          </w:rPr>
          <w:t xml:space="preserve">[11]</w:t>
        </w:r>
      </w:hyperlink>
      <w:r>
        <w:t xml:space="preserve"> </w:t>
      </w:r>
      <w:hyperlink r:id="rId24">
        <w:r>
          <w:rPr>
            <w:rStyle w:val="Hyperlink"/>
          </w:rPr>
          <w:t xml:space="preserve">[24]</w:t>
        </w:r>
      </w:hyperlink>
      <w:r>
        <w:t xml:space="preserve"> </w:t>
      </w:r>
      <w:r>
        <w:t xml:space="preserve">https://www.w3.org/TR/prov-o/</w:t>
      </w:r>
    </w:p>
    <w:p>
      <w:pPr>
        <w:pStyle w:val="BodyText"/>
      </w:pPr>
      <w:hyperlink r:id="rId24">
        <w:r>
          <w:rPr>
            <w:rStyle w:val="Hyperlink"/>
          </w:rPr>
          <w:t xml:space="preserve">https://www.w3.org/TR/prov-o/</w:t>
        </w:r>
      </w:hyperlink>
    </w:p>
    <w:p>
      <w:pPr>
        <w:pStyle w:val="BodyText"/>
      </w:pPr>
      <w:hyperlink r:id="rId25">
        <w:r>
          <w:rPr>
            <w:rStyle w:val="Hyperlink"/>
          </w:rPr>
          <w:t xml:space="preserve">[5]</w:t>
        </w:r>
      </w:hyperlink>
      <w:r>
        <w:t xml:space="preserve"> </w:t>
      </w:r>
      <w:r>
        <w:t xml:space="preserve">https://www.getty.edu/publications/vocabularies-editorial-guidelines/cona-guidelines/4_appendices/4.3/</w:t>
      </w:r>
    </w:p>
    <w:p>
      <w:pPr>
        <w:pStyle w:val="BodyText"/>
      </w:pPr>
      <w:hyperlink r:id="rId25">
        <w:r>
          <w:rPr>
            <w:rStyle w:val="Hyperlink"/>
          </w:rPr>
          <w:t xml:space="preserve">https://www.getty.edu/publications/vocabularies-editorial-guidelines/cona-guidelines/4_appendices/4.3/</w:t>
        </w:r>
      </w:hyperlink>
    </w:p>
    <w:p>
      <w:pPr>
        <w:pStyle w:val="BodyText"/>
      </w:pPr>
      <w:hyperlink r:id="rId26">
        <w:r>
          <w:rPr>
            <w:rStyle w:val="Hyperlink"/>
          </w:rPr>
          <w:t xml:space="preserve">[6]</w:t>
        </w:r>
      </w:hyperlink>
      <w:r>
        <w:t xml:space="preserve"> </w:t>
      </w:r>
      <w:hyperlink r:id="rId26">
        <w:r>
          <w:rPr>
            <w:rStyle w:val="Hyperlink"/>
          </w:rPr>
          <w:t xml:space="preserve">[29]</w:t>
        </w:r>
      </w:hyperlink>
      <w:r>
        <w:t xml:space="preserve"> </w:t>
      </w:r>
      <w:r>
        <w:t xml:space="preserve">https://openresearch-repository.anu.edu.au/items/48c21566-712d-481a-af25-52f868a93aad</w:t>
      </w:r>
    </w:p>
    <w:p>
      <w:pPr>
        <w:pStyle w:val="BodyText"/>
      </w:pPr>
      <w:hyperlink r:id="rId26">
        <w:r>
          <w:rPr>
            <w:rStyle w:val="Hyperlink"/>
          </w:rPr>
          <w:t xml:space="preserve">https://openresearch-repository.anu.edu.au/items/48c21566-712d-481a-af25-52f868a93aad</w:t>
        </w:r>
      </w:hyperlink>
    </w:p>
    <w:p>
      <w:pPr>
        <w:pStyle w:val="BodyText"/>
      </w:pPr>
      <w:hyperlink r:id="rId28">
        <w:r>
          <w:rPr>
            <w:rStyle w:val="Hyperlink"/>
          </w:rPr>
          <w:t xml:space="preserve">[7]</w:t>
        </w:r>
      </w:hyperlink>
      <w:r>
        <w:t xml:space="preserve"> </w:t>
      </w:r>
      <w:hyperlink r:id="rId28">
        <w:r>
          <w:rPr>
            <w:rStyle w:val="Hyperlink"/>
          </w:rPr>
          <w:t xml:space="preserve">[20]</w:t>
        </w:r>
      </w:hyperlink>
      <w:r>
        <w:t xml:space="preserve"> </w:t>
      </w:r>
      <w:hyperlink r:id="rId28">
        <w:r>
          <w:rPr>
            <w:rStyle w:val="Hyperlink"/>
          </w:rPr>
          <w:t xml:space="preserve">[23]</w:t>
        </w:r>
      </w:hyperlink>
      <w:r>
        <w:t xml:space="preserve"> </w:t>
      </w:r>
      <w:r>
        <w:t xml:space="preserve">https://pro.europeana.eu/files/Europeana_Professional/Share_your_data/Technical_requirements/EDM_Documentation/EDM_Primer_130714.pdf</w:t>
      </w:r>
    </w:p>
    <w:p>
      <w:pPr>
        <w:pStyle w:val="BodyText"/>
      </w:pPr>
      <w:hyperlink r:id="rId28">
        <w:r>
          <w:rPr>
            <w:rStyle w:val="Hyperlink"/>
          </w:rPr>
          <w:t xml:space="preserve">https://pro.europeana.eu/files/Europeana_Professional/Share_your_data/Technical_requirements/EDM_Documentation/EDM_Primer_130714.pdf</w:t>
        </w:r>
      </w:hyperlink>
    </w:p>
    <w:p>
      <w:pPr>
        <w:pStyle w:val="BodyText"/>
      </w:pPr>
      <w:hyperlink r:id="rId29">
        <w:r>
          <w:rPr>
            <w:rStyle w:val="Hyperlink"/>
          </w:rPr>
          <w:t xml:space="preserve">[8]</w:t>
        </w:r>
      </w:hyperlink>
      <w:r>
        <w:t xml:space="preserve"> </w:t>
      </w:r>
      <w:hyperlink r:id="rId29">
        <w:r>
          <w:rPr>
            <w:rStyle w:val="Hyperlink"/>
          </w:rPr>
          <w:t xml:space="preserve">[34]</w:t>
        </w:r>
      </w:hyperlink>
      <w:r>
        <w:t xml:space="preserve"> </w:t>
      </w:r>
      <w:r>
        <w:t xml:space="preserve">https://www.library.gov.au/sites/default/files/documents/2024-11/nla-Collection-Description-Policy-2024-11.pdf</w:t>
      </w:r>
    </w:p>
    <w:p>
      <w:pPr>
        <w:pStyle w:val="BodyText"/>
      </w:pPr>
      <w:hyperlink r:id="rId29">
        <w:r>
          <w:rPr>
            <w:rStyle w:val="Hyperlink"/>
          </w:rPr>
          <w:t xml:space="preserve">https://www.library.gov.au/sites/default/files/documents/2024-11/nla-Collection-Description-Policy-2024-11.pdf</w:t>
        </w:r>
      </w:hyperlink>
    </w:p>
    <w:p>
      <w:pPr>
        <w:pStyle w:val="BodyText"/>
      </w:pPr>
      <w:hyperlink r:id="rId30">
        <w:r>
          <w:rPr>
            <w:rStyle w:val="Hyperlink"/>
          </w:rPr>
          <w:t xml:space="preserve">[9]</w:t>
        </w:r>
      </w:hyperlink>
      <w:r>
        <w:t xml:space="preserve"> </w:t>
      </w:r>
      <w:r>
        <w:t xml:space="preserve">https://pro.europeana.eu/files/Europeana_Professional/Share_your_data/Technical_requirements/EDM_profiles/EDM_provenance_profile_external_202111.pdf</w:t>
      </w:r>
    </w:p>
    <w:p>
      <w:pPr>
        <w:pStyle w:val="BodyText"/>
      </w:pPr>
      <w:hyperlink r:id="rId30">
        <w:r>
          <w:rPr>
            <w:rStyle w:val="Hyperlink"/>
          </w:rPr>
          <w:t xml:space="preserve">https://pro.europeana.eu/files/Europeana_Professional/Share_your_data/Technical_requirements/EDM_profiles/EDM_provenance_profile_external_202111.pdf</w:t>
        </w:r>
      </w:hyperlink>
    </w:p>
    <w:p>
      <w:pPr>
        <w:pStyle w:val="BodyText"/>
      </w:pPr>
      <w:hyperlink r:id="rId32">
        <w:r>
          <w:rPr>
            <w:rStyle w:val="Hyperlink"/>
          </w:rPr>
          <w:t xml:space="preserve">[10]</w:t>
        </w:r>
      </w:hyperlink>
      <w:r>
        <w:t xml:space="preserve"> </w:t>
      </w:r>
      <w:hyperlink r:id="rId32">
        <w:r>
          <w:rPr>
            <w:rStyle w:val="Hyperlink"/>
          </w:rPr>
          <w:t xml:space="preserve">[18]</w:t>
        </w:r>
      </w:hyperlink>
      <w:r>
        <w:t xml:space="preserve"> </w:t>
      </w:r>
      <w:r>
        <w:t xml:space="preserve">https://www.sciencemuseumgroup.org.uk/projects/heritage-connector</w:t>
      </w:r>
    </w:p>
    <w:p>
      <w:pPr>
        <w:pStyle w:val="BodyText"/>
      </w:pPr>
      <w:hyperlink r:id="rId32">
        <w:r>
          <w:rPr>
            <w:rStyle w:val="Hyperlink"/>
          </w:rPr>
          <w:t xml:space="preserve">https://www.sciencemuseumgroup.org.uk/projects/heritage-connector</w:t>
        </w:r>
      </w:hyperlink>
    </w:p>
    <w:p>
      <w:pPr>
        <w:pStyle w:val="BodyText"/>
      </w:pPr>
      <w:hyperlink r:id="rId33">
        <w:r>
          <w:rPr>
            <w:rStyle w:val="Hyperlink"/>
          </w:rPr>
          <w:t xml:space="preserve">[13]</w:t>
        </w:r>
      </w:hyperlink>
      <w:r>
        <w:t xml:space="preserve"> </w:t>
      </w:r>
      <w:r>
        <w:t xml:space="preserve">https://www.loc.gov/ndnp/guidelines/NDNP_202628TechNotes.pdf</w:t>
      </w:r>
    </w:p>
    <w:p>
      <w:pPr>
        <w:pStyle w:val="BodyText"/>
      </w:pPr>
      <w:hyperlink r:id="rId33">
        <w:r>
          <w:rPr>
            <w:rStyle w:val="Hyperlink"/>
          </w:rPr>
          <w:t xml:space="preserve">https://www.loc.gov/ndnp/guidelines/NDNP_202628TechNotes.pdf</w:t>
        </w:r>
      </w:hyperlink>
    </w:p>
    <w:p>
      <w:pPr>
        <w:pStyle w:val="BodyText"/>
      </w:pPr>
      <w:hyperlink r:id="rId34">
        <w:r>
          <w:rPr>
            <w:rStyle w:val="Hyperlink"/>
          </w:rPr>
          <w:t xml:space="preserve">[14]</w:t>
        </w:r>
      </w:hyperlink>
      <w:r>
        <w:t xml:space="preserve"> </w:t>
      </w:r>
      <w:hyperlink r:id="rId34">
        <w:r>
          <w:rPr>
            <w:rStyle w:val="Hyperlink"/>
          </w:rPr>
          <w:t xml:space="preserve">[17]</w:t>
        </w:r>
      </w:hyperlink>
      <w:r>
        <w:t xml:space="preserve"> </w:t>
      </w:r>
      <w:r>
        <w:t xml:space="preserve">https://www.emerald.com/jd/article/82/2/362/1336764/Many-to-many-Usability-challenges-of-entity</w:t>
      </w:r>
    </w:p>
    <w:p>
      <w:pPr>
        <w:pStyle w:val="BodyText"/>
      </w:pPr>
      <w:hyperlink r:id="rId34">
        <w:r>
          <w:rPr>
            <w:rStyle w:val="Hyperlink"/>
          </w:rPr>
          <w:t xml:space="preserve">https://www.emerald.com/jd/article/82/2/362/1336764/Many-to-many-Usability-challenges-of-entity</w:t>
        </w:r>
      </w:hyperlink>
    </w:p>
    <w:p>
      <w:pPr>
        <w:pStyle w:val="BodyText"/>
      </w:pPr>
      <w:hyperlink r:id="rId35">
        <w:r>
          <w:rPr>
            <w:rStyle w:val="Hyperlink"/>
          </w:rPr>
          <w:t xml:space="preserve">[16]</w:t>
        </w:r>
      </w:hyperlink>
      <w:r>
        <w:t xml:space="preserve"> </w:t>
      </w:r>
      <w:r>
        <w:t xml:space="preserve">https://cidoc-crm.org/Issue/ID-367-e13-attribute-assignment</w:t>
      </w:r>
    </w:p>
    <w:p>
      <w:pPr>
        <w:pStyle w:val="BodyText"/>
      </w:pPr>
      <w:hyperlink r:id="rId35">
        <w:r>
          <w:rPr>
            <w:rStyle w:val="Hyperlink"/>
          </w:rPr>
          <w:t xml:space="preserve">https://cidoc-crm.org/Issue/ID-367-e13-attribute-assignment</w:t>
        </w:r>
      </w:hyperlink>
    </w:p>
    <w:p>
      <w:pPr>
        <w:pStyle w:val="BodyText"/>
      </w:pPr>
      <w:hyperlink r:id="rId36">
        <w:r>
          <w:rPr>
            <w:rStyle w:val="Hyperlink"/>
          </w:rPr>
          <w:t xml:space="preserve">[19]</w:t>
        </w:r>
      </w:hyperlink>
      <w:r>
        <w:t xml:space="preserve"> </w:t>
      </w:r>
      <w:r>
        <w:t xml:space="preserve">https://www.w3.org/TR/skos-reference/</w:t>
      </w:r>
    </w:p>
    <w:p>
      <w:pPr>
        <w:pStyle w:val="BodyText"/>
      </w:pPr>
      <w:hyperlink r:id="rId36">
        <w:r>
          <w:rPr>
            <w:rStyle w:val="Hyperlink"/>
          </w:rPr>
          <w:t xml:space="preserve">https://www.w3.org/TR/skos-reference/</w:t>
        </w:r>
      </w:hyperlink>
    </w:p>
    <w:p>
      <w:pPr>
        <w:pStyle w:val="BodyText"/>
      </w:pPr>
      <w:hyperlink r:id="rId38">
        <w:r>
          <w:rPr>
            <w:rStyle w:val="Hyperlink"/>
          </w:rPr>
          <w:t xml:space="preserve">[22]</w:t>
        </w:r>
      </w:hyperlink>
      <w:r>
        <w:t xml:space="preserve"> </w:t>
      </w:r>
      <w:r>
        <w:t xml:space="preserve">https://journal.code4lib.org/articles/12902</w:t>
      </w:r>
    </w:p>
    <w:p>
      <w:pPr>
        <w:pStyle w:val="BodyText"/>
      </w:pPr>
      <w:hyperlink r:id="rId38">
        <w:r>
          <w:rPr>
            <w:rStyle w:val="Hyperlink"/>
          </w:rPr>
          <w:t xml:space="preserve">https://journal.code4lib.org/articles/12902</w:t>
        </w:r>
      </w:hyperlink>
    </w:p>
    <w:p>
      <w:pPr>
        <w:pStyle w:val="BodyText"/>
      </w:pPr>
      <w:hyperlink r:id="rId40">
        <w:r>
          <w:rPr>
            <w:rStyle w:val="Hyperlink"/>
          </w:rPr>
          <w:t xml:space="preserve">[26]</w:t>
        </w:r>
      </w:hyperlink>
      <w:r>
        <w:t xml:space="preserve"> </w:t>
      </w:r>
      <w:r>
        <w:t xml:space="preserve">https://www.loc.gov/standards/alto/description.html</w:t>
      </w:r>
    </w:p>
    <w:p>
      <w:pPr>
        <w:pStyle w:val="BodyText"/>
      </w:pPr>
      <w:hyperlink r:id="rId40">
        <w:r>
          <w:rPr>
            <w:rStyle w:val="Hyperlink"/>
          </w:rPr>
          <w:t xml:space="preserve">https://www.loc.gov/standards/alto/description.html</w:t>
        </w:r>
      </w:hyperlink>
    </w:p>
    <w:p>
      <w:pPr>
        <w:pStyle w:val="BodyText"/>
      </w:pPr>
      <w:hyperlink r:id="rId41">
        <w:r>
          <w:rPr>
            <w:rStyle w:val="Hyperlink"/>
          </w:rPr>
          <w:t xml:space="preserve">[27]</w:t>
        </w:r>
      </w:hyperlink>
      <w:r>
        <w:t xml:space="preserve"> </w:t>
      </w:r>
      <w:r>
        <w:t xml:space="preserve">Social media records | PROV</w:t>
      </w:r>
    </w:p>
    <w:p>
      <w:pPr>
        <w:pStyle w:val="BodyText"/>
      </w:pPr>
      <w:hyperlink r:id="rId41">
        <w:r>
          <w:rPr>
            <w:rStyle w:val="Hyperlink"/>
          </w:rPr>
          <w:t xml:space="preserve">https://prov.vic.gov.au/recordkeeping-government/a-z-topics/social-media-records</w:t>
        </w:r>
      </w:hyperlink>
    </w:p>
    <w:p>
      <w:pPr>
        <w:pStyle w:val="BodyText"/>
      </w:pPr>
      <w:hyperlink r:id="rId43">
        <w:r>
          <w:rPr>
            <w:rStyle w:val="Hyperlink"/>
          </w:rPr>
          <w:t xml:space="preserve">[28]</w:t>
        </w:r>
      </w:hyperlink>
      <w:r>
        <w:t xml:space="preserve"> </w:t>
      </w:r>
      <w:hyperlink r:id="rId43">
        <w:r>
          <w:rPr>
            <w:rStyle w:val="Hyperlink"/>
          </w:rPr>
          <w:t xml:space="preserve">[35]</w:t>
        </w:r>
      </w:hyperlink>
      <w:r>
        <w:t xml:space="preserve"> </w:t>
      </w:r>
      <w:r>
        <w:t xml:space="preserve">https://force11.org/info/joint-declaration-of-data-citation-principles-final/</w:t>
      </w:r>
    </w:p>
    <w:p>
      <w:pPr>
        <w:pStyle w:val="BodyText"/>
      </w:pPr>
      <w:hyperlink r:id="rId43">
        <w:r>
          <w:rPr>
            <w:rStyle w:val="Hyperlink"/>
          </w:rPr>
          <w:t xml:space="preserve">https://force11.org/info/joint-declaration-of-data-citation-principles-final/</w:t>
        </w:r>
      </w:hyperlink>
    </w:p>
    <w:p>
      <w:pPr>
        <w:pStyle w:val="BodyText"/>
      </w:pPr>
      <w:hyperlink r:id="rId44">
        <w:r>
          <w:rPr>
            <w:rStyle w:val="Hyperlink"/>
          </w:rPr>
          <w:t xml:space="preserve">[30]</w:t>
        </w:r>
      </w:hyperlink>
      <w:r>
        <w:t xml:space="preserve"> </w:t>
      </w:r>
      <w:r>
        <w:t xml:space="preserve">https://www.europeana.eu/en/rights/usage-guidelines-for-metadata</w:t>
      </w:r>
    </w:p>
    <w:p>
      <w:pPr>
        <w:pStyle w:val="BodyText"/>
      </w:pPr>
      <w:hyperlink r:id="rId44">
        <w:r>
          <w:rPr>
            <w:rStyle w:val="Hyperlink"/>
          </w:rPr>
          <w:t xml:space="preserve">https://www.europeana.eu/en/rights/usage-guidelines-for-metadata</w:t>
        </w:r>
      </w:hyperlink>
    </w:p>
    <w:p>
      <w:pPr>
        <w:pStyle w:val="BodyText"/>
      </w:pPr>
      <w:hyperlink r:id="rId45">
        <w:r>
          <w:rPr>
            <w:rStyle w:val="Hyperlink"/>
          </w:rPr>
          <w:t xml:space="preserve">[31]</w:t>
        </w:r>
      </w:hyperlink>
      <w:r>
        <w:t xml:space="preserve"> </w:t>
      </w:r>
      <w:r>
        <w:t xml:space="preserve">https://rightsstatements.org/en/documentation/</w:t>
      </w:r>
    </w:p>
    <w:p>
      <w:pPr>
        <w:pStyle w:val="BodyText"/>
      </w:pPr>
      <w:hyperlink r:id="rId45">
        <w:r>
          <w:rPr>
            <w:rStyle w:val="Hyperlink"/>
          </w:rPr>
          <w:t xml:space="preserve">https://rightsstatements.org/en/documentation/</w:t>
        </w:r>
      </w:hyperlink>
    </w:p>
    <w:p>
      <w:pPr>
        <w:pStyle w:val="BodyText"/>
      </w:pPr>
      <w:hyperlink r:id="rId47">
        <w:r>
          <w:rPr>
            <w:rStyle w:val="Hyperlink"/>
          </w:rPr>
          <w:t xml:space="preserve">[32]</w:t>
        </w:r>
      </w:hyperlink>
      <w:r>
        <w:t xml:space="preserve"> </w:t>
      </w:r>
      <w:r>
        <w:t xml:space="preserve">https://www.jlis.it/index.php/jlis/article/view/713</w:t>
      </w:r>
    </w:p>
    <w:p>
      <w:pPr>
        <w:pStyle w:val="BodyText"/>
      </w:pPr>
      <w:hyperlink r:id="rId47">
        <w:r>
          <w:rPr>
            <w:rStyle w:val="Hyperlink"/>
          </w:rPr>
          <w:t xml:space="preserve">https://www.jlis.it/index.php/jlis/article/view/713</w:t>
        </w:r>
      </w:hyperlink>
    </w:p>
    <w:p>
      <w:pPr>
        <w:pStyle w:val="BodyText"/>
      </w:pPr>
      <w:hyperlink r:id="rId48">
        <w:r>
          <w:rPr>
            <w:rStyle w:val="Hyperlink"/>
          </w:rPr>
          <w:t xml:space="preserve">[33]</w:t>
        </w:r>
      </w:hyperlink>
      <w:r>
        <w:t xml:space="preserve"> </w:t>
      </w:r>
      <w:r>
        <w:t xml:space="preserve">https://pro.europeana.eu/page/data-multilinguality</w:t>
      </w:r>
    </w:p>
    <w:p>
      <w:pPr>
        <w:pStyle w:val="BodyText"/>
      </w:pPr>
      <w:hyperlink r:id="rId48">
        <w:r>
          <w:rPr>
            <w:rStyle w:val="Hyperlink"/>
          </w:rPr>
          <w:t xml:space="preserve">https://pro.europeana.eu/page/data-multilinguality</w:t>
        </w:r>
      </w:hyperlink>
    </w:p>
    <w:p>
      <w:pPr>
        <w:pStyle w:val="BodyText"/>
      </w:pPr>
      <w:hyperlink r:id="rId50">
        <w:r>
          <w:rPr>
            <w:rStyle w:val="Hyperlink"/>
          </w:rPr>
          <w:t xml:space="preserve">[36]</w:t>
        </w:r>
      </w:hyperlink>
      <w:r>
        <w:t xml:space="preserve"> </w:t>
      </w:r>
      <w:r>
        <w:t xml:space="preserve">https://link.springer.com/article/10.1007/s10502-024-09443-z</w:t>
      </w:r>
    </w:p>
    <w:p>
      <w:pPr>
        <w:pStyle w:val="BodyText"/>
      </w:pPr>
      <w:hyperlink r:id="rId50">
        <w:r>
          <w:rPr>
            <w:rStyle w:val="Hyperlink"/>
          </w:rPr>
          <w:t xml:space="preserve">https://link.springer.com/article/10.1007/s10502-024-09443-z</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cidoc-crm.org/Issue/ID-367-e13-attribute-assignment" TargetMode="External" /><Relationship Type="http://schemas.openxmlformats.org/officeDocument/2006/relationships/hyperlink" Id="rId21" Target="https://europeana.atlassian.net/wiki/spaces/EF/pages/987758622/EDM%2BCore%2Bclasses" TargetMode="External" /><Relationship Type="http://schemas.openxmlformats.org/officeDocument/2006/relationships/hyperlink" Id="rId43" Target="https://force11.org/info/joint-declaration-of-data-citation-principles-final/" TargetMode="External" /><Relationship Type="http://schemas.openxmlformats.org/officeDocument/2006/relationships/hyperlink" Id="rId38" Target="https://journal.code4lib.org/articles/12902" TargetMode="External" /><Relationship Type="http://schemas.openxmlformats.org/officeDocument/2006/relationships/hyperlink" Id="rId50" Target="https://link.springer.com/article/10.1007/s10502-024-09443-z" TargetMode="External" /><Relationship Type="http://schemas.openxmlformats.org/officeDocument/2006/relationships/hyperlink" Id="rId26" Target="https://openresearch-repository.anu.edu.au/items/48c21566-712d-481a-af25-52f868a93aad" TargetMode="External" /><Relationship Type="http://schemas.openxmlformats.org/officeDocument/2006/relationships/hyperlink" Id="rId28" Target="https://pro.europeana.eu/files/Europeana_Professional/Share_your_data/Technical_requirements/EDM_Documentation/EDM_Primer_130714.pdf" TargetMode="External" /><Relationship Type="http://schemas.openxmlformats.org/officeDocument/2006/relationships/hyperlink" Id="rId30" Target="https://pro.europeana.eu/files/Europeana_Professional/Share_your_data/Technical_requirements/EDM_profiles/EDM_provenance_profile_external_202111.pdf" TargetMode="External" /><Relationship Type="http://schemas.openxmlformats.org/officeDocument/2006/relationships/hyperlink" Id="rId48" Target="https://pro.europeana.eu/page/data-multilinguality" TargetMode="External" /><Relationship Type="http://schemas.openxmlformats.org/officeDocument/2006/relationships/hyperlink" Id="rId41" Target="https://prov.vic.gov.au/recordkeeping-government/a-z-topics/social-media-records" TargetMode="External" /><Relationship Type="http://schemas.openxmlformats.org/officeDocument/2006/relationships/hyperlink" Id="rId45" Target="https://rightsstatements.org/en/documentation/" TargetMode="External" /><Relationship Type="http://schemas.openxmlformats.org/officeDocument/2006/relationships/hyperlink" Id="rId34" Target="https://www.emerald.com/jd/article/82/2/362/1336764/Many-to-many-Usability-challenges-of-entity" TargetMode="External" /><Relationship Type="http://schemas.openxmlformats.org/officeDocument/2006/relationships/hyperlink" Id="rId44" Target="https://www.europeana.eu/en/rights/usage-guidelines-for-metadata" TargetMode="External" /><Relationship Type="http://schemas.openxmlformats.org/officeDocument/2006/relationships/hyperlink" Id="rId22" Target="https://www.getty.edu/publications/vocabularies-editorial-guidelines/cona-guidelines/3_editorial_rules/3.3/" TargetMode="External" /><Relationship Type="http://schemas.openxmlformats.org/officeDocument/2006/relationships/hyperlink" Id="rId25" Target="https://www.getty.edu/publications/vocabularies-editorial-guidelines/cona-guidelines/4_appendices/4.3/" TargetMode="External" /><Relationship Type="http://schemas.openxmlformats.org/officeDocument/2006/relationships/hyperlink" Id="rId23" Target="https://www.ifla.org/files/assets/cataloguing/frbr-lrm/ifla-lrm-august-2017_rev201712.pdf" TargetMode="External" /><Relationship Type="http://schemas.openxmlformats.org/officeDocument/2006/relationships/hyperlink" Id="rId47" Target="https://www.jlis.it/index.php/jlis/article/view/713" TargetMode="External" /><Relationship Type="http://schemas.openxmlformats.org/officeDocument/2006/relationships/hyperlink" Id="rId29" Target="https://www.library.gov.au/sites/default/files/documents/2024-11/nla-Collection-Description-Policy-2024-11.pdf" TargetMode="External" /><Relationship Type="http://schemas.openxmlformats.org/officeDocument/2006/relationships/hyperlink" Id="rId33" Target="https://www.loc.gov/ndnp/guidelines/NDNP_202628TechNotes.pdf" TargetMode="External" /><Relationship Type="http://schemas.openxmlformats.org/officeDocument/2006/relationships/hyperlink" Id="rId40" Target="https://www.loc.gov/standards/alto/description.html" TargetMode="External" /><Relationship Type="http://schemas.openxmlformats.org/officeDocument/2006/relationships/hyperlink" Id="rId32" Target="https://www.sciencemuseumgroup.org.uk/projects/heritage-connector" TargetMode="External" /><Relationship Type="http://schemas.openxmlformats.org/officeDocument/2006/relationships/hyperlink" Id="rId24" Target="https://www.w3.org/TR/prov-o/" TargetMode="External" /><Relationship Type="http://schemas.openxmlformats.org/officeDocument/2006/relationships/hyperlink" Id="rId36" Target="https://www.w3.org/TR/skos-reference/" TargetMode="External" /></Relationships>
</file>

<file path=word/_rels/footnotes.xml.rels><?xml version="1.0" encoding="UTF-8"?><Relationships xmlns="http://schemas.openxmlformats.org/package/2006/relationships"><Relationship Type="http://schemas.openxmlformats.org/officeDocument/2006/relationships/hyperlink" Id="rId35" Target="https://cidoc-crm.org/Issue/ID-367-e13-attribute-assignment" TargetMode="External" /><Relationship Type="http://schemas.openxmlformats.org/officeDocument/2006/relationships/hyperlink" Id="rId21" Target="https://europeana.atlassian.net/wiki/spaces/EF/pages/987758622/EDM%2BCore%2Bclasses" TargetMode="External" /><Relationship Type="http://schemas.openxmlformats.org/officeDocument/2006/relationships/hyperlink" Id="rId43" Target="https://force11.org/info/joint-declaration-of-data-citation-principles-final/" TargetMode="External" /><Relationship Type="http://schemas.openxmlformats.org/officeDocument/2006/relationships/hyperlink" Id="rId38" Target="https://journal.code4lib.org/articles/12902" TargetMode="External" /><Relationship Type="http://schemas.openxmlformats.org/officeDocument/2006/relationships/hyperlink" Id="rId50" Target="https://link.springer.com/article/10.1007/s10502-024-09443-z" TargetMode="External" /><Relationship Type="http://schemas.openxmlformats.org/officeDocument/2006/relationships/hyperlink" Id="rId26" Target="https://openresearch-repository.anu.edu.au/items/48c21566-712d-481a-af25-52f868a93aad" TargetMode="External" /><Relationship Type="http://schemas.openxmlformats.org/officeDocument/2006/relationships/hyperlink" Id="rId28" Target="https://pro.europeana.eu/files/Europeana_Professional/Share_your_data/Technical_requirements/EDM_Documentation/EDM_Primer_130714.pdf" TargetMode="External" /><Relationship Type="http://schemas.openxmlformats.org/officeDocument/2006/relationships/hyperlink" Id="rId30" Target="https://pro.europeana.eu/files/Europeana_Professional/Share_your_data/Technical_requirements/EDM_profiles/EDM_provenance_profile_external_202111.pdf" TargetMode="External" /><Relationship Type="http://schemas.openxmlformats.org/officeDocument/2006/relationships/hyperlink" Id="rId48" Target="https://pro.europeana.eu/page/data-multilinguality" TargetMode="External" /><Relationship Type="http://schemas.openxmlformats.org/officeDocument/2006/relationships/hyperlink" Id="rId41" Target="https://prov.vic.gov.au/recordkeeping-government/a-z-topics/social-media-records" TargetMode="External" /><Relationship Type="http://schemas.openxmlformats.org/officeDocument/2006/relationships/hyperlink" Id="rId45" Target="https://rightsstatements.org/en/documentation/" TargetMode="External" /><Relationship Type="http://schemas.openxmlformats.org/officeDocument/2006/relationships/hyperlink" Id="rId34" Target="https://www.emerald.com/jd/article/82/2/362/1336764/Many-to-many-Usability-challenges-of-entity" TargetMode="External" /><Relationship Type="http://schemas.openxmlformats.org/officeDocument/2006/relationships/hyperlink" Id="rId44" Target="https://www.europeana.eu/en/rights/usage-guidelines-for-metadata" TargetMode="External" /><Relationship Type="http://schemas.openxmlformats.org/officeDocument/2006/relationships/hyperlink" Id="rId22" Target="https://www.getty.edu/publications/vocabularies-editorial-guidelines/cona-guidelines/3_editorial_rules/3.3/" TargetMode="External" /><Relationship Type="http://schemas.openxmlformats.org/officeDocument/2006/relationships/hyperlink" Id="rId25" Target="https://www.getty.edu/publications/vocabularies-editorial-guidelines/cona-guidelines/4_appendices/4.3/" TargetMode="External" /><Relationship Type="http://schemas.openxmlformats.org/officeDocument/2006/relationships/hyperlink" Id="rId23" Target="https://www.ifla.org/files/assets/cataloguing/frbr-lrm/ifla-lrm-august-2017_rev201712.pdf" TargetMode="External" /><Relationship Type="http://schemas.openxmlformats.org/officeDocument/2006/relationships/hyperlink" Id="rId47" Target="https://www.jlis.it/index.php/jlis/article/view/713" TargetMode="External" /><Relationship Type="http://schemas.openxmlformats.org/officeDocument/2006/relationships/hyperlink" Id="rId29" Target="https://www.library.gov.au/sites/default/files/documents/2024-11/nla-Collection-Description-Policy-2024-11.pdf" TargetMode="External" /><Relationship Type="http://schemas.openxmlformats.org/officeDocument/2006/relationships/hyperlink" Id="rId33" Target="https://www.loc.gov/ndnp/guidelines/NDNP_202628TechNotes.pdf" TargetMode="External" /><Relationship Type="http://schemas.openxmlformats.org/officeDocument/2006/relationships/hyperlink" Id="rId40" Target="https://www.loc.gov/standards/alto/description.html" TargetMode="External" /><Relationship Type="http://schemas.openxmlformats.org/officeDocument/2006/relationships/hyperlink" Id="rId32" Target="https://www.sciencemuseumgroup.org.uk/projects/heritage-connector" TargetMode="External" /><Relationship Type="http://schemas.openxmlformats.org/officeDocument/2006/relationships/hyperlink" Id="rId24" Target="https://www.w3.org/TR/prov-o/" TargetMode="External" /><Relationship Type="http://schemas.openxmlformats.org/officeDocument/2006/relationships/hyperlink" Id="rId36" Target="https://www.w3.org/TR/skos-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2026-06-01T12:24:19Z</dcterms:created>
  <dcterms:modified xsi:type="dcterms:W3CDTF">2026-06-01T12:24:19Z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