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07fe1592aacca3c06e5d910f49cd16511dddb5c"/>
    <w:p>
      <w:pPr>
        <w:pStyle w:val="Heading1"/>
      </w:pPr>
      <w:r>
        <w:t xml:space="preserve">Publication-Surface Logic for a Graphic Design History Archive</w:t>
      </w:r>
    </w:p>
    <w:bookmarkStart w:id="26" w:name="precedents-and-design-implications"/>
    <w:p>
      <w:pPr>
        <w:pStyle w:val="Heading2"/>
      </w:pPr>
      <w:r>
        <w:t xml:space="preserve">Precedents and design implications</w:t>
      </w:r>
    </w:p>
    <w:p>
      <w:pPr>
        <w:pStyle w:val="FirstParagraph"/>
      </w:pPr>
      <w:r>
        <w:t xml:space="preserve">Archival and museum description standards already assume that publication depth should vary by record strength. DACS allows both single-level and multilevel description, does not prescribe a single “correct” level for every body of material, and explicitly allows lower levels to omit elements already expressed at higher levels. AtoM likewise frames archival description as hierarchical and contextual, while the Archives of American Art states that finding-aid detail should reflect both arrangement and processing level. In other words, the standards tradition already supports selective publication, inheritance, and uneven depth rather than a one-record-one-page rule.</w:t>
      </w:r>
      <w:r>
        <w:t xml:space="preserve"> </w:t>
      </w:r>
      <w:hyperlink r:id="rId21">
        <w:r>
          <w:rPr>
            <w:rStyle w:val="Hyperlink"/>
          </w:rPr>
          <w:t xml:space="preserve">[1]</w:t>
        </w:r>
      </w:hyperlink>
    </w:p>
    <w:p>
      <w:pPr>
        <w:pStyle w:val="BodyText"/>
      </w:pPr>
      <w:r>
        <w:t xml:space="preserve">Digital-archive practice pushes even further in that direction. The UK National Archives chose not to present born-digital folders as assets in their own right, because converting deep folder structures into public pages harms findability and browseability; instead, parent folder names are carried into the item’s arrangement metadata, which can provide a provenance trail and contextual discovery path. The same document explains that born-digital titles may be nothing more than preserved filenames, which are often weak or meaningless without arrangement context. That is directly relevant to your “archive box” metaphor: many records should inherit context from a stronger surface rather than being forced into standalone sheets.</w:t>
      </w:r>
      <w:r>
        <w:t xml:space="preserve"> </w:t>
      </w:r>
      <w:hyperlink r:id="rId22">
        <w:r>
          <w:rPr>
            <w:rStyle w:val="Hyperlink"/>
          </w:rPr>
          <w:t xml:space="preserve">[2]</w:t>
        </w:r>
      </w:hyperlink>
    </w:p>
    <w:p>
      <w:pPr>
        <w:pStyle w:val="BodyText"/>
      </w:pPr>
      <w:r>
        <w:t xml:space="preserve">Public archival interfaces also distinguish between browse/filter surfaces and record-detail surfaces. ArchivesSpace specifies separate browsing templates, search-result templates, and content display templates, each with their own search or filtering behavior. Cooper Hewitt similarly argued that search and browse should not be collapsed into the same interface, because browse needs richer, more exploratory presentation while search needs accuracy and restraint. Letterform Archive’s online archive shows this in practice through visual search and filters such as country, designer, decade, and format, while the National Library of Australia’s finding aids let readers narrow by collection, creator, date range, subject, level, and access before they open the relevant record. Folder views in your system should therefore behave like filterable, conceptual entry points rather than as pseudo-containers that must themselves carry all descriptive burden.</w:t>
      </w:r>
      <w:r>
        <w:t xml:space="preserve"> </w:t>
      </w:r>
      <w:hyperlink r:id="rId23">
        <w:r>
          <w:rPr>
            <w:rStyle w:val="Hyperlink"/>
          </w:rPr>
          <w:t xml:space="preserve">[3]</w:t>
        </w:r>
      </w:hyperlink>
    </w:p>
    <w:p>
      <w:pPr>
        <w:pStyle w:val="BodyText"/>
      </w:pPr>
      <w:r>
        <w:t xml:space="preserve">The supporting-evidence tradition also matters. Museum object files are literally folders of loose leaves and supporting documents; the NSW Museums guidance describes them as essential reference points that hold accumulated institutional knowledge, while SFMOMA describes hardcopy object files as “micro-constellations” of correspondence, contracts, installation instructions, and publications. SFMOMA’s experimental preservation dossiers were valuable because they organized evidence by tabbed sections, but the museum also found that duplicated documents across systems were cumbersome and confusing. National Gallery dossiers reinforce the same lesson from the public side: some dossiers are rich, but others contain very little. This strongly suggests that appendices should be evidence surfaces attached to stronger records, and that sparse evidence bundles should not automatically become full main sheets.</w:t>
      </w:r>
      <w:r>
        <w:t xml:space="preserve"> </w:t>
      </w:r>
      <w:hyperlink r:id="rId24">
        <w:r>
          <w:rPr>
            <w:rStyle w:val="Hyperlink"/>
          </w:rPr>
          <w:t xml:space="preserve">[4]</w:t>
        </w:r>
      </w:hyperlink>
    </w:p>
    <w:p>
      <w:pPr>
        <w:pStyle w:val="BodyText"/>
      </w:pPr>
      <w:r>
        <w:t xml:space="preserve">Card-based precedents show what a minimal public surface looks like when it is useful but not expansive. The Library of Congress main card catalog represents each work with one or more cards carrying concise identifying and retrieval facts; the South Australian Museum’s published accession registration card is similarly terse, essentially a compact accession note with creator, control number, date range, and series context. Those precedents are good models for your card surface: stable, citable, retrievable, but not pretending to be interpretive or exhaustive.</w:t>
      </w:r>
      <w:r>
        <w:t xml:space="preserve"> </w:t>
      </w:r>
      <w:hyperlink r:id="rId25">
        <w:r>
          <w:rPr>
            <w:rStyle w:val="Hyperlink"/>
          </w:rPr>
          <w:t xml:space="preserve">[5]</w:t>
        </w:r>
      </w:hyperlink>
    </w:p>
    <w:bookmarkEnd w:id="26"/>
    <w:bookmarkStart w:id="31" w:name="surface-taxonomy"/>
    <w:p>
      <w:pPr>
        <w:pStyle w:val="Heading2"/>
      </w:pPr>
      <w:r>
        <w:t xml:space="preserve">Surface taxonomy</w:t>
      </w:r>
    </w:p>
    <w:p>
      <w:pPr>
        <w:pStyle w:val="FirstParagraph"/>
      </w:pPr>
      <w:r>
        <w:t xml:space="preserve">A</w:t>
      </w:r>
      <w:r>
        <w:t xml:space="preserve"> </w:t>
      </w:r>
      <w:r>
        <w:rPr>
          <w:b/>
          <w:bCs/>
        </w:rPr>
        <w:t xml:space="preserve">main sheet</w:t>
      </w:r>
      <w:r>
        <w:t xml:space="preserve"> </w:t>
      </w:r>
      <w:r>
        <w:t xml:space="preserve">should be the archive’s primary stand-alone publication surface for either a single record or a coherent aggregate record. It is not just a metadata row. DACS requires scope-and-content information so that readers can judge relevance, and CCO recommends that a minimal cultural-object record still identify creative responsibility, title/work type, date or context, and distinguishing description. The National Archives’ born-digital guidance adds that arrangement context is often essential when titles are weak. A main sheet should therefore only be used when a record can sustain identity, context, and a meaningful reading experience on one dominant surface.</w:t>
      </w:r>
      <w:r>
        <w:t xml:space="preserve"> </w:t>
      </w:r>
      <w:hyperlink r:id="rId27">
        <w:r>
          <w:rPr>
            <w:rStyle w:val="Hyperlink"/>
          </w:rPr>
          <w:t xml:space="preserve">[6]</w:t>
        </w:r>
      </w:hyperlink>
    </w:p>
    <w:p>
      <w:pPr>
        <w:pStyle w:val="BodyText"/>
      </w:pPr>
      <w:r>
        <w:t xml:space="preserve">An</w:t>
      </w:r>
      <w:r>
        <w:t xml:space="preserve"> </w:t>
      </w:r>
      <w:r>
        <w:rPr>
          <w:b/>
          <w:bCs/>
        </w:rPr>
        <w:t xml:space="preserve">appendix</w:t>
      </w:r>
      <w:r>
        <w:t xml:space="preserve"> </w:t>
      </w:r>
      <w:r>
        <w:t xml:space="preserve">should hold supporting evidence that is important, structured, and subordinate to a sheet or folder unit. DACS provides the archival vocabulary for what belongs here: rights and reuse conditions, existence and location of originals or copies, related archival materials, publication notes, preferred citation, sources used in constructing the description, and technical or migration notes. RightsStatements.org and Europeana add a useful UI rule: a concise rights statement should be displayed near the object, while fuller rights information remains available as linked, more detailed evidence. Appendices are therefore the right home for source evidence, rights evidence, citation evidence, original/copy notes, and relation evidence that would otherwise bloat the sheet.</w:t>
      </w:r>
      <w:r>
        <w:t xml:space="preserve"> </w:t>
      </w:r>
      <w:hyperlink r:id="rId28">
        <w:r>
          <w:rPr>
            <w:rStyle w:val="Hyperlink"/>
          </w:rPr>
          <w:t xml:space="preserve">[7]</w:t>
        </w:r>
      </w:hyperlink>
    </w:p>
    <w:p>
      <w:pPr>
        <w:pStyle w:val="BodyText"/>
      </w:pPr>
      <w:r>
        <w:t xml:space="preserve">A</w:t>
      </w:r>
      <w:r>
        <w:t xml:space="preserve"> </w:t>
      </w:r>
      <w:r>
        <w:rPr>
          <w:b/>
          <w:bCs/>
        </w:rPr>
        <w:t xml:space="preserve">text page</w:t>
      </w:r>
      <w:r>
        <w:t xml:space="preserve"> </w:t>
      </w:r>
      <w:r>
        <w:t xml:space="preserve">should be a prose-first surface for reading and explanation rather than object identification. It can carry contextual essays, biographical or historical notes, transcriptions, reading notes, historiographic explanations, movement definitions, or methodology notes. DACS treats contextual scope/content and administrative/biographical history as distinct descriptive work, not as decorative extras. SFMOMA’s wiki records likewise grew a dedicated research section for conferences, secondary sources, related works, and visitor responses, while Letterform Archive’s “Tables” create curated reading pathways and thematic narratives around groups of graphic-design artifacts. In your system, if the point of the page is to explain rather than to identify, it should become a text page.</w:t>
      </w:r>
      <w:r>
        <w:t xml:space="preserve"> </w:t>
      </w:r>
      <w:hyperlink r:id="rId27">
        <w:r>
          <w:rPr>
            <w:rStyle w:val="Hyperlink"/>
          </w:rPr>
          <w:t xml:space="preserve">[8]</w:t>
        </w:r>
      </w:hyperlink>
    </w:p>
    <w:p>
      <w:pPr>
        <w:pStyle w:val="BodyText"/>
      </w:pPr>
      <w:r>
        <w:t xml:space="preserve">A</w:t>
      </w:r>
      <w:r>
        <w:t xml:space="preserve"> </w:t>
      </w:r>
      <w:r>
        <w:rPr>
          <w:b/>
          <w:bCs/>
        </w:rPr>
        <w:t xml:space="preserve">card</w:t>
      </w:r>
      <w:r>
        <w:t xml:space="preserve"> </w:t>
      </w:r>
      <w:r>
        <w:t xml:space="preserve">should be a compact but stable reference surface for a record that is identifiable and retrievable but not rich enough for a sheet. It is appropriate when the archive can establish a title or supplied identifying phrase, a date or range, an identifier, a type or format, and perhaps one retrieval cue such as creator, place, or accession context, but cannot yet provide enough context or evidence for a stand-alone narrative page. Library and accession-card precedents show that such compact records are still highly useful to researchers.</w:t>
      </w:r>
      <w:r>
        <w:t xml:space="preserve"> </w:t>
      </w:r>
      <w:hyperlink r:id="rId25">
        <w:r>
          <w:rPr>
            <w:rStyle w:val="Hyperlink"/>
          </w:rPr>
          <w:t xml:space="preserve">[9]</w:t>
        </w:r>
      </w:hyperlink>
    </w:p>
    <w:p>
      <w:pPr>
        <w:pStyle w:val="BodyText"/>
      </w:pPr>
      <w:r>
        <w:t xml:space="preserve">A</w:t>
      </w:r>
      <w:r>
        <w:t xml:space="preserve"> </w:t>
      </w:r>
      <w:r>
        <w:rPr>
          <w:b/>
          <w:bCs/>
        </w:rPr>
        <w:t xml:space="preserve">slip</w:t>
      </w:r>
      <w:r>
        <w:t xml:space="preserve"> </w:t>
      </w:r>
      <w:r>
        <w:t xml:space="preserve">should be the lightest descriptive surface: a fragment, clue, or provisional note that is worth publishing but not yet stable enough even for a card. Good candidates include an unidentified image, a filename-only born-digital asset, a one-line provenance note, an orphaned press clipping, or a relation that is plausible but not yet fully verified. The physical precedent is the loose leaf in an object file; the evidentiary precedent is the dossier that contains “very little information at all.” A slip should signal incompleteness and remain attachable to a stronger sheet, appendix, or folder unit.</w:t>
      </w:r>
      <w:r>
        <w:t xml:space="preserve"> </w:t>
      </w:r>
      <w:hyperlink r:id="rId24">
        <w:r>
          <w:rPr>
            <w:rStyle w:val="Hyperlink"/>
          </w:rPr>
          <w:t xml:space="preserve">[10]</w:t>
        </w:r>
      </w:hyperlink>
    </w:p>
    <w:p>
      <w:pPr>
        <w:pStyle w:val="BodyText"/>
      </w:pPr>
      <w:r>
        <w:t xml:space="preserve">A</w:t>
      </w:r>
      <w:r>
        <w:t xml:space="preserve"> </w:t>
      </w:r>
      <w:r>
        <w:rPr>
          <w:b/>
          <w:bCs/>
        </w:rPr>
        <w:t xml:space="preserve">bookmark</w:t>
      </w:r>
      <w:r>
        <w:t xml:space="preserve"> </w:t>
      </w:r>
      <w:r>
        <w:t xml:space="preserve">should be a pointer surface rather than a descriptive surface. It should route the reader to a main sheet, a folder overview, an external repository, a related publication, a source held elsewhere, or an adjacent theme/movement/region set. DACS’s elements for related archival materials, originals elsewhere, and publication notes are all, in effect, bookmark precedents: they point outward without redescribing the destination. Linked Art and RiC provide the data logic for this through set membership and explicit relations. If the surface’s main job is to say “go there next,” it is a bookmark.</w:t>
      </w:r>
      <w:r>
        <w:t xml:space="preserve"> </w:t>
      </w:r>
      <w:hyperlink r:id="rId29">
        <w:r>
          <w:rPr>
            <w:rStyle w:val="Hyperlink"/>
          </w:rPr>
          <w:t xml:space="preserve">[11]</w:t>
        </w:r>
      </w:hyperlink>
    </w:p>
    <w:p>
      <w:pPr>
        <w:pStyle w:val="BodyText"/>
      </w:pPr>
      <w:r>
        <w:t xml:space="preserve">A</w:t>
      </w:r>
      <w:r>
        <w:t xml:space="preserve"> </w:t>
      </w:r>
      <w:r>
        <w:rPr>
          <w:b/>
          <w:bCs/>
        </w:rPr>
        <w:t xml:space="preserve">folder overview</w:t>
      </w:r>
      <w:r>
        <w:t xml:space="preserve"> </w:t>
      </w:r>
      <w:r>
        <w:t xml:space="preserve">is not a seventh record surface in the same sense as the six above. It should be treated as a filtered or conceptual set view. Linked Art defines sets as conceptual groupings rather than physical ones, and its API deliberately avoids forcing a set to list all its members. RiC likewise defines record sets as groupings based on shared attributes or relations, and allows records to belong to more than one set. In your archive, folders by region, theme, medium, or movement should operate in that conceptual mode: overview, criteria, highlights, and routes in—not container pages pretending to be records.</w:t>
      </w:r>
      <w:r>
        <w:t xml:space="preserve"> </w:t>
      </w:r>
      <w:hyperlink r:id="rId30">
        <w:r>
          <w:rPr>
            <w:rStyle w:val="Hyperlink"/>
          </w:rPr>
          <w:t xml:space="preserve">[12]</w:t>
        </w:r>
      </w:hyperlink>
    </w:p>
    <w:bookmarkEnd w:id="31"/>
    <w:bookmarkStart w:id="34" w:name="assignment-decision-tree"/>
    <w:p>
      <w:pPr>
        <w:pStyle w:val="Heading2"/>
      </w:pPr>
      <w:r>
        <w:t xml:space="preserve">Assignment decision tree</w:t>
      </w:r>
    </w:p>
    <w:p>
      <w:pPr>
        <w:pStyle w:val="FirstParagraph"/>
      </w:pPr>
      <w:r>
        <w:t xml:space="preserve">Use the following assignment rule set as a publication decision tree.</w:t>
      </w:r>
    </w:p>
    <w:p>
      <w:pPr>
        <w:numPr>
          <w:ilvl w:val="0"/>
          <w:numId w:val="1001"/>
        </w:numPr>
      </w:pPr>
      <w:r>
        <w:rPr>
          <w:b/>
          <w:bCs/>
        </w:rPr>
        <w:t xml:space="preserve">First ask whether you are publishing a record or a grouping.</w:t>
      </w:r>
      <w:r>
        <w:t xml:space="preserve"> </w:t>
      </w:r>
      <w:r>
        <w:t xml:space="preserve">If the thing is a region, theme, medium, movement, or other conceptual cluster, make a folder overview with filters, featured records, and bookmarks. Do not turn the grouping itself into a main sheet unless the grouping has its own substantive documentary identity, such as a true series, file, or curated dossier with enough internal evidence to stand alone.</w:t>
      </w:r>
      <w:r>
        <w:t xml:space="preserve"> </w:t>
      </w:r>
      <w:hyperlink r:id="rId30">
        <w:r>
          <w:rPr>
            <w:rStyle w:val="Hyperlink"/>
          </w:rPr>
          <w:t xml:space="preserve">[13]</w:t>
        </w:r>
      </w:hyperlink>
    </w:p>
    <w:p>
      <w:pPr>
        <w:numPr>
          <w:ilvl w:val="0"/>
          <w:numId w:val="1001"/>
        </w:numPr>
      </w:pPr>
      <w:r>
        <w:rPr>
          <w:b/>
          <w:bCs/>
        </w:rPr>
        <w:t xml:space="preserve">If the surface is primarily explanatory rather than identificatory, assign a text page.</w:t>
      </w:r>
      <w:r>
        <w:t xml:space="preserve"> </w:t>
      </w:r>
      <w:r>
        <w:t xml:space="preserve">Contextual essays, transcriptions, methodological notes, and movement explanations belong on text pages, because their value lies in sustained reading. This follows both archival practice around scope/history notes and design-archive practice around curated “Tables” and research sections.</w:t>
      </w:r>
      <w:r>
        <w:t xml:space="preserve"> </w:t>
      </w:r>
      <w:hyperlink r:id="rId27">
        <w:r>
          <w:rPr>
            <w:rStyle w:val="Hyperlink"/>
          </w:rPr>
          <w:t xml:space="preserve">[14]</w:t>
        </w:r>
      </w:hyperlink>
    </w:p>
    <w:p>
      <w:pPr>
        <w:numPr>
          <w:ilvl w:val="0"/>
          <w:numId w:val="1001"/>
        </w:numPr>
      </w:pPr>
      <w:r>
        <w:rPr>
          <w:b/>
          <w:bCs/>
        </w:rPr>
        <w:t xml:space="preserve">If the record has a clear identity and enough unique information to justify independent retrieval, test it for a main sheet.</w:t>
      </w:r>
      <w:r>
        <w:t xml:space="preserve"> </w:t>
      </w:r>
      <w:r>
        <w:t xml:space="preserve">CCO recommends separate records for parts only when their information varies significantly from the whole or when retrieval needs require separation. Criteria include differences in creator, date, style, medium, location, or subject. If the record passes that test and also has enough context to make sense on its own, it earns a main sheet.</w:t>
      </w:r>
      <w:r>
        <w:t xml:space="preserve"> </w:t>
      </w:r>
      <w:hyperlink r:id="rId32">
        <w:r>
          <w:rPr>
            <w:rStyle w:val="Hyperlink"/>
          </w:rPr>
          <w:t xml:space="preserve">[15]</w:t>
        </w:r>
      </w:hyperlink>
    </w:p>
    <w:p>
      <w:pPr>
        <w:numPr>
          <w:ilvl w:val="0"/>
          <w:numId w:val="1001"/>
        </w:numPr>
      </w:pPr>
      <w:r>
        <w:rPr>
          <w:b/>
          <w:bCs/>
        </w:rPr>
        <w:t xml:space="preserve">If the record is stable enough to identify but too thin to read, assign a card.</w:t>
      </w:r>
      <w:r>
        <w:t xml:space="preserve"> </w:t>
      </w:r>
      <w:r>
        <w:t xml:space="preserve">A card is the right answer for accession notes, simple object stubs, isolated item references, or low-context records that still deserve a public anchor. The card-catalog and accession-card precedents show that useful public description can remain compact.</w:t>
      </w:r>
      <w:r>
        <w:t xml:space="preserve"> </w:t>
      </w:r>
      <w:hyperlink r:id="rId25">
        <w:r>
          <w:rPr>
            <w:rStyle w:val="Hyperlink"/>
          </w:rPr>
          <w:t xml:space="preserve">[5]</w:t>
        </w:r>
      </w:hyperlink>
    </w:p>
    <w:p>
      <w:pPr>
        <w:numPr>
          <w:ilvl w:val="0"/>
          <w:numId w:val="1001"/>
        </w:numPr>
      </w:pPr>
      <w:r>
        <w:rPr>
          <w:b/>
          <w:bCs/>
        </w:rPr>
        <w:t xml:space="preserve">If the record is fragmentary, uncertain, or provisional, assign a slip.</w:t>
      </w:r>
      <w:r>
        <w:t xml:space="preserve"> </w:t>
      </w:r>
      <w:r>
        <w:t xml:space="preserve">Use slips for single clues, incomplete references, unidentified images, weak filenames, or unresolved relations. They preserve discoverability without pretending to offer strong description.</w:t>
      </w:r>
      <w:r>
        <w:t xml:space="preserve"> </w:t>
      </w:r>
      <w:hyperlink r:id="rId33">
        <w:r>
          <w:rPr>
            <w:rStyle w:val="Hyperlink"/>
          </w:rPr>
          <w:t xml:space="preserve">[16]</w:t>
        </w:r>
      </w:hyperlink>
    </w:p>
    <w:p>
      <w:pPr>
        <w:numPr>
          <w:ilvl w:val="0"/>
          <w:numId w:val="1001"/>
        </w:numPr>
      </w:pPr>
      <w:r>
        <w:rPr>
          <w:b/>
          <w:bCs/>
        </w:rPr>
        <w:t xml:space="preserve">If the surface exists mainly to point beyond itself, assign a bookmark.</w:t>
      </w:r>
      <w:r>
        <w:t xml:space="preserve"> </w:t>
      </w:r>
      <w:r>
        <w:t xml:space="preserve">Related repositories, publications, originals elsewhere, adjacent folder views, and simple “see also” relations should be bookmarks, not pseudo-records.</w:t>
      </w:r>
      <w:r>
        <w:t xml:space="preserve"> </w:t>
      </w:r>
      <w:hyperlink r:id="rId29">
        <w:r>
          <w:rPr>
            <w:rStyle w:val="Hyperlink"/>
          </w:rPr>
          <w:t xml:space="preserve">[17]</w:t>
        </w:r>
      </w:hyperlink>
    </w:p>
    <w:p>
      <w:pPr>
        <w:numPr>
          <w:ilvl w:val="0"/>
          <w:numId w:val="1001"/>
        </w:numPr>
      </w:pPr>
      <w:r>
        <w:rPr>
          <w:b/>
          <w:bCs/>
        </w:rPr>
        <w:t xml:space="preserve">Only after the core surface is chosen should appendices be attached.</w:t>
      </w:r>
      <w:r>
        <w:t xml:space="preserve"> </w:t>
      </w:r>
      <w:r>
        <w:t xml:space="preserve">Rights, source, citation, relation, and technical evidence belong in appendices when they materially support interpretation or use. If the same evidence is already inherited from a higher level, do not repeat it automatically at every lower level.</w:t>
      </w:r>
      <w:r>
        <w:t xml:space="preserve"> </w:t>
      </w:r>
      <w:hyperlink r:id="rId21">
        <w:r>
          <w:rPr>
            <w:rStyle w:val="Hyperlink"/>
          </w:rPr>
          <w:t xml:space="preserve">[18]</w:t>
        </w:r>
      </w:hyperlink>
    </w:p>
    <w:bookmarkEnd w:id="34"/>
    <w:bookmarkStart w:id="37" w:name="X691254e140042d27ca3d3efa7e7d6fd9bab26bc"/>
    <w:p>
      <w:pPr>
        <w:pStyle w:val="Heading2"/>
      </w:pPr>
      <w:r>
        <w:t xml:space="preserve">Completeness thresholds and fallback paths</w:t>
      </w:r>
    </w:p>
    <w:p>
      <w:pPr>
        <w:pStyle w:val="FirstParagraph"/>
      </w:pPr>
      <w:r>
        <w:t xml:space="preserve">The minimum threshold for a</w:t>
      </w:r>
      <w:r>
        <w:t xml:space="preserve"> </w:t>
      </w:r>
      <w:r>
        <w:rPr>
          <w:b/>
          <w:bCs/>
        </w:rPr>
        <w:t xml:space="preserve">main sheet</w:t>
      </w:r>
      <w:r>
        <w:t xml:space="preserve"> </w:t>
      </w:r>
      <w:r>
        <w:t xml:space="preserve">should sit above bare catalog minimums. DACS and CCO both allow minimal records, but your interface requirement that “a main sheet should not become a thin metadata table” means the publication threshold must be stricter than the descriptive baseline. A record should only become a main sheet when it passes three tests at once: identity, context, and usable evidence.</w:t>
      </w:r>
      <w:r>
        <w:t xml:space="preserve"> </w:t>
      </w:r>
      <w:hyperlink r:id="rId21">
        <w:r>
          <w:rPr>
            <w:rStyle w:val="Hyperlink"/>
          </w:rPr>
          <w:t xml:space="preserve">[19]</w:t>
        </w:r>
      </w:hyperlink>
    </w:p>
    <w:p>
      <w:pPr>
        <w:pStyle w:val="BodyText"/>
      </w:pPr>
      <w:r>
        <w:t xml:space="preserve">The</w:t>
      </w:r>
      <w:r>
        <w:t xml:space="preserve"> </w:t>
      </w:r>
      <w:r>
        <w:rPr>
          <w:b/>
          <w:bCs/>
        </w:rPr>
        <w:t xml:space="preserve">identity test</w:t>
      </w:r>
      <w:r>
        <w:t xml:space="preserve"> </w:t>
      </w:r>
      <w:r>
        <w:t xml:space="preserve">asks whether the archive can tell the reader what this is in a stable way. At minimum, that usually means an identifier or reference anchor, a title or supplied identifying phrase, a date or date range, and a type/format or extent. For object-oriented records, creator or culture should be included when known; for archival records, creator, repository, and access state matter as well.</w:t>
      </w:r>
      <w:r>
        <w:t xml:space="preserve"> </w:t>
      </w:r>
      <w:hyperlink r:id="rId21">
        <w:r>
          <w:rPr>
            <w:rStyle w:val="Hyperlink"/>
          </w:rPr>
          <w:t xml:space="preserve">[20]</w:t>
        </w:r>
      </w:hyperlink>
    </w:p>
    <w:p>
      <w:pPr>
        <w:pStyle w:val="BodyText"/>
      </w:pPr>
      <w:r>
        <w:t xml:space="preserve">The</w:t>
      </w:r>
      <w:r>
        <w:t xml:space="preserve"> </w:t>
      </w:r>
      <w:r>
        <w:rPr>
          <w:b/>
          <w:bCs/>
        </w:rPr>
        <w:t xml:space="preserve">context test</w:t>
      </w:r>
      <w:r>
        <w:t xml:space="preserve"> </w:t>
      </w:r>
      <w:r>
        <w:t xml:space="preserve">asks whether the record can be distinguished and understood without leaning entirely on a parent. DACS requires scope-and-content information so readers can judge relevance, and the National Archives shows why this matters for born-digital assets whose filenames are not informative. A record that can only be understood through inherited arrangement but has no readable local explanation is usually too weak for a main sheet.</w:t>
      </w:r>
      <w:r>
        <w:t xml:space="preserve"> </w:t>
      </w:r>
      <w:hyperlink r:id="rId27">
        <w:r>
          <w:rPr>
            <w:rStyle w:val="Hyperlink"/>
          </w:rPr>
          <w:t xml:space="preserve">[21]</w:t>
        </w:r>
      </w:hyperlink>
    </w:p>
    <w:p>
      <w:pPr>
        <w:pStyle w:val="BodyText"/>
      </w:pPr>
      <w:r>
        <w:t xml:space="preserve">The</w:t>
      </w:r>
      <w:r>
        <w:t xml:space="preserve"> </w:t>
      </w:r>
      <w:r>
        <w:rPr>
          <w:b/>
          <w:bCs/>
        </w:rPr>
        <w:t xml:space="preserve">evidence-and-use test</w:t>
      </w:r>
      <w:r>
        <w:t xml:space="preserve"> </w:t>
      </w:r>
      <w:r>
        <w:t xml:space="preserve">asks whether the sheet can support actual research use. That does not require exhaustive documentation, but it does require at least one meaningful support path: an image or facsimile, a provenance/source note, a publication or citation note, a relation trail, or a clear rights/access statement. Europeana and RightsStatements.org emphasize that digital objects need rights status communicated clearly, and DACS treats publication notes, originals/copies, related materials, and citation notes as distinct parts of usable description.</w:t>
      </w:r>
      <w:r>
        <w:t xml:space="preserve"> </w:t>
      </w:r>
      <w:hyperlink r:id="rId35">
        <w:r>
          <w:rPr>
            <w:rStyle w:val="Hyperlink"/>
          </w:rPr>
          <w:t xml:space="preserve">[22]</w:t>
        </w:r>
      </w:hyperlink>
    </w:p>
    <w:p>
      <w:pPr>
        <w:pStyle w:val="BodyText"/>
      </w:pPr>
      <w:r>
        <w:t xml:space="preserve">If a record passes the identity test but fails the context test, it should usually fall back to a</w:t>
      </w:r>
      <w:r>
        <w:t xml:space="preserve"> </w:t>
      </w:r>
      <w:r>
        <w:rPr>
          <w:b/>
          <w:bCs/>
        </w:rPr>
        <w:t xml:space="preserve">card</w:t>
      </w:r>
      <w:r>
        <w:t xml:space="preserve">. This is the right home for accession references, single-mention objects, or low-context entries that are stable enough to cite but not strong enough to read. Cards are especially appropriate when the archive wants discoverability now and fuller interpretation later.</w:t>
      </w:r>
      <w:r>
        <w:t xml:space="preserve"> </w:t>
      </w:r>
      <w:hyperlink r:id="rId25">
        <w:r>
          <w:rPr>
            <w:rStyle w:val="Hyperlink"/>
          </w:rPr>
          <w:t xml:space="preserve">[9]</w:t>
        </w:r>
      </w:hyperlink>
    </w:p>
    <w:p>
      <w:pPr>
        <w:pStyle w:val="BodyText"/>
      </w:pPr>
      <w:r>
        <w:t xml:space="preserve">If a record fails even the card threshold because its identity is unstable or its evidence is only fragmentary, it should fall back to a</w:t>
      </w:r>
      <w:r>
        <w:t xml:space="preserve"> </w:t>
      </w:r>
      <w:r>
        <w:rPr>
          <w:b/>
          <w:bCs/>
        </w:rPr>
        <w:t xml:space="preserve">slip</w:t>
      </w:r>
      <w:r>
        <w:t xml:space="preserve">. CCO explicitly recommends using broader terms when certainty is low rather than pretending to know more than the evidence supports, and dossiers/object files show that fragmentary evidence often begins life as provisional notes before it coheres into fuller records.</w:t>
      </w:r>
      <w:r>
        <w:t xml:space="preserve"> </w:t>
      </w:r>
      <w:hyperlink r:id="rId32">
        <w:r>
          <w:rPr>
            <w:rStyle w:val="Hyperlink"/>
          </w:rPr>
          <w:t xml:space="preserve">[23]</w:t>
        </w:r>
      </w:hyperlink>
    </w:p>
    <w:p>
      <w:pPr>
        <w:pStyle w:val="BodyText"/>
      </w:pPr>
      <w:r>
        <w:t xml:space="preserve">If many weak items share a stronger common frame, publish an</w:t>
      </w:r>
      <w:r>
        <w:t xml:space="preserve"> </w:t>
      </w:r>
      <w:r>
        <w:rPr>
          <w:b/>
          <w:bCs/>
        </w:rPr>
        <w:t xml:space="preserve">aggregate main sheet</w:t>
      </w:r>
      <w:r>
        <w:t xml:space="preserve"> </w:t>
      </w:r>
      <w:r>
        <w:t xml:space="preserve">for the file, series, campaign, issue, exhibition, or source cluster, and then attach</w:t>
      </w:r>
      <w:r>
        <w:t xml:space="preserve"> </w:t>
      </w:r>
      <w:r>
        <w:rPr>
          <w:b/>
          <w:bCs/>
        </w:rPr>
        <w:t xml:space="preserve">cards or slips</w:t>
      </w:r>
      <w:r>
        <w:t xml:space="preserve"> </w:t>
      </w:r>
      <w:r>
        <w:t xml:space="preserve">for the weak children. CCO explicitly permits group- or collection-level cataloging to gain initial control over a large body of works, with more detailed item records added later. That is the right model for poster runs, clipping files, exhibition-documentation bundles, draft variants, or unprocessed donations.</w:t>
      </w:r>
      <w:r>
        <w:t xml:space="preserve"> </w:t>
      </w:r>
      <w:hyperlink r:id="rId32">
        <w:r>
          <w:rPr>
            <w:rStyle w:val="Hyperlink"/>
          </w:rPr>
          <w:t xml:space="preserve">[24]</w:t>
        </w:r>
      </w:hyperlink>
    </w:p>
    <w:p>
      <w:pPr>
        <w:pStyle w:val="BodyText"/>
      </w:pPr>
      <w:r>
        <w:t xml:space="preserve">If the archive only knows that a relevant source or original exists elsewhere, use a</w:t>
      </w:r>
      <w:r>
        <w:t xml:space="preserve"> </w:t>
      </w:r>
      <w:r>
        <w:rPr>
          <w:b/>
          <w:bCs/>
        </w:rPr>
        <w:t xml:space="preserve">bookmark</w:t>
      </w:r>
      <w:r>
        <w:t xml:space="preserve"> </w:t>
      </w:r>
      <w:r>
        <w:t xml:space="preserve">or an</w:t>
      </w:r>
      <w:r>
        <w:t xml:space="preserve"> </w:t>
      </w:r>
      <w:r>
        <w:rPr>
          <w:b/>
          <w:bCs/>
        </w:rPr>
        <w:t xml:space="preserve">appendix note</w:t>
      </w:r>
      <w:r>
        <w:t xml:space="preserve">, not a placeholder sheet. DACS’s “existence and location of originals,” “related archival materials,” and “publication note” elements are all designed to preserve research usefulness without manufacturing a false stand-alone record.</w:t>
      </w:r>
      <w:r>
        <w:t xml:space="preserve"> </w:t>
      </w:r>
      <w:hyperlink r:id="rId36">
        <w:r>
          <w:rPr>
            <w:rStyle w:val="Hyperlink"/>
          </w:rPr>
          <w:t xml:space="preserve">[25]</w:t>
        </w:r>
      </w:hyperlink>
    </w:p>
    <w:bookmarkEnd w:id="37"/>
    <w:bookmarkStart w:id="41" w:name="grouping-into-readable-research-units"/>
    <w:p>
      <w:pPr>
        <w:pStyle w:val="Heading2"/>
      </w:pPr>
      <w:r>
        <w:t xml:space="preserve">Grouping into readable research units</w:t>
      </w:r>
    </w:p>
    <w:p>
      <w:pPr>
        <w:pStyle w:val="FirstParagraph"/>
      </w:pPr>
      <w:r>
        <w:t xml:space="preserve">The archive should separate</w:t>
      </w:r>
      <w:r>
        <w:t xml:space="preserve"> </w:t>
      </w:r>
      <w:r>
        <w:rPr>
          <w:b/>
          <w:bCs/>
        </w:rPr>
        <w:t xml:space="preserve">archival arrangement</w:t>
      </w:r>
      <w:r>
        <w:t xml:space="preserve"> </w:t>
      </w:r>
      <w:r>
        <w:t xml:space="preserve">from</w:t>
      </w:r>
      <w:r>
        <w:t xml:space="preserve"> </w:t>
      </w:r>
      <w:r>
        <w:rPr>
          <w:b/>
          <w:bCs/>
        </w:rPr>
        <w:t xml:space="preserve">publication grouping</w:t>
      </w:r>
      <w:r>
        <w:t xml:space="preserve">. Respect des fonds and provenance still matter: records created together should remain intelligible as archival groupings, and intrinsic whole-part relations should be recorded clearly. At the same time, RiC and Linked Art both support additional conceptual sets based on shared attributes or relations, and both models allow multiple memberships. This means you can preserve record integrity while also creating cross-cutting folder views by region, theme, medium, or movement.</w:t>
      </w:r>
      <w:r>
        <w:t xml:space="preserve"> </w:t>
      </w:r>
      <w:hyperlink r:id="rId38">
        <w:r>
          <w:rPr>
            <w:rStyle w:val="Hyperlink"/>
          </w:rPr>
          <w:t xml:space="preserve">[26]</w:t>
        </w:r>
      </w:hyperlink>
    </w:p>
    <w:p>
      <w:pPr>
        <w:pStyle w:val="BodyText"/>
      </w:pPr>
      <w:r>
        <w:t xml:space="preserve">For</w:t>
      </w:r>
      <w:r>
        <w:t xml:space="preserve"> </w:t>
      </w:r>
      <w:r>
        <w:rPr>
          <w:b/>
          <w:bCs/>
        </w:rPr>
        <w:t xml:space="preserve">parent/child records</w:t>
      </w:r>
      <w:r>
        <w:t xml:space="preserve">, use intrinsic grouping rules. CCO says whole-part relationships should always be recorded, and separate child records are justified when the child has enough unique information that squeezing it into a single record becomes confusing or when users are likely to search for it independently. Even if the archive only physically holds a part, CCO recommends preserving a record for the whole when that context matters. In your interface, that means strong parent sheets can legitimately hold children as appendices, cards, or slips until a child becomes distinct enough to merit its own sheet.</w:t>
      </w:r>
      <w:r>
        <w:t xml:space="preserve"> </w:t>
      </w:r>
      <w:hyperlink r:id="rId32">
        <w:r>
          <w:rPr>
            <w:rStyle w:val="Hyperlink"/>
          </w:rPr>
          <w:t xml:space="preserve">[15]</w:t>
        </w:r>
      </w:hyperlink>
    </w:p>
    <w:p>
      <w:pPr>
        <w:pStyle w:val="BodyText"/>
      </w:pPr>
      <w:r>
        <w:t xml:space="preserve">For</w:t>
      </w:r>
      <w:r>
        <w:t xml:space="preserve"> </w:t>
      </w:r>
      <w:r>
        <w:rPr>
          <w:b/>
          <w:bCs/>
        </w:rPr>
        <w:t xml:space="preserve">source clusters</w:t>
      </w:r>
      <w:r>
        <w:t xml:space="preserve">, use the strongest available anchor rather than atomizing weak evidence. A source cluster may be a file, a series, a campaign, a periodical issue, a design commission, or a dossier around one work/designer/topic. National Gallery dossiers show that evidence clusters often mix correspondence, press cuttings, photos, and draft entries, but vary widely in density; SFMOMA’s object files and dossiers show the same accumulation logic internally. The right publication move is usually one anchor sheet for the cluster, with appendices for evidence classes and cards/slips for weak members.</w:t>
      </w:r>
      <w:r>
        <w:t xml:space="preserve"> </w:t>
      </w:r>
      <w:hyperlink r:id="rId33">
        <w:r>
          <w:rPr>
            <w:rStyle w:val="Hyperlink"/>
          </w:rPr>
          <w:t xml:space="preserve">[27]</w:t>
        </w:r>
      </w:hyperlink>
    </w:p>
    <w:p>
      <w:pPr>
        <w:pStyle w:val="BodyText"/>
      </w:pPr>
      <w:r>
        <w:t xml:space="preserve">For</w:t>
      </w:r>
      <w:r>
        <w:t xml:space="preserve"> </w:t>
      </w:r>
      <w:r>
        <w:rPr>
          <w:b/>
          <w:bCs/>
        </w:rPr>
        <w:t xml:space="preserve">folder aggregation by region, theme, medium, and movement</w:t>
      </w:r>
      <w:r>
        <w:t xml:space="preserve">, use four distinct logics. Region folders should be place-based sets grounded in documented creation, use, or jurisdictional relation; RiC’s place model and spatial relations support this, while Letterform and Cooper Hewitt both expose place/geography as browse dimensions. Medium folders should be driven by controlled work type, format, or medium, again matching Letterform’s format filters and Cooper Hewitt’s medium/type facets. Theme folders should be subject-driven, supported by DACS scope/content, RiC subject relations, NLA subject filters, and topic-oriented graphic-design interfaces. Movement folders should be treated as explicitly interpretive sets: they are best built as conceptual groupings with a short text page that states the criteria, chronology, and bibliography behind the grouping, because “movement” is often an argument rather than a neutral fact.</w:t>
      </w:r>
      <w:r>
        <w:t xml:space="preserve"> </w:t>
      </w:r>
      <w:hyperlink r:id="rId39">
        <w:r>
          <w:rPr>
            <w:rStyle w:val="Hyperlink"/>
          </w:rPr>
          <w:t xml:space="preserve">[28]</w:t>
        </w:r>
      </w:hyperlink>
    </w:p>
    <w:p>
      <w:pPr>
        <w:pStyle w:val="BodyText"/>
      </w:pPr>
      <w:r>
        <w:t xml:space="preserve">A</w:t>
      </w:r>
      <w:r>
        <w:t xml:space="preserve"> </w:t>
      </w:r>
      <w:r>
        <w:rPr>
          <w:b/>
          <w:bCs/>
        </w:rPr>
        <w:t xml:space="preserve">readable research unit</w:t>
      </w:r>
      <w:r>
        <w:t xml:space="preserve"> </w:t>
      </w:r>
      <w:r>
        <w:t xml:space="preserve">should therefore be assembled like this: a folder overview introduces the set and its logic; one or more main sheets act as the primary anchors; appendices carry evidence classes; text pages carry explanation; cards and slips hold sparse peripheral material; bookmarks route to adjacent folders, external repositories, or publications. Letterform’s staff-curated and guest-curated Tables are a strong precedent for this kind of bounded but open-ended unit, while finding-aid systems such as NLA and AAA show how overview, arrangement, restrictions, and component listings work together without requiring every node to become a full narrative page.</w:t>
      </w:r>
      <w:r>
        <w:t xml:space="preserve"> </w:t>
      </w:r>
      <w:hyperlink r:id="rId40">
        <w:r>
          <w:rPr>
            <w:rStyle w:val="Hyperlink"/>
          </w:rPr>
          <w:t xml:space="preserve">[29]</w:t>
        </w:r>
      </w:hyperlink>
    </w:p>
    <w:p>
      <w:pPr>
        <w:pStyle w:val="BodyText"/>
      </w:pPr>
      <w:r>
        <w:t xml:space="preserve">The</w:t>
      </w:r>
      <w:r>
        <w:t xml:space="preserve"> </w:t>
      </w:r>
      <w:r>
        <w:rPr>
          <w:b/>
          <w:bCs/>
        </w:rPr>
        <w:t xml:space="preserve">reader journey</w:t>
      </w:r>
      <w:r>
        <w:t xml:space="preserve"> </w:t>
      </w:r>
      <w:r>
        <w:t xml:space="preserve">should move from overview to anchor to evidence. Start at the folder overview with a short scope statement, date range, key places/actors, counts, and a few featured records. From there, move to the strongest main sheet. Inside the sheet, surface appendices and text pages before sending the user into weaker child surfaces. Preserve a visible provenance trail back upward: TNA explicitly imagined parent-folder names as clickable arrangement paths, and finding-aid practice relies on overview-to-series-to-file movement. This makes the archive navigable as research, not just as database retrieval.</w:t>
      </w:r>
      <w:r>
        <w:t xml:space="preserve"> </w:t>
      </w:r>
      <w:hyperlink r:id="rId22">
        <w:r>
          <w:rPr>
            <w:rStyle w:val="Hyperlink"/>
          </w:rPr>
          <w:t xml:space="preserve">[30]</w:t>
        </w:r>
      </w:hyperlink>
    </w:p>
    <w:bookmarkEnd w:id="41"/>
    <w:bookmarkStart w:id="44" w:name="appendix-selection-and-repetition-limits"/>
    <w:p>
      <w:pPr>
        <w:pStyle w:val="Heading2"/>
      </w:pPr>
      <w:r>
        <w:t xml:space="preserve">Appendix selection and repetition limits</w:t>
      </w:r>
    </w:p>
    <w:p>
      <w:pPr>
        <w:pStyle w:val="FirstParagraph"/>
      </w:pPr>
      <w:r>
        <w:t xml:space="preserve">A</w:t>
      </w:r>
      <w:r>
        <w:t xml:space="preserve"> </w:t>
      </w:r>
      <w:r>
        <w:rPr>
          <w:b/>
          <w:bCs/>
        </w:rPr>
        <w:t xml:space="preserve">rights appendix</w:t>
      </w:r>
      <w:r>
        <w:t xml:space="preserve"> </w:t>
      </w:r>
      <w:r>
        <w:t xml:space="preserve">should appear when rights or reuse information needs more than a single short statement. DACS recommends a succinct reproduction/use statement when restrictions are complex or likely to change, and also says not to repeat reproduction or publication conditions separately if they are already fully expressed in the copyright statement. RightsStatements.org likewise says standardized rights statements are high-level summaries, not replacements for detailed institutional rights information, and recommends displaying the statement close to the object. The implication for your interface is simple: show one concise rights status near the sheet, then open a rights appendix only when there is real complexity, item-level variation, or evidence to document.</w:t>
      </w:r>
      <w:r>
        <w:t xml:space="preserve"> </w:t>
      </w:r>
      <w:hyperlink r:id="rId28">
        <w:r>
          <w:rPr>
            <w:rStyle w:val="Hyperlink"/>
          </w:rPr>
          <w:t xml:space="preserve">[31]</w:t>
        </w:r>
      </w:hyperlink>
    </w:p>
    <w:p>
      <w:pPr>
        <w:pStyle w:val="BodyText"/>
      </w:pPr>
      <w:r>
        <w:t xml:space="preserve">A</w:t>
      </w:r>
      <w:r>
        <w:t xml:space="preserve"> </w:t>
      </w:r>
      <w:r>
        <w:rPr>
          <w:b/>
          <w:bCs/>
        </w:rPr>
        <w:t xml:space="preserve">source appendix</w:t>
      </w:r>
      <w:r>
        <w:t xml:space="preserve"> </w:t>
      </w:r>
      <w:r>
        <w:t xml:space="preserve">should be used for evidence about how the description was made: sources consulted, original/copy status, migration notes, uncertainty notes, and repository processing information. DACS’s description-control element explicitly calls for sources used and conventions followed; its related-materials elements cover originals and copies; its notes element covers technical migration and preferred citation. This means the appendix can serve as a documentary back room for the sheet without forcing all that apparatus into the main reading surface.</w:t>
      </w:r>
      <w:r>
        <w:t xml:space="preserve"> </w:t>
      </w:r>
      <w:hyperlink r:id="rId42">
        <w:r>
          <w:rPr>
            <w:rStyle w:val="Hyperlink"/>
          </w:rPr>
          <w:t xml:space="preserve">[32]</w:t>
        </w:r>
      </w:hyperlink>
    </w:p>
    <w:p>
      <w:pPr>
        <w:pStyle w:val="BodyText"/>
      </w:pPr>
      <w:r>
        <w:t xml:space="preserve">A</w:t>
      </w:r>
      <w:r>
        <w:t xml:space="preserve"> </w:t>
      </w:r>
      <w:r>
        <w:rPr>
          <w:b/>
          <w:bCs/>
        </w:rPr>
        <w:t xml:space="preserve">citation appendix</w:t>
      </w:r>
      <w:r>
        <w:t xml:space="preserve"> </w:t>
      </w:r>
      <w:r>
        <w:t xml:space="preserve">should gather preferred citation, bibliography, and publication notes when those are more than one line. DACS distinguishes preferred citation from publication notes and asks repositories to provide enough publication information to indicate the relationship between a publication and the unit described. AAA’s guidance likewise includes preferred citation as a standard finding-aid element. This is a strong model for keeping references legible but not repetitive.</w:t>
      </w:r>
      <w:r>
        <w:t xml:space="preserve"> </w:t>
      </w:r>
      <w:hyperlink r:id="rId43">
        <w:r>
          <w:rPr>
            <w:rStyle w:val="Hyperlink"/>
          </w:rPr>
          <w:t xml:space="preserve">[33]</w:t>
        </w:r>
      </w:hyperlink>
    </w:p>
    <w:p>
      <w:pPr>
        <w:pStyle w:val="BodyText"/>
      </w:pPr>
      <w:r>
        <w:t xml:space="preserve">A</w:t>
      </w:r>
      <w:r>
        <w:t xml:space="preserve"> </w:t>
      </w:r>
      <w:r>
        <w:rPr>
          <w:b/>
          <w:bCs/>
        </w:rPr>
        <w:t xml:space="preserve">relations appendix</w:t>
      </w:r>
      <w:r>
        <w:t xml:space="preserve"> </w:t>
      </w:r>
      <w:r>
        <w:t xml:space="preserve">should be reserved for relations that need explanation, not for every simple link. If the relation is just “see also,” use a bookmark. If it needs to explain why two records are related—same campaign, same designer, preparatory relation, transferred original, contemporary copy, later republication, or subject relation—then open a relation appendix and cite the evidence. RiC’s record-set, subject, and place relations are useful here because they separate relation types from physical containment.</w:t>
      </w:r>
      <w:r>
        <w:t xml:space="preserve"> </w:t>
      </w:r>
      <w:hyperlink r:id="rId39">
        <w:r>
          <w:rPr>
            <w:rStyle w:val="Hyperlink"/>
          </w:rPr>
          <w:t xml:space="preserve">[34]</w:t>
        </w:r>
      </w:hyperlink>
    </w:p>
    <w:p>
      <w:pPr>
        <w:pStyle w:val="BodyText"/>
      </w:pPr>
      <w:r>
        <w:t xml:space="preserve">Repetition should be tightly controlled. DACS says lower levels need not repeat information that is already the same at higher levels; AAA explicitly warns that overall and series scope notes should not be redundant; and SFMOMA reports that unnecessary repetition across files and systems causes confusion. A practical public rule is:</w:t>
      </w:r>
      <w:r>
        <w:t xml:space="preserve"> </w:t>
      </w:r>
      <w:r>
        <w:rPr>
          <w:b/>
          <w:bCs/>
        </w:rPr>
        <w:t xml:space="preserve">one appendix per evidence class per research unit</w:t>
      </w:r>
      <w:r>
        <w:t xml:space="preserve">, inherited downward unless a child materially differs. Only create child-specific appendices when a child has its own rights status, source history, publication trail, or relation evidence that genuinely departs from the parent.</w:t>
      </w:r>
      <w:r>
        <w:t xml:space="preserve"> </w:t>
      </w:r>
      <w:hyperlink r:id="rId21">
        <w:r>
          <w:rPr>
            <w:rStyle w:val="Hyperlink"/>
          </w:rPr>
          <w:t xml:space="preserve">[35]</w:t>
        </w:r>
      </w:hyperlink>
    </w:p>
    <w:p>
      <w:pPr>
        <w:pStyle w:val="BodyText"/>
      </w:pPr>
      <w:r>
        <w:t xml:space="preserve">Placeholder pages should be avoided altogether. If an appendix would only say “nothing known,” suppress the appendix and keep a one-line status note on the sheet, card, or slip instead. If many siblings share the same empty state, do not generate repeated empty appendices under each one. This follows the inheritance logic of archival description and avoids the duplication problem identified by SFMOMA.</w:t>
      </w:r>
      <w:r>
        <w:t xml:space="preserve"> </w:t>
      </w:r>
      <w:hyperlink r:id="rId21">
        <w:r>
          <w:rPr>
            <w:rStyle w:val="Hyperlink"/>
          </w:rPr>
          <w:t xml:space="preserve">[36]</w:t>
        </w:r>
      </w:hyperlink>
    </w:p>
    <w:bookmarkEnd w:id="44"/>
    <w:bookmarkStart w:id="46" w:name="worked-transformations"/>
    <w:p>
      <w:pPr>
        <w:pStyle w:val="Heading2"/>
      </w:pPr>
      <w:r>
        <w:t xml:space="preserve">Worked transformations</w:t>
      </w:r>
    </w:p>
    <w:p>
      <w:pPr>
        <w:pStyle w:val="FirstParagraph"/>
      </w:pPr>
      <w:r>
        <w:rPr>
          <w:b/>
          <w:bCs/>
        </w:rPr>
        <w:t xml:space="preserve">Filename-only digital asset.</w:t>
      </w:r>
      <w:r>
        <w:t xml:space="preserve"> </w:t>
      </w:r>
      <w:r>
        <w:t xml:space="preserve">Suppose the archive receives a scan called</w:t>
      </w:r>
      <w:r>
        <w:t xml:space="preserve"> </w:t>
      </w:r>
      <w:r>
        <w:rPr>
          <w:rStyle w:val="VerbatimChar"/>
        </w:rPr>
        <w:t xml:space="preserve">IMG_0142.tif</w:t>
      </w:r>
      <w:r>
        <w:t xml:space="preserve"> </w:t>
      </w:r>
      <w:r>
        <w:t xml:space="preserve">in a donor transfer whose folder path is “Italy &gt; Milan &gt; student poster studies &gt; 1984.” The National Archives shows exactly why this should not become a main sheet: born-digital titles may simply preserve meaningless filenames, while arrangement context carried from parent folders is what makes the record usable. Publish the aggregate folder or project as the main sheet, and expose the file as a card if it has a stable identifier and viewable image, or as a slip if it remains unidentified.</w:t>
      </w:r>
      <w:r>
        <w:t xml:space="preserve"> </w:t>
      </w:r>
      <w:hyperlink r:id="rId22">
        <w:r>
          <w:rPr>
            <w:rStyle w:val="Hyperlink"/>
          </w:rPr>
          <w:t xml:space="preserve">[2]</w:t>
        </w:r>
      </w:hyperlink>
    </w:p>
    <w:p>
      <w:pPr>
        <w:pStyle w:val="BodyText"/>
      </w:pPr>
      <w:r>
        <w:rPr>
          <w:b/>
          <w:bCs/>
        </w:rPr>
        <w:t xml:space="preserve">Accession-only mention.</w:t>
      </w:r>
      <w:r>
        <w:t xml:space="preserve"> </w:t>
      </w:r>
      <w:r>
        <w:t xml:space="preserve">Suppose the archive has only a short accession note for a designer’s clipping file: donor, date range, and internal control number, but no contextual description yet. That is a classic card case, not a sheet case. The Library of Congress card catalog and the South Australian Museum accession registration card both show that concise records can be highly serviceable without pretending to be narrative publications.</w:t>
      </w:r>
      <w:r>
        <w:t xml:space="preserve"> </w:t>
      </w:r>
      <w:hyperlink r:id="rId25">
        <w:r>
          <w:rPr>
            <w:rStyle w:val="Hyperlink"/>
          </w:rPr>
          <w:t xml:space="preserve">[5]</w:t>
        </w:r>
      </w:hyperlink>
    </w:p>
    <w:p>
      <w:pPr>
        <w:pStyle w:val="BodyText"/>
      </w:pPr>
      <w:r>
        <w:rPr>
          <w:b/>
          <w:bCs/>
        </w:rPr>
        <w:t xml:space="preserve">Thin dossier fragment.</w:t>
      </w:r>
      <w:r>
        <w:t xml:space="preserve"> </w:t>
      </w:r>
      <w:r>
        <w:t xml:space="preserve">Suppose a dossier for a poster contains one press clipping and a handwritten note, but no stable date, no confirmed designer attribution, and no digitized object image. National Gallery’s dossier series explicitly acknowledges that some dossiers contain very little information. That record should become a slip attached to the stronger object, designer, or campaign sheet, or a bookmark if the real evidence sits elsewhere. Only when the dossier accumulates enough distinguishing evidence—letters, photo, draft entry, provenance trail—should it be promoted into appendices or an aggregate main sheet.</w:t>
      </w:r>
      <w:r>
        <w:t xml:space="preserve"> </w:t>
      </w:r>
      <w:hyperlink r:id="rId33">
        <w:r>
          <w:rPr>
            <w:rStyle w:val="Hyperlink"/>
          </w:rPr>
          <w:t xml:space="preserve">[37]</w:t>
        </w:r>
      </w:hyperlink>
    </w:p>
    <w:p>
      <w:pPr>
        <w:pStyle w:val="BodyText"/>
      </w:pPr>
      <w:r>
        <w:rPr>
          <w:b/>
          <w:bCs/>
        </w:rPr>
        <w:t xml:space="preserve">Large but repetitive series.</w:t>
      </w:r>
      <w:r>
        <w:t xml:space="preserve"> </w:t>
      </w:r>
      <w:r>
        <w:t xml:space="preserve">Suppose the archive has sixty flyers from the same student design collective, all with known date ranges and format, but only a handful with enough context to explain individually. CCO specifically recommends group- or collection-level cataloging to gain initial control over a large body of works, with detailed item records added later. The right publication unit is one series-level main sheet, strong child cards for the better-described flyers, and slips for uncertain or duplicate variants.</w:t>
      </w:r>
      <w:r>
        <w:t xml:space="preserve"> </w:t>
      </w:r>
      <w:hyperlink r:id="rId32">
        <w:r>
          <w:rPr>
            <w:rStyle w:val="Hyperlink"/>
          </w:rPr>
          <w:t xml:space="preserve">[24]</w:t>
        </w:r>
      </w:hyperlink>
    </w:p>
    <w:p>
      <w:pPr>
        <w:pStyle w:val="BodyText"/>
      </w:pPr>
      <w:r>
        <w:rPr>
          <w:b/>
          <w:bCs/>
        </w:rPr>
        <w:t xml:space="preserve">External original or related publication.</w:t>
      </w:r>
      <w:r>
        <w:t xml:space="preserve"> </w:t>
      </w:r>
      <w:r>
        <w:t xml:space="preserve">Suppose the archive’s only evidence for an item is that the original sketchbook is at another institution, while an article analyzing it is published elsewhere. Do not mint two empty sheets. DACS already provides the precise publication logic for these cases: one bookmark or appendix note to the original’s location, and one citation/publication appendix for the article. The surface points outward; it does not fake completeness.</w:t>
      </w:r>
      <w:r>
        <w:t xml:space="preserve"> </w:t>
      </w:r>
      <w:hyperlink r:id="rId36">
        <w:r>
          <w:rPr>
            <w:rStyle w:val="Hyperlink"/>
          </w:rPr>
          <w:t xml:space="preserve">[38]</w:t>
        </w:r>
      </w:hyperlink>
    </w:p>
    <w:p>
      <w:pPr>
        <w:pStyle w:val="BodyText"/>
      </w:pPr>
      <w:r>
        <w:t xml:space="preserve">The system should remain open-ended. Cards can become sheets, slips can become cards, bookmarks can later be replaced by local description, and thematic folders can be revised as interpretation changes. SFMOMA’s documentation practice is worth taking seriously here: records are never finally “finished,” and leaving space for uncertainty is better than freezing a false certainty. That stance also matches DACS’s emphasis on judgment and RiC/Linked Art’s support for overlapping, revisable sets and relations.</w:t>
      </w:r>
      <w:r>
        <w:t xml:space="preserve"> </w:t>
      </w:r>
      <w:hyperlink r:id="rId45">
        <w:r>
          <w:rPr>
            <w:rStyle w:val="Hyperlink"/>
          </w:rPr>
          <w:t xml:space="preserve">[39]</w:t>
        </w:r>
      </w:hyperlink>
    </w:p>
    <w:bookmarkEnd w:id="46"/>
    <w:bookmarkEnd w:id="47"/>
    <w:bookmarkEnd w:id="48"/>
    <w:p>
      <w:r>
        <w:pict>
          <v:rect style="width:0;height:1.5pt" o:hralign="center" o:hrstd="t" o:hr="t"/>
        </w:pict>
      </w:r>
    </w:p>
    <w:bookmarkStart w:id="49" w:name="citations"/>
    <w:p>
      <w:pPr>
        <w:pStyle w:val="FirstParagraph"/>
      </w:pPr>
      <w:hyperlink r:id="rId21">
        <w:r>
          <w:rPr>
            <w:rStyle w:val="Hyperlink"/>
          </w:rPr>
          <w:t xml:space="preserve">[1]</w:t>
        </w:r>
      </w:hyperlink>
      <w:r>
        <w:t xml:space="preserve"> </w:t>
      </w:r>
      <w:hyperlink r:id="rId21">
        <w:r>
          <w:rPr>
            <w:rStyle w:val="Hyperlink"/>
          </w:rPr>
          <w:t xml:space="preserve">[18]</w:t>
        </w:r>
      </w:hyperlink>
      <w:r>
        <w:t xml:space="preserve"> </w:t>
      </w:r>
      <w:hyperlink r:id="rId21">
        <w:r>
          <w:rPr>
            <w:rStyle w:val="Hyperlink"/>
          </w:rPr>
          <w:t xml:space="preserve">[19]</w:t>
        </w:r>
      </w:hyperlink>
      <w:r>
        <w:t xml:space="preserve"> </w:t>
      </w:r>
      <w:hyperlink r:id="rId21">
        <w:r>
          <w:rPr>
            <w:rStyle w:val="Hyperlink"/>
          </w:rPr>
          <w:t xml:space="preserve">[20]</w:t>
        </w:r>
      </w:hyperlink>
      <w:r>
        <w:t xml:space="preserve"> </w:t>
      </w:r>
      <w:hyperlink r:id="rId21">
        <w:r>
          <w:rPr>
            <w:rStyle w:val="Hyperlink"/>
          </w:rPr>
          <w:t xml:space="preserve">[35]</w:t>
        </w:r>
      </w:hyperlink>
      <w:r>
        <w:t xml:space="preserve"> </w:t>
      </w:r>
      <w:hyperlink r:id="rId21">
        <w:r>
          <w:rPr>
            <w:rStyle w:val="Hyperlink"/>
          </w:rPr>
          <w:t xml:space="preserve">[36]</w:t>
        </w:r>
      </w:hyperlink>
      <w:r>
        <w:t xml:space="preserve"> </w:t>
      </w:r>
      <w:r>
        <w:t xml:space="preserve">https://saa-ts-dacs.github.io/dacs/06_part_I/02_chapter_01.html</w:t>
      </w:r>
    </w:p>
    <w:p>
      <w:pPr>
        <w:pStyle w:val="BodyText"/>
      </w:pPr>
      <w:hyperlink r:id="rId21">
        <w:r>
          <w:rPr>
            <w:rStyle w:val="Hyperlink"/>
          </w:rPr>
          <w:t xml:space="preserve">https://saa-ts-dacs.github.io/dacs/06_part_I/02_chapter_01.html</w:t>
        </w:r>
      </w:hyperlink>
    </w:p>
    <w:p>
      <w:pPr>
        <w:pStyle w:val="BodyText"/>
      </w:pPr>
      <w:hyperlink r:id="rId22">
        <w:r>
          <w:rPr>
            <w:rStyle w:val="Hyperlink"/>
          </w:rPr>
          <w:t xml:space="preserve">[2]</w:t>
        </w:r>
      </w:hyperlink>
      <w:r>
        <w:t xml:space="preserve"> </w:t>
      </w:r>
      <w:hyperlink r:id="rId22">
        <w:r>
          <w:rPr>
            <w:rStyle w:val="Hyperlink"/>
          </w:rPr>
          <w:t xml:space="preserve">[30]</w:t>
        </w:r>
      </w:hyperlink>
      <w:r>
        <w:t xml:space="preserve"> </w:t>
      </w:r>
      <w:r>
        <w:t xml:space="preserve">https://cdn.nationalarchives.gov.uk/documents/digital-cataloguing-practices-march-2017.pdf</w:t>
      </w:r>
    </w:p>
    <w:p>
      <w:pPr>
        <w:pStyle w:val="BodyText"/>
      </w:pPr>
      <w:hyperlink r:id="rId22">
        <w:r>
          <w:rPr>
            <w:rStyle w:val="Hyperlink"/>
          </w:rPr>
          <w:t xml:space="preserve">https://cdn.nationalarchives.gov.uk/documents/digital-cataloguing-practices-march-2017.pdf</w:t>
        </w:r>
      </w:hyperlink>
    </w:p>
    <w:p>
      <w:pPr>
        <w:pStyle w:val="BodyText"/>
      </w:pPr>
      <w:hyperlink r:id="rId23">
        <w:r>
          <w:rPr>
            <w:rStyle w:val="Hyperlink"/>
          </w:rPr>
          <w:t xml:space="preserve">[3]</w:t>
        </w:r>
      </w:hyperlink>
      <w:r>
        <w:t xml:space="preserve"> </w:t>
      </w:r>
      <w:r>
        <w:t xml:space="preserve">https://archivesspace.org/wp-content/uploads/2016/05/PublicInterfaceSpecification-ReviewedVersion-20111121-acceptedchanges.pdf</w:t>
      </w:r>
    </w:p>
    <w:p>
      <w:pPr>
        <w:pStyle w:val="BodyText"/>
      </w:pPr>
      <w:hyperlink r:id="rId23">
        <w:r>
          <w:rPr>
            <w:rStyle w:val="Hyperlink"/>
          </w:rPr>
          <w:t xml:space="preserve">https://archivesspace.org/wp-content/uploads/2016/05/PublicInterfaceSpecification-ReviewedVersion-20111121-acceptedchanges.pdf</w:t>
        </w:r>
      </w:hyperlink>
    </w:p>
    <w:p>
      <w:pPr>
        <w:pStyle w:val="BodyText"/>
      </w:pPr>
      <w:hyperlink r:id="rId24">
        <w:r>
          <w:rPr>
            <w:rStyle w:val="Hyperlink"/>
          </w:rPr>
          <w:t xml:space="preserve">[4]</w:t>
        </w:r>
      </w:hyperlink>
      <w:r>
        <w:t xml:space="preserve"> </w:t>
      </w:r>
      <w:hyperlink r:id="rId24">
        <w:r>
          <w:rPr>
            <w:rStyle w:val="Hyperlink"/>
          </w:rPr>
          <w:t xml:space="preserve">[10]</w:t>
        </w:r>
      </w:hyperlink>
      <w:r>
        <w:t xml:space="preserve"> </w:t>
      </w:r>
      <w:r>
        <w:t xml:space="preserve">https://www.centralnswmuseums.com.au/wp-content/uploads/2015/08/Object-Files.pdf</w:t>
      </w:r>
    </w:p>
    <w:p>
      <w:pPr>
        <w:pStyle w:val="BodyText"/>
      </w:pPr>
      <w:hyperlink r:id="rId24">
        <w:r>
          <w:rPr>
            <w:rStyle w:val="Hyperlink"/>
          </w:rPr>
          <w:t xml:space="preserve">https://www.centralnswmuseums.com.au/wp-content/uploads/2015/08/Object-Files.pdf</w:t>
        </w:r>
      </w:hyperlink>
    </w:p>
    <w:p>
      <w:pPr>
        <w:pStyle w:val="BodyText"/>
      </w:pPr>
      <w:hyperlink r:id="rId25">
        <w:r>
          <w:rPr>
            <w:rStyle w:val="Hyperlink"/>
          </w:rPr>
          <w:t xml:space="preserve">[5]</w:t>
        </w:r>
      </w:hyperlink>
      <w:r>
        <w:t xml:space="preserve"> </w:t>
      </w:r>
      <w:hyperlink r:id="rId25">
        <w:r>
          <w:rPr>
            <w:rStyle w:val="Hyperlink"/>
          </w:rPr>
          <w:t xml:space="preserve">[9]</w:t>
        </w:r>
      </w:hyperlink>
      <w:r>
        <w:t xml:space="preserve"> </w:t>
      </w:r>
      <w:r>
        <w:t xml:space="preserve">https://www.loc.gov/research-centers/main/about-this-research-center/main-card-catalog/</w:t>
      </w:r>
    </w:p>
    <w:p>
      <w:pPr>
        <w:pStyle w:val="BodyText"/>
      </w:pPr>
      <w:hyperlink r:id="rId25">
        <w:r>
          <w:rPr>
            <w:rStyle w:val="Hyperlink"/>
          </w:rPr>
          <w:t xml:space="preserve">https://www.loc.gov/research-centers/main/about-this-research-center/main-card-catalog/</w:t>
        </w:r>
      </w:hyperlink>
    </w:p>
    <w:p>
      <w:pPr>
        <w:pStyle w:val="BodyText"/>
      </w:pPr>
      <w:hyperlink r:id="rId27">
        <w:r>
          <w:rPr>
            <w:rStyle w:val="Hyperlink"/>
          </w:rPr>
          <w:t xml:space="preserve">[6]</w:t>
        </w:r>
      </w:hyperlink>
      <w:r>
        <w:t xml:space="preserve"> </w:t>
      </w:r>
      <w:hyperlink r:id="rId27">
        <w:r>
          <w:rPr>
            <w:rStyle w:val="Hyperlink"/>
          </w:rPr>
          <w:t xml:space="preserve">[8]</w:t>
        </w:r>
      </w:hyperlink>
      <w:r>
        <w:t xml:space="preserve"> </w:t>
      </w:r>
      <w:hyperlink r:id="rId27">
        <w:r>
          <w:rPr>
            <w:rStyle w:val="Hyperlink"/>
          </w:rPr>
          <w:t xml:space="preserve">[14]</w:t>
        </w:r>
      </w:hyperlink>
      <w:r>
        <w:t xml:space="preserve"> </w:t>
      </w:r>
      <w:hyperlink r:id="rId27">
        <w:r>
          <w:rPr>
            <w:rStyle w:val="Hyperlink"/>
          </w:rPr>
          <w:t xml:space="preserve">[21]</w:t>
        </w:r>
      </w:hyperlink>
      <w:r>
        <w:t xml:space="preserve"> </w:t>
      </w:r>
      <w:r>
        <w:t xml:space="preserve">3.1 Scope and Content (Required) - Describing Archives: A Content Standard</w:t>
      </w:r>
    </w:p>
    <w:p>
      <w:pPr>
        <w:pStyle w:val="BodyText"/>
      </w:pPr>
      <w:hyperlink r:id="rId27">
        <w:r>
          <w:rPr>
            <w:rStyle w:val="Hyperlink"/>
          </w:rPr>
          <w:t xml:space="preserve">https://saa-ts-dacs.github.io/dacs/06_part_I/04_chapter_03/01_scope_and_content.html</w:t>
        </w:r>
      </w:hyperlink>
    </w:p>
    <w:p>
      <w:pPr>
        <w:pStyle w:val="BodyText"/>
      </w:pPr>
      <w:hyperlink r:id="rId28">
        <w:r>
          <w:rPr>
            <w:rStyle w:val="Hyperlink"/>
          </w:rPr>
          <w:t xml:space="preserve">[7]</w:t>
        </w:r>
      </w:hyperlink>
      <w:r>
        <w:t xml:space="preserve"> </w:t>
      </w:r>
      <w:hyperlink r:id="rId28">
        <w:r>
          <w:rPr>
            <w:rStyle w:val="Hyperlink"/>
          </w:rPr>
          <w:t xml:space="preserve">[31]</w:t>
        </w:r>
      </w:hyperlink>
      <w:r>
        <w:t xml:space="preserve"> </w:t>
      </w:r>
      <w:r>
        <w:t xml:space="preserve">4.4 Conditions Governing Reproduction and Use (Added Value) - Describing Archives: A Content Standard</w:t>
      </w:r>
    </w:p>
    <w:p>
      <w:pPr>
        <w:pStyle w:val="BodyText"/>
      </w:pPr>
      <w:hyperlink r:id="rId28">
        <w:r>
          <w:rPr>
            <w:rStyle w:val="Hyperlink"/>
          </w:rPr>
          <w:t xml:space="preserve">https://saa-ts-dacs.github.io/dacs/06_part_I/05_chapter_04/04_conditions_governing_reproduction_and_use.html</w:t>
        </w:r>
      </w:hyperlink>
    </w:p>
    <w:p>
      <w:pPr>
        <w:pStyle w:val="BodyText"/>
      </w:pPr>
      <w:hyperlink r:id="rId29">
        <w:r>
          <w:rPr>
            <w:rStyle w:val="Hyperlink"/>
          </w:rPr>
          <w:t xml:space="preserve">[11]</w:t>
        </w:r>
      </w:hyperlink>
      <w:r>
        <w:t xml:space="preserve"> </w:t>
      </w:r>
      <w:hyperlink r:id="rId29">
        <w:r>
          <w:rPr>
            <w:rStyle w:val="Hyperlink"/>
          </w:rPr>
          <w:t xml:space="preserve">[17]</w:t>
        </w:r>
      </w:hyperlink>
      <w:r>
        <w:t xml:space="preserve"> </w:t>
      </w:r>
      <w:r>
        <w:t xml:space="preserve">https://saa-ts-dacs.github.io/dacs/06_part_I/07_chapter_06/03_related_archival_materials.html</w:t>
      </w:r>
    </w:p>
    <w:p>
      <w:pPr>
        <w:pStyle w:val="BodyText"/>
      </w:pPr>
      <w:hyperlink r:id="rId29">
        <w:r>
          <w:rPr>
            <w:rStyle w:val="Hyperlink"/>
          </w:rPr>
          <w:t xml:space="preserve">https://saa-ts-dacs.github.io/dacs/06_part_I/07_chapter_06/03_related_archival_materials.html</w:t>
        </w:r>
      </w:hyperlink>
    </w:p>
    <w:p>
      <w:pPr>
        <w:pStyle w:val="BodyText"/>
      </w:pPr>
      <w:hyperlink r:id="rId30">
        <w:r>
          <w:rPr>
            <w:rStyle w:val="Hyperlink"/>
          </w:rPr>
          <w:t xml:space="preserve">[12]</w:t>
        </w:r>
      </w:hyperlink>
      <w:r>
        <w:t xml:space="preserve"> </w:t>
      </w:r>
      <w:hyperlink r:id="rId30">
        <w:r>
          <w:rPr>
            <w:rStyle w:val="Hyperlink"/>
          </w:rPr>
          <w:t xml:space="preserve">[13]</w:t>
        </w:r>
      </w:hyperlink>
      <w:r>
        <w:t xml:space="preserve"> </w:t>
      </w:r>
      <w:r>
        <w:t xml:space="preserve">https://linked.art/model/collection/</w:t>
      </w:r>
    </w:p>
    <w:p>
      <w:pPr>
        <w:pStyle w:val="BodyText"/>
      </w:pPr>
      <w:hyperlink r:id="rId30">
        <w:r>
          <w:rPr>
            <w:rStyle w:val="Hyperlink"/>
          </w:rPr>
          <w:t xml:space="preserve">https://linked.art/model/collection/</w:t>
        </w:r>
      </w:hyperlink>
    </w:p>
    <w:p>
      <w:pPr>
        <w:pStyle w:val="BodyText"/>
      </w:pPr>
      <w:hyperlink r:id="rId32">
        <w:r>
          <w:rPr>
            <w:rStyle w:val="Hyperlink"/>
          </w:rPr>
          <w:t xml:space="preserve">[15]</w:t>
        </w:r>
      </w:hyperlink>
      <w:r>
        <w:t xml:space="preserve"> </w:t>
      </w:r>
      <w:hyperlink r:id="rId32">
        <w:r>
          <w:rPr>
            <w:rStyle w:val="Hyperlink"/>
          </w:rPr>
          <w:t xml:space="preserve">[23]</w:t>
        </w:r>
      </w:hyperlink>
      <w:r>
        <w:t xml:space="preserve"> </w:t>
      </w:r>
      <w:hyperlink r:id="rId32">
        <w:r>
          <w:rPr>
            <w:rStyle w:val="Hyperlink"/>
          </w:rPr>
          <w:t xml:space="preserve">[24]</w:t>
        </w:r>
      </w:hyperlink>
      <w:r>
        <w:t xml:space="preserve"> </w:t>
      </w:r>
      <w:r>
        <w:t xml:space="preserve">https://www.arcsinfo.org/content/documents/resources/catalogingculturalobjectsfullv2.pdf</w:t>
      </w:r>
    </w:p>
    <w:p>
      <w:pPr>
        <w:pStyle w:val="BodyText"/>
      </w:pPr>
      <w:hyperlink r:id="rId32">
        <w:r>
          <w:rPr>
            <w:rStyle w:val="Hyperlink"/>
          </w:rPr>
          <w:t xml:space="preserve">https://www.arcsinfo.org/content/documents/resources/catalogingculturalobjectsfullv2.pdf</w:t>
        </w:r>
      </w:hyperlink>
    </w:p>
    <w:p>
      <w:pPr>
        <w:pStyle w:val="BodyText"/>
      </w:pPr>
      <w:hyperlink r:id="rId33">
        <w:r>
          <w:rPr>
            <w:rStyle w:val="Hyperlink"/>
          </w:rPr>
          <w:t xml:space="preserve">[16]</w:t>
        </w:r>
      </w:hyperlink>
      <w:r>
        <w:t xml:space="preserve"> </w:t>
      </w:r>
      <w:hyperlink r:id="rId33">
        <w:r>
          <w:rPr>
            <w:rStyle w:val="Hyperlink"/>
          </w:rPr>
          <w:t xml:space="preserve">[27]</w:t>
        </w:r>
      </w:hyperlink>
      <w:r>
        <w:t xml:space="preserve"> </w:t>
      </w:r>
      <w:hyperlink r:id="rId33">
        <w:r>
          <w:rPr>
            <w:rStyle w:val="Hyperlink"/>
          </w:rPr>
          <w:t xml:space="preserve">[37]</w:t>
        </w:r>
      </w:hyperlink>
      <w:r>
        <w:t xml:space="preserve"> </w:t>
      </w:r>
      <w:r>
        <w:t xml:space="preserve">https://www.nationalgallery.org.uk/research/research-centre/archive/record/NG3</w:t>
      </w:r>
    </w:p>
    <w:p>
      <w:pPr>
        <w:pStyle w:val="BodyText"/>
      </w:pPr>
      <w:hyperlink r:id="rId33">
        <w:r>
          <w:rPr>
            <w:rStyle w:val="Hyperlink"/>
          </w:rPr>
          <w:t xml:space="preserve">https://www.nationalgallery.org.uk/research/research-centre/archive/record/NG3</w:t>
        </w:r>
      </w:hyperlink>
    </w:p>
    <w:p>
      <w:pPr>
        <w:pStyle w:val="BodyText"/>
      </w:pPr>
      <w:hyperlink r:id="rId35">
        <w:r>
          <w:rPr>
            <w:rStyle w:val="Hyperlink"/>
          </w:rPr>
          <w:t xml:space="preserve">[22]</w:t>
        </w:r>
      </w:hyperlink>
      <w:r>
        <w:t xml:space="preserve"> </w:t>
      </w:r>
      <w:r>
        <w:t xml:space="preserve">https://pro.europeana.eu/page/available-rights-statements</w:t>
      </w:r>
    </w:p>
    <w:p>
      <w:pPr>
        <w:pStyle w:val="BodyText"/>
      </w:pPr>
      <w:hyperlink r:id="rId35">
        <w:r>
          <w:rPr>
            <w:rStyle w:val="Hyperlink"/>
          </w:rPr>
          <w:t xml:space="preserve">https://pro.europeana.eu/page/available-rights-statements</w:t>
        </w:r>
      </w:hyperlink>
    </w:p>
    <w:p>
      <w:pPr>
        <w:pStyle w:val="BodyText"/>
      </w:pPr>
      <w:hyperlink r:id="rId36">
        <w:r>
          <w:rPr>
            <w:rStyle w:val="Hyperlink"/>
          </w:rPr>
          <w:t xml:space="preserve">[25]</w:t>
        </w:r>
      </w:hyperlink>
      <w:r>
        <w:t xml:space="preserve"> </w:t>
      </w:r>
      <w:hyperlink r:id="rId36">
        <w:r>
          <w:rPr>
            <w:rStyle w:val="Hyperlink"/>
          </w:rPr>
          <w:t xml:space="preserve">[38]</w:t>
        </w:r>
      </w:hyperlink>
      <w:r>
        <w:t xml:space="preserve"> </w:t>
      </w:r>
      <w:r>
        <w:t xml:space="preserve">https://saa-ts-dacs.github.io/dacs/06_part_I/07_chapter_06/01_existence_and_location_of_originals.html</w:t>
      </w:r>
    </w:p>
    <w:p>
      <w:pPr>
        <w:pStyle w:val="BodyText"/>
      </w:pPr>
      <w:hyperlink r:id="rId36">
        <w:r>
          <w:rPr>
            <w:rStyle w:val="Hyperlink"/>
          </w:rPr>
          <w:t xml:space="preserve">https://saa-ts-dacs.github.io/dacs/06_part_I/07_chapter_06/01_existence_and_location_of_originals.html</w:t>
        </w:r>
      </w:hyperlink>
    </w:p>
    <w:p>
      <w:pPr>
        <w:pStyle w:val="BodyText"/>
      </w:pPr>
      <w:hyperlink r:id="rId38">
        <w:r>
          <w:rPr>
            <w:rStyle w:val="Hyperlink"/>
          </w:rPr>
          <w:t xml:space="preserve">[26]</w:t>
        </w:r>
      </w:hyperlink>
      <w:r>
        <w:t xml:space="preserve"> </w:t>
      </w:r>
      <w:r>
        <w:t xml:space="preserve">https://www.aaa.si.edu/book/export/html/46554</w:t>
      </w:r>
    </w:p>
    <w:p>
      <w:pPr>
        <w:pStyle w:val="BodyText"/>
      </w:pPr>
      <w:hyperlink r:id="rId38">
        <w:r>
          <w:rPr>
            <w:rStyle w:val="Hyperlink"/>
          </w:rPr>
          <w:t xml:space="preserve">https://www.aaa.si.edu/book/export/html/46554</w:t>
        </w:r>
      </w:hyperlink>
    </w:p>
    <w:p>
      <w:pPr>
        <w:pStyle w:val="BodyText"/>
      </w:pPr>
      <w:hyperlink r:id="rId39">
        <w:r>
          <w:rPr>
            <w:rStyle w:val="Hyperlink"/>
          </w:rPr>
          <w:t xml:space="preserve">[28]</w:t>
        </w:r>
      </w:hyperlink>
      <w:r>
        <w:t xml:space="preserve"> </w:t>
      </w:r>
      <w:hyperlink r:id="rId39">
        <w:r>
          <w:rPr>
            <w:rStyle w:val="Hyperlink"/>
          </w:rPr>
          <w:t xml:space="preserve">[34]</w:t>
        </w:r>
      </w:hyperlink>
      <w:r>
        <w:t xml:space="preserve"> </w:t>
      </w:r>
      <w:r>
        <w:t xml:space="preserve">https://www.ica.org/app/uploads/2024/01/ric-cm-1.0_0.pdf</w:t>
      </w:r>
    </w:p>
    <w:p>
      <w:pPr>
        <w:pStyle w:val="BodyText"/>
      </w:pPr>
      <w:hyperlink r:id="rId39">
        <w:r>
          <w:rPr>
            <w:rStyle w:val="Hyperlink"/>
          </w:rPr>
          <w:t xml:space="preserve">https://www.ica.org/app/uploads/2024/01/ric-cm-1.0_0.pdf</w:t>
        </w:r>
      </w:hyperlink>
    </w:p>
    <w:p>
      <w:pPr>
        <w:pStyle w:val="BodyText"/>
      </w:pPr>
      <w:hyperlink r:id="rId40">
        <w:r>
          <w:rPr>
            <w:rStyle w:val="Hyperlink"/>
          </w:rPr>
          <w:t xml:space="preserve">[29]</w:t>
        </w:r>
      </w:hyperlink>
      <w:r>
        <w:t xml:space="preserve"> </w:t>
      </w:r>
      <w:r>
        <w:t xml:space="preserve">https://letterformarchive.org/online-archive/?srsltid=AfmBOoryGCqEg6uNTyN0v4fvOgEHmvgd-0ZHLpiQ4_Y5vONT_aGkkAgj</w:t>
      </w:r>
    </w:p>
    <w:p>
      <w:pPr>
        <w:pStyle w:val="BodyText"/>
      </w:pPr>
      <w:hyperlink r:id="rId40">
        <w:r>
          <w:rPr>
            <w:rStyle w:val="Hyperlink"/>
          </w:rPr>
          <w:t xml:space="preserve">https://letterformarchive.org/online-archive/?srsltid=AfmBOoryGCqEg6uNTyN0v4fvOgEHmvgd-0ZHLpiQ4_Y5vONT_aGkkAgj</w:t>
        </w:r>
      </w:hyperlink>
    </w:p>
    <w:p>
      <w:pPr>
        <w:pStyle w:val="BodyText"/>
      </w:pPr>
      <w:hyperlink r:id="rId42">
        <w:r>
          <w:rPr>
            <w:rStyle w:val="Hyperlink"/>
          </w:rPr>
          <w:t xml:space="preserve">[32]</w:t>
        </w:r>
      </w:hyperlink>
      <w:r>
        <w:t xml:space="preserve"> </w:t>
      </w:r>
      <w:r>
        <w:t xml:space="preserve">https://saa-ts-dacs.github.io/dacs/06_part_I/09_chapter_08/01_description_control.html</w:t>
      </w:r>
    </w:p>
    <w:p>
      <w:pPr>
        <w:pStyle w:val="BodyText"/>
      </w:pPr>
      <w:hyperlink r:id="rId42">
        <w:r>
          <w:rPr>
            <w:rStyle w:val="Hyperlink"/>
          </w:rPr>
          <w:t xml:space="preserve">https://saa-ts-dacs.github.io/dacs/06_part_I/09_chapter_08/01_description_control.html</w:t>
        </w:r>
      </w:hyperlink>
    </w:p>
    <w:p>
      <w:pPr>
        <w:pStyle w:val="BodyText"/>
      </w:pPr>
      <w:hyperlink r:id="rId43">
        <w:r>
          <w:rPr>
            <w:rStyle w:val="Hyperlink"/>
          </w:rPr>
          <w:t xml:space="preserve">[33]</w:t>
        </w:r>
      </w:hyperlink>
      <w:r>
        <w:t xml:space="preserve"> </w:t>
      </w:r>
      <w:r>
        <w:t xml:space="preserve">https://saa-ts-dacs.github.io/dacs/06_part_I/08_chapter_07/01_notes.html</w:t>
      </w:r>
    </w:p>
    <w:p>
      <w:pPr>
        <w:pStyle w:val="BodyText"/>
      </w:pPr>
      <w:hyperlink r:id="rId43">
        <w:r>
          <w:rPr>
            <w:rStyle w:val="Hyperlink"/>
          </w:rPr>
          <w:t xml:space="preserve">https://saa-ts-dacs.github.io/dacs/06_part_I/08_chapter_07/01_notes.html</w:t>
        </w:r>
      </w:hyperlink>
    </w:p>
    <w:p>
      <w:pPr>
        <w:pStyle w:val="BodyText"/>
      </w:pPr>
      <w:hyperlink r:id="rId45">
        <w:r>
          <w:rPr>
            <w:rStyle w:val="Hyperlink"/>
          </w:rPr>
          <w:t xml:space="preserve">[39]</w:t>
        </w:r>
      </w:hyperlink>
      <w:r>
        <w:t xml:space="preserve"> </w:t>
      </w:r>
      <w:r>
        <w:t xml:space="preserve">https://stedelijkstudies.com/journal/reimagining-the-object-record-sfmomas-mediawiki/</w:t>
      </w:r>
    </w:p>
    <w:p>
      <w:pPr>
        <w:pStyle w:val="BodyText"/>
      </w:pPr>
      <w:hyperlink r:id="rId45">
        <w:r>
          <w:rPr>
            <w:rStyle w:val="Hyperlink"/>
          </w:rPr>
          <w:t xml:space="preserve">https://stedelijkstudies.com/journal/reimagining-the-object-record-sfmomas-mediawiki/</w:t>
        </w:r>
      </w:hyperlink>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archivesspace.org/wp-content/uploads/2016/05/PublicInterfaceSpecification-ReviewedVersion-20111121-acceptedchanges.pdf" TargetMode="External" /><Relationship Type="http://schemas.openxmlformats.org/officeDocument/2006/relationships/hyperlink" Id="rId22" Target="https://cdn.nationalarchives.gov.uk/documents/digital-cataloguing-practices-march-2017.pdf" TargetMode="External" /><Relationship Type="http://schemas.openxmlformats.org/officeDocument/2006/relationships/hyperlink" Id="rId40" Target="https://letterformarchive.org/online-archive/?srsltid=AfmBOoryGCqEg6uNTyN0v4fvOgEHmvgd-0ZHLpiQ4_Y5vONT_aGkkAgj" TargetMode="External" /><Relationship Type="http://schemas.openxmlformats.org/officeDocument/2006/relationships/hyperlink" Id="rId30" Target="https://linked.art/model/collection/" TargetMode="External" /><Relationship Type="http://schemas.openxmlformats.org/officeDocument/2006/relationships/hyperlink" Id="rId35" Target="https://pro.europeana.eu/page/available-rights-statements" TargetMode="External" /><Relationship Type="http://schemas.openxmlformats.org/officeDocument/2006/relationships/hyperlink" Id="rId21" Target="https://saa-ts-dacs.github.io/dacs/06_part_I/02_chapter_01.html" TargetMode="External" /><Relationship Type="http://schemas.openxmlformats.org/officeDocument/2006/relationships/hyperlink" Id="rId27" Target="https://saa-ts-dacs.github.io/dacs/06_part_I/04_chapter_03/01_scope_and_content.html" TargetMode="External" /><Relationship Type="http://schemas.openxmlformats.org/officeDocument/2006/relationships/hyperlink" Id="rId28" Target="https://saa-ts-dacs.github.io/dacs/06_part_I/05_chapter_04/04_conditions_governing_reproduction_and_use.html" TargetMode="External" /><Relationship Type="http://schemas.openxmlformats.org/officeDocument/2006/relationships/hyperlink" Id="rId36" Target="https://saa-ts-dacs.github.io/dacs/06_part_I/07_chapter_06/01_existence_and_location_of_originals.html" TargetMode="External" /><Relationship Type="http://schemas.openxmlformats.org/officeDocument/2006/relationships/hyperlink" Id="rId29" Target="https://saa-ts-dacs.github.io/dacs/06_part_I/07_chapter_06/03_related_archival_materials.html" TargetMode="External" /><Relationship Type="http://schemas.openxmlformats.org/officeDocument/2006/relationships/hyperlink" Id="rId43" Target="https://saa-ts-dacs.github.io/dacs/06_part_I/08_chapter_07/01_notes.html" TargetMode="External" /><Relationship Type="http://schemas.openxmlformats.org/officeDocument/2006/relationships/hyperlink" Id="rId42" Target="https://saa-ts-dacs.github.io/dacs/06_part_I/09_chapter_08/01_description_control.html" TargetMode="External" /><Relationship Type="http://schemas.openxmlformats.org/officeDocument/2006/relationships/hyperlink" Id="rId45" Target="https://stedelijkstudies.com/journal/reimagining-the-object-record-sfmomas-mediawiki/" TargetMode="External" /><Relationship Type="http://schemas.openxmlformats.org/officeDocument/2006/relationships/hyperlink" Id="rId38" Target="https://www.aaa.si.edu/book/export/html/46554" TargetMode="External" /><Relationship Type="http://schemas.openxmlformats.org/officeDocument/2006/relationships/hyperlink" Id="rId32" Target="https://www.arcsinfo.org/content/documents/resources/catalogingculturalobjectsfullv2.pdf" TargetMode="External" /><Relationship Type="http://schemas.openxmlformats.org/officeDocument/2006/relationships/hyperlink" Id="rId24" Target="https://www.centralnswmuseums.com.au/wp-content/uploads/2015/08/Object-Files.pdf" TargetMode="External" /><Relationship Type="http://schemas.openxmlformats.org/officeDocument/2006/relationships/hyperlink" Id="rId39" Target="https://www.ica.org/app/uploads/2024/01/ric-cm-1.0_0.pdf" TargetMode="External" /><Relationship Type="http://schemas.openxmlformats.org/officeDocument/2006/relationships/hyperlink" Id="rId25" Target="https://www.loc.gov/research-centers/main/about-this-research-center/main-card-catalog/" TargetMode="External" /><Relationship Type="http://schemas.openxmlformats.org/officeDocument/2006/relationships/hyperlink" Id="rId33" Target="https://www.nationalgallery.org.uk/research/research-centre/archive/record/NG3" TargetMode="External" /></Relationships>
</file>

<file path=word/_rels/footnotes.xml.rels><?xml version="1.0" encoding="UTF-8"?><Relationships xmlns="http://schemas.openxmlformats.org/package/2006/relationships"><Relationship Type="http://schemas.openxmlformats.org/officeDocument/2006/relationships/hyperlink" Id="rId23" Target="https://archivesspace.org/wp-content/uploads/2016/05/PublicInterfaceSpecification-ReviewedVersion-20111121-acceptedchanges.pdf" TargetMode="External" /><Relationship Type="http://schemas.openxmlformats.org/officeDocument/2006/relationships/hyperlink" Id="rId22" Target="https://cdn.nationalarchives.gov.uk/documents/digital-cataloguing-practices-march-2017.pdf" TargetMode="External" /><Relationship Type="http://schemas.openxmlformats.org/officeDocument/2006/relationships/hyperlink" Id="rId40" Target="https://letterformarchive.org/online-archive/?srsltid=AfmBOoryGCqEg6uNTyN0v4fvOgEHmvgd-0ZHLpiQ4_Y5vONT_aGkkAgj" TargetMode="External" /><Relationship Type="http://schemas.openxmlformats.org/officeDocument/2006/relationships/hyperlink" Id="rId30" Target="https://linked.art/model/collection/" TargetMode="External" /><Relationship Type="http://schemas.openxmlformats.org/officeDocument/2006/relationships/hyperlink" Id="rId35" Target="https://pro.europeana.eu/page/available-rights-statements" TargetMode="External" /><Relationship Type="http://schemas.openxmlformats.org/officeDocument/2006/relationships/hyperlink" Id="rId21" Target="https://saa-ts-dacs.github.io/dacs/06_part_I/02_chapter_01.html" TargetMode="External" /><Relationship Type="http://schemas.openxmlformats.org/officeDocument/2006/relationships/hyperlink" Id="rId27" Target="https://saa-ts-dacs.github.io/dacs/06_part_I/04_chapter_03/01_scope_and_content.html" TargetMode="External" /><Relationship Type="http://schemas.openxmlformats.org/officeDocument/2006/relationships/hyperlink" Id="rId28" Target="https://saa-ts-dacs.github.io/dacs/06_part_I/05_chapter_04/04_conditions_governing_reproduction_and_use.html" TargetMode="External" /><Relationship Type="http://schemas.openxmlformats.org/officeDocument/2006/relationships/hyperlink" Id="rId36" Target="https://saa-ts-dacs.github.io/dacs/06_part_I/07_chapter_06/01_existence_and_location_of_originals.html" TargetMode="External" /><Relationship Type="http://schemas.openxmlformats.org/officeDocument/2006/relationships/hyperlink" Id="rId29" Target="https://saa-ts-dacs.github.io/dacs/06_part_I/07_chapter_06/03_related_archival_materials.html" TargetMode="External" /><Relationship Type="http://schemas.openxmlformats.org/officeDocument/2006/relationships/hyperlink" Id="rId43" Target="https://saa-ts-dacs.github.io/dacs/06_part_I/08_chapter_07/01_notes.html" TargetMode="External" /><Relationship Type="http://schemas.openxmlformats.org/officeDocument/2006/relationships/hyperlink" Id="rId42" Target="https://saa-ts-dacs.github.io/dacs/06_part_I/09_chapter_08/01_description_control.html" TargetMode="External" /><Relationship Type="http://schemas.openxmlformats.org/officeDocument/2006/relationships/hyperlink" Id="rId45" Target="https://stedelijkstudies.com/journal/reimagining-the-object-record-sfmomas-mediawiki/" TargetMode="External" /><Relationship Type="http://schemas.openxmlformats.org/officeDocument/2006/relationships/hyperlink" Id="rId38" Target="https://www.aaa.si.edu/book/export/html/46554" TargetMode="External" /><Relationship Type="http://schemas.openxmlformats.org/officeDocument/2006/relationships/hyperlink" Id="rId32" Target="https://www.arcsinfo.org/content/documents/resources/catalogingculturalobjectsfullv2.pdf" TargetMode="External" /><Relationship Type="http://schemas.openxmlformats.org/officeDocument/2006/relationships/hyperlink" Id="rId24" Target="https://www.centralnswmuseums.com.au/wp-content/uploads/2015/08/Object-Files.pdf" TargetMode="External" /><Relationship Type="http://schemas.openxmlformats.org/officeDocument/2006/relationships/hyperlink" Id="rId39" Target="https://www.ica.org/app/uploads/2024/01/ric-cm-1.0_0.pdf" TargetMode="External" /><Relationship Type="http://schemas.openxmlformats.org/officeDocument/2006/relationships/hyperlink" Id="rId25" Target="https://www.loc.gov/research-centers/main/about-this-research-center/main-card-catalog/" TargetMode="External" /><Relationship Type="http://schemas.openxmlformats.org/officeDocument/2006/relationships/hyperlink" Id="rId33" Target="https://www.nationalgallery.org.uk/research/research-centre/archive/record/NG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2026-06-01T12:24:30Z</dcterms:created>
  <dcterms:modified xsi:type="dcterms:W3CDTF">2026-06-01T12:24:30Z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