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5" w:name="content"/>
    <w:bookmarkStart w:id="64" w:name="X776911206e1718f4428034fa6faa92ece59d4ae"/>
    <w:p>
      <w:pPr>
        <w:pStyle w:val="Heading1"/>
      </w:pPr>
      <w:r>
        <w:t xml:space="preserve">Rights-Aware Source Discovery for a Distributed Graphic Design History Archive Index</w:t>
      </w:r>
    </w:p>
    <w:bookmarkStart w:id="23" w:name="core-conclusion"/>
    <w:p>
      <w:pPr>
        <w:pStyle w:val="Heading2"/>
      </w:pPr>
      <w:r>
        <w:t xml:space="preserve">Core conclusion</w:t>
      </w:r>
    </w:p>
    <w:p>
      <w:pPr>
        <w:pStyle w:val="FirstParagraph"/>
      </w:pPr>
      <w:r>
        <w:t xml:space="preserve">A strong discovery strategy for modern and contemporary graphic design history should treat the archive as a</w:t>
      </w:r>
      <w:r>
        <w:t xml:space="preserve"> </w:t>
      </w:r>
      <w:r>
        <w:rPr>
          <w:b/>
          <w:bCs/>
        </w:rPr>
        <w:t xml:space="preserve">distributed index of evidence</w:t>
      </w:r>
      <w:r>
        <w:t xml:space="preserve">, not as a single ingest pipeline. That conclusion follows from the way many trustworthy sources already operate: some systems expose only metadata and outbound links rather than holding the underlying files themselves, as with DigitalNZ; some expose archival descriptions or finding aids rather than digitized objects, as with ArchiveGrid and South Africa’s NAAIRS; and some small collections can only support lightweight exposure methods such as static OAI repositories rather than full repository platforms. In practice, that means the project needs a</w:t>
      </w:r>
      <w:r>
        <w:t xml:space="preserve"> </w:t>
      </w:r>
      <w:r>
        <w:rPr>
          <w:b/>
          <w:bCs/>
        </w:rPr>
        <w:t xml:space="preserve">hybrid methodology</w:t>
      </w:r>
      <w:r>
        <w:t xml:space="preserve"> </w:t>
      </w:r>
      <w:r>
        <w:t xml:space="preserve">that combines curated seed directories, protocol fingerprinting, multilingual query design, manual verification, and web-archival rescue for disappearing born-digital sources.</w:t>
      </w:r>
      <w:r>
        <w:t xml:space="preserve"> </w:t>
      </w:r>
      <w:hyperlink r:id="rId21">
        <w:r>
          <w:rPr>
            <w:rStyle w:val="Hyperlink"/>
          </w:rPr>
          <w:t xml:space="preserve">[1]</w:t>
        </w:r>
      </w:hyperlink>
    </w:p>
    <w:p>
      <w:pPr>
        <w:pStyle w:val="BodyText"/>
      </w:pPr>
      <w:r>
        <w:t xml:space="preserve">Major Western museum APIs are therefore only one source family among many. Valuable graphic-design evidence is also likely to appear in community archives, newspapers and magazines, university repositories, municipal portals, poster collections, activist archives, film-related documentation centers, government cultural databases, and web archives that preserve defunct studios, festivals, schools, or magazines. Many of these sources are real archives even when they are small, metadata-only, static, or poorly indexed by general search engines.</w:t>
      </w:r>
      <w:r>
        <w:t xml:space="preserve"> </w:t>
      </w:r>
      <w:hyperlink r:id="rId22">
        <w:r>
          <w:rPr>
            <w:rStyle w:val="Hyperlink"/>
          </w:rPr>
          <w:t xml:space="preserve">[2]</w:t>
        </w:r>
      </w:hyperlink>
    </w:p>
    <w:bookmarkEnd w:id="23"/>
    <w:bookmarkStart w:id="28" w:name="source-discovery-methodology"/>
    <w:p>
      <w:pPr>
        <w:pStyle w:val="Heading2"/>
      </w:pPr>
      <w:r>
        <w:t xml:space="preserve">Source-discovery methodology</w:t>
      </w:r>
    </w:p>
    <w:p>
      <w:pPr>
        <w:pStyle w:val="FirstParagraph"/>
      </w:pPr>
      <w:r>
        <w:t xml:space="preserve">The most reliable method is a</w:t>
      </w:r>
      <w:r>
        <w:t xml:space="preserve"> </w:t>
      </w:r>
      <w:r>
        <w:rPr>
          <w:b/>
          <w:bCs/>
        </w:rPr>
        <w:t xml:space="preserve">layered discovery workflow</w:t>
      </w:r>
      <w:r>
        <w:t xml:space="preserve">.</w:t>
      </w:r>
    </w:p>
    <w:p>
      <w:pPr>
        <w:pStyle w:val="BodyText"/>
      </w:pPr>
      <w:r>
        <w:t xml:space="preserve">Start with</w:t>
      </w:r>
      <w:r>
        <w:t xml:space="preserve"> </w:t>
      </w:r>
      <w:r>
        <w:rPr>
          <w:b/>
          <w:bCs/>
        </w:rPr>
        <w:t xml:space="preserve">seed layers that already aggregate or verify institutions</w:t>
      </w:r>
      <w:r>
        <w:t xml:space="preserve">, because they give you names of repositories, collection pages, and software ecosystems that ordinary keyword search misses. OpenDOAR is a quality-assured directory of open repositories; OAIster is built from OAI-PMH harvesting; ArchiveGrid aggregates archival descriptions and finding aids harvested from the web; Archives Portal Europe aggregates archival descriptions from thousands of institutions; LA Referencia federates national repository systems in Latin America and Spain; Japan Search aggregates metadata from many Japanese organizations; Korea’s Open Access Korea integrates domestic institutional repositories; the Community Archives and Heritage Group maintains a directory of hundreds of community archives; and the Kramerius registry enumerates installations in the Czech and Slovak ecosystem. These layers are especially useful for finding institutions first and then drilling down to relevant collections, people, periodicals, and visual materials.</w:t>
      </w:r>
      <w:r>
        <w:t xml:space="preserve"> </w:t>
      </w:r>
      <w:hyperlink r:id="rId24">
        <w:r>
          <w:rPr>
            <w:rStyle w:val="Hyperlink"/>
          </w:rPr>
          <w:t xml:space="preserve">[3]</w:t>
        </w:r>
      </w:hyperlink>
    </w:p>
    <w:p>
      <w:pPr>
        <w:pStyle w:val="BodyText"/>
      </w:pPr>
      <w:r>
        <w:t xml:space="preserve">Then move to</w:t>
      </w:r>
      <w:r>
        <w:t xml:space="preserve"> </w:t>
      </w:r>
      <w:r>
        <w:rPr>
          <w:b/>
          <w:bCs/>
        </w:rPr>
        <w:t xml:space="preserve">protocol and platform fingerprinting</w:t>
      </w:r>
      <w:r>
        <w:t xml:space="preserve">. OAI-PMH remains a low-barrier interoperability standard with six verbs, and the Open Archives Initiative also documents a static-repository model for small collections of roughly 1 to 5,000 records. IIIF provides standardized access to images and presentation metadata through image services, manifests, and collections. Omeka S exposes a REST API at</w:t>
      </w:r>
      <w:r>
        <w:t xml:space="preserve"> </w:t>
      </w:r>
      <w:r>
        <w:rPr>
          <w:rStyle w:val="VerbatimChar"/>
        </w:rPr>
        <w:t xml:space="preserve">/api</w:t>
      </w:r>
      <w:r>
        <w:t xml:space="preserve">; Omeka Classic exposes a REST API and can publish machine-readable output through plugins including OAI-PMH; WordPress exposes public content through</w:t>
      </w:r>
      <w:r>
        <w:t xml:space="preserve"> </w:t>
      </w:r>
      <w:r>
        <w:rPr>
          <w:rStyle w:val="VerbatimChar"/>
        </w:rPr>
        <w:t xml:space="preserve">/wp-json</w:t>
      </w:r>
      <w:r>
        <w:t xml:space="preserve">; CONTENTdm provides a read-only API and IIIF endpoints, including collection and sitewide manifests; ArchivesSpace provides a REST API and export of EAD XML; DSpace exposes REST plus machine interfaces such as OAI-PMH; and Kramerius explicitly supports OAI-PMH, IIIF, a REST API, and a public installation registry. These families make large-scale but still source-sensitive discovery possible without assuming that every useful source has a polished public API.</w:t>
      </w:r>
      <w:r>
        <w:t xml:space="preserve"> </w:t>
      </w:r>
      <w:hyperlink r:id="rId25">
        <w:r>
          <w:rPr>
            <w:rStyle w:val="Hyperlink"/>
          </w:rPr>
          <w:t xml:space="preserve">[4]</w:t>
        </w:r>
      </w:hyperlink>
    </w:p>
    <w:p>
      <w:pPr>
        <w:pStyle w:val="BodyText"/>
      </w:pPr>
      <w:r>
        <w:t xml:space="preserve">The next pass is</w:t>
      </w:r>
      <w:r>
        <w:t xml:space="preserve"> </w:t>
      </w:r>
      <w:r>
        <w:rPr>
          <w:b/>
          <w:bCs/>
        </w:rPr>
        <w:t xml:space="preserve">language- and geography-aware search expansion</w:t>
      </w:r>
      <w:r>
        <w:t xml:space="preserve">. Archives Portal Europe explicitly recommends multilingual searching; Hong Kong Memory offers Chinese and English access; Japan Search and NDL Search expose Japanese infrastructures; the Palestinian Museum Digital Archive and Qatar Digital Library provide Arabic and English access; Brazilian, Mexican, and Chilean digital newspaper and memory portals surface materials only when queried in Portuguese or Spanish; and Bangladesh’s archives portal is primarily in Bangla. For a design-history index, this means every search package should be translated into the local languages, scripts, and institutional forms used in the region you are probing.</w:t>
      </w:r>
      <w:r>
        <w:t xml:space="preserve"> </w:t>
      </w:r>
      <w:hyperlink r:id="rId26">
        <w:r>
          <w:rPr>
            <w:rStyle w:val="Hyperlink"/>
          </w:rPr>
          <w:t xml:space="preserve">[5]</w:t>
        </w:r>
      </w:hyperlink>
    </w:p>
    <w:p>
      <w:pPr>
        <w:pStyle w:val="BodyText"/>
      </w:pPr>
      <w:r>
        <w:t xml:space="preserve">Finally, add a</w:t>
      </w:r>
      <w:r>
        <w:t xml:space="preserve"> </w:t>
      </w:r>
      <w:r>
        <w:rPr>
          <w:b/>
          <w:bCs/>
        </w:rPr>
        <w:t xml:space="preserve">verification and preservation pass</w:t>
      </w:r>
      <w:r>
        <w:t xml:space="preserve">. Verify provenance, custodianship, rights, and context before indexing. When a source is fragile, disappearing, redesigned, or broken, use web archives and time-based retrieval systems to preserve the evidence trail: the Wayback Machine’s CDX API supports querying captures, the Memento framework standardizes time-based access to prior versions of web resources, and WACZ packages can preserve complex born-digital sites in a portable package. This is especially important for design studios, event microsites, activist campaigns, independent magazines, and community projects that may vanish before formal acquisition by any institution.</w:t>
      </w:r>
      <w:r>
        <w:t xml:space="preserve"> </w:t>
      </w:r>
      <w:hyperlink r:id="rId27">
        <w:r>
          <w:rPr>
            <w:rStyle w:val="Hyperlink"/>
          </w:rPr>
          <w:t xml:space="preserve">[6]</w:t>
        </w:r>
      </w:hyperlink>
    </w:p>
    <w:bookmarkEnd w:id="28"/>
    <w:bookmarkStart w:id="32" w:name="source-type-taxonomy"/>
    <w:p>
      <w:pPr>
        <w:pStyle w:val="Heading2"/>
      </w:pPr>
      <w:r>
        <w:t xml:space="preserve">Source-type taxonomy</w:t>
      </w:r>
    </w:p>
    <w:p>
      <w:pPr>
        <w:pStyle w:val="FirstParagraph"/>
      </w:pPr>
      <w:r>
        <w:t xml:space="preserve">The archive should classify sources by</w:t>
      </w:r>
      <w:r>
        <w:t xml:space="preserve"> </w:t>
      </w:r>
      <w:r>
        <w:rPr>
          <w:b/>
          <w:bCs/>
        </w:rPr>
        <w:t xml:space="preserve">what kind of evidence they provide</w:t>
      </w:r>
      <w:r>
        <w:t xml:space="preserve">, not just by software.</w:t>
      </w:r>
    </w:p>
    <w:p>
      <w:pPr>
        <w:pStyle w:val="BodyText"/>
      </w:pPr>
      <w:r>
        <w:t xml:space="preserve">The first group is</w:t>
      </w:r>
      <w:r>
        <w:t xml:space="preserve"> </w:t>
      </w:r>
      <w:r>
        <w:rPr>
          <w:b/>
          <w:bCs/>
        </w:rPr>
        <w:t xml:space="preserve">custodial archives and libraries with collection-level or item-level records</w:t>
      </w:r>
      <w:r>
        <w:t xml:space="preserve">. These include national libraries, municipal archives, university special collections, government archives, and newspaper portals. Examples include Trove, Gallica, Chronicling America, NewspaperSG, Hemeroteca Digital Brasileira, Hemeroteca Nacional Digital de México, Memoria Chilena, Qatar Digital Library, and Bibliotheca Alexandrina’s digital collections. These sources often provide OCR text, issue-level navigation, or IIIF/image services that are especially useful for posters, advertisements, magazines, and print ephemera.</w:t>
      </w:r>
      <w:r>
        <w:t xml:space="preserve"> </w:t>
      </w:r>
      <w:hyperlink r:id="rId29">
        <w:r>
          <w:rPr>
            <w:rStyle w:val="Hyperlink"/>
          </w:rPr>
          <w:t xml:space="preserve">[7]</w:t>
        </w:r>
      </w:hyperlink>
    </w:p>
    <w:p>
      <w:pPr>
        <w:pStyle w:val="BodyText"/>
      </w:pPr>
      <w:r>
        <w:t xml:space="preserve">The second group is</w:t>
      </w:r>
      <w:r>
        <w:t xml:space="preserve"> </w:t>
      </w:r>
      <w:r>
        <w:rPr>
          <w:b/>
          <w:bCs/>
        </w:rPr>
        <w:t xml:space="preserve">repository platforms and digital collection systems</w:t>
      </w:r>
      <w:r>
        <w:t xml:space="preserve">. These are not archives in a historical sense by default, but they often host the actual public interface for trustworthy holdings. DSpace repositories such as Shodhganga and OpenUCT, Omeka installations, CONTENTdm sites, and Kramerius installations belong here. This is the main group for scalable machine discovery.</w:t>
      </w:r>
      <w:r>
        <w:t xml:space="preserve"> </w:t>
      </w:r>
      <w:hyperlink r:id="rId30">
        <w:r>
          <w:rPr>
            <w:rStyle w:val="Hyperlink"/>
          </w:rPr>
          <w:t xml:space="preserve">[8]</w:t>
        </w:r>
      </w:hyperlink>
    </w:p>
    <w:p>
      <w:pPr>
        <w:pStyle w:val="BodyText"/>
      </w:pPr>
      <w:r>
        <w:t xml:space="preserve">The third group is</w:t>
      </w:r>
      <w:r>
        <w:t xml:space="preserve"> </w:t>
      </w:r>
      <w:r>
        <w:rPr>
          <w:b/>
          <w:bCs/>
        </w:rPr>
        <w:t xml:space="preserve">metadata-only aggregators and finding-aid systems</w:t>
      </w:r>
      <w:r>
        <w:t xml:space="preserve">. These sources may not provide the image or full object, but they are still highly valuable because they establish provenance, collection structure, call numbers, and custodianship. ArchiveGrid, Archives Portal Europe, NAAIRS, and EAD/ArchivesSpace exports all fall into this category. For design history, these records are often the only trustworthy evidence that a poster collection, printer’s archive, studio papers, or association records exist somewhere.</w:t>
      </w:r>
      <w:r>
        <w:t xml:space="preserve"> </w:t>
      </w:r>
      <w:hyperlink r:id="rId31">
        <w:r>
          <w:rPr>
            <w:rStyle w:val="Hyperlink"/>
          </w:rPr>
          <w:t xml:space="preserve">[9]</w:t>
        </w:r>
      </w:hyperlink>
    </w:p>
    <w:p>
      <w:pPr>
        <w:pStyle w:val="BodyText"/>
      </w:pPr>
      <w:r>
        <w:t xml:space="preserve">The fourth group is</w:t>
      </w:r>
      <w:r>
        <w:t xml:space="preserve"> </w:t>
      </w:r>
      <w:r>
        <w:rPr>
          <w:b/>
          <w:bCs/>
        </w:rPr>
        <w:t xml:space="preserve">community, activist, identity-based, Indigenous, and diaspora archives</w:t>
      </w:r>
      <w:r>
        <w:t xml:space="preserve">. By archival definition, community archives are often created and maintained by the communities they document rather than by large memory institutions. Examples include the Community Archives and Heritage Group directory, Interference Archive, Freedom Archives, the African Activist Archive, SAADA, Black Cultural Archives, the Palestinian Museum Digital Archive, Densho, and Mukurtu-based Indigenous infrastructures. These sources are disproportionately likely to contain under-documented graphic design materials such as flyers, posters, zines, newsletters, campaign graphics, community print matter, and movement ephemera.</w:t>
      </w:r>
      <w:r>
        <w:t xml:space="preserve"> </w:t>
      </w:r>
      <w:hyperlink r:id="rId22">
        <w:r>
          <w:rPr>
            <w:rStyle w:val="Hyperlink"/>
          </w:rPr>
          <w:t xml:space="preserve">[10]</w:t>
        </w:r>
      </w:hyperlink>
    </w:p>
    <w:p>
      <w:pPr>
        <w:pStyle w:val="BodyText"/>
      </w:pPr>
      <w:r>
        <w:t xml:space="preserve">The fifth group is</w:t>
      </w:r>
      <w:r>
        <w:t xml:space="preserve"> </w:t>
      </w:r>
      <w:r>
        <w:rPr>
          <w:b/>
          <w:bCs/>
        </w:rPr>
        <w:t xml:space="preserve">born-digital and web-archived sources</w:t>
      </w:r>
      <w:r>
        <w:t xml:space="preserve">. These include preserved websites, social movement sites, festival microsites, digital magazines, design school pages, and online studio portfolios captured via the Wayback Machine, Archive-It, Conifer, or WACZ workflows. These are essential for recent design history because a large share of contemporary graphic-design discourse was never printed or institutionally collected.</w:t>
      </w:r>
      <w:r>
        <w:t xml:space="preserve"> </w:t>
      </w:r>
      <w:hyperlink r:id="rId27">
        <w:r>
          <w:rPr>
            <w:rStyle w:val="Hyperlink"/>
          </w:rPr>
          <w:t xml:space="preserve">[11]</w:t>
        </w:r>
      </w:hyperlink>
    </w:p>
    <w:bookmarkEnd w:id="32"/>
    <w:bookmarkStart w:id="40" w:name="practical-evaluation-checklist"/>
    <w:p>
      <w:pPr>
        <w:pStyle w:val="Heading2"/>
      </w:pPr>
      <w:r>
        <w:t xml:space="preserve">Practical evaluation checklist</w:t>
      </w:r>
    </w:p>
    <w:p>
      <w:pPr>
        <w:pStyle w:val="FirstParagraph"/>
      </w:pPr>
      <w:r>
        <w:t xml:space="preserve">A source should be treated as</w:t>
      </w:r>
      <w:r>
        <w:t xml:space="preserve"> </w:t>
      </w:r>
      <w:r>
        <w:rPr>
          <w:b/>
          <w:bCs/>
        </w:rPr>
        <w:t xml:space="preserve">archivally credible</w:t>
      </w:r>
      <w:r>
        <w:t xml:space="preserve"> </w:t>
      </w:r>
      <w:r>
        <w:t xml:space="preserve">when it shows most of the following features.</w:t>
      </w:r>
    </w:p>
    <w:p>
      <w:pPr>
        <w:pStyle w:val="Compact"/>
        <w:numPr>
          <w:ilvl w:val="0"/>
          <w:numId w:val="1001"/>
        </w:numPr>
      </w:pPr>
      <w:r>
        <w:t xml:space="preserve">It names a custodian or sponsoring body and provides institutional or community contact information. ArchiveGrid, NAAIRS, community-archive directories, and national archive portals all foreground the holding institution or sponsor.</w:t>
      </w:r>
      <w:r>
        <w:t xml:space="preserve"> </w:t>
      </w:r>
      <w:hyperlink r:id="rId31">
        <w:r>
          <w:rPr>
            <w:rStyle w:val="Hyperlink"/>
          </w:rPr>
          <w:t xml:space="preserve">[12]</w:t>
        </w:r>
      </w:hyperlink>
    </w:p>
    <w:p>
      <w:pPr>
        <w:pStyle w:val="Compact"/>
        <w:numPr>
          <w:ilvl w:val="0"/>
          <w:numId w:val="1001"/>
        </w:numPr>
      </w:pPr>
      <w:r>
        <w:t xml:space="preserve">It provides collection context rather than isolated images: collection pages, finding aids, issue runs, fonds/series structure, or browse facets. This is visible in EAD finding aids, ArchivesSpace exports, newspaper portals, and poster collections with collection counts or issue context.</w:t>
      </w:r>
      <w:r>
        <w:t xml:space="preserve"> </w:t>
      </w:r>
      <w:hyperlink r:id="rId33">
        <w:r>
          <w:rPr>
            <w:rStyle w:val="Hyperlink"/>
          </w:rPr>
          <w:t xml:space="preserve">[13]</w:t>
        </w:r>
      </w:hyperlink>
    </w:p>
    <w:p>
      <w:pPr>
        <w:pStyle w:val="Compact"/>
        <w:numPr>
          <w:ilvl w:val="0"/>
          <w:numId w:val="1001"/>
        </w:numPr>
      </w:pPr>
      <w:r>
        <w:t xml:space="preserve">It exposes identifiers, call numbers, handles, or persistent URIs. DSpace repositories, NDL Search, rightsstatements.org URIs, and many library catalogs make this explicit.</w:t>
      </w:r>
      <w:r>
        <w:t xml:space="preserve"> </w:t>
      </w:r>
      <w:hyperlink r:id="rId34">
        <w:r>
          <w:rPr>
            <w:rStyle w:val="Hyperlink"/>
          </w:rPr>
          <w:t xml:space="preserve">[14]</w:t>
        </w:r>
      </w:hyperlink>
    </w:p>
    <w:p>
      <w:pPr>
        <w:pStyle w:val="Compact"/>
        <w:numPr>
          <w:ilvl w:val="0"/>
          <w:numId w:val="1001"/>
        </w:numPr>
      </w:pPr>
      <w:r>
        <w:t xml:space="preserve">It states rights or reuse conditions, ideally through standardized statements or explicit terms. RightsStatements.org provides machine-readable statements, and Creative Commons licenses provide standardized reuse permissions.</w:t>
      </w:r>
      <w:r>
        <w:t xml:space="preserve"> </w:t>
      </w:r>
      <w:hyperlink r:id="rId35">
        <w:r>
          <w:rPr>
            <w:rStyle w:val="Hyperlink"/>
          </w:rPr>
          <w:t xml:space="preserve">[15]</w:t>
        </w:r>
      </w:hyperlink>
    </w:p>
    <w:p>
      <w:pPr>
        <w:pStyle w:val="Compact"/>
        <w:numPr>
          <w:ilvl w:val="0"/>
          <w:numId w:val="1001"/>
        </w:numPr>
      </w:pPr>
      <w:r>
        <w:t xml:space="preserve">It shows provenance for the item or collection: donor, creator, repository, partner institution, or collection holder. Sources such as the Arab Image Foundation, SAADA, the Palestinian Museum Digital Archive, and community archives often explain this directly.</w:t>
      </w:r>
      <w:r>
        <w:t xml:space="preserve"> </w:t>
      </w:r>
      <w:hyperlink r:id="rId36">
        <w:r>
          <w:rPr>
            <w:rStyle w:val="Hyperlink"/>
          </w:rPr>
          <w:t xml:space="preserve">[16]</w:t>
        </w:r>
      </w:hyperlink>
    </w:p>
    <w:p>
      <w:pPr>
        <w:pStyle w:val="Compact"/>
        <w:numPr>
          <w:ilvl w:val="0"/>
          <w:numId w:val="1001"/>
        </w:numPr>
      </w:pPr>
      <w:r>
        <w:t xml:space="preserve">It allows navigation across related records: browse by collection, topic, entity, place, issue, or organization. This pattern is common in community archives, newspaper portals, and digital repositories.</w:t>
      </w:r>
      <w:r>
        <w:t xml:space="preserve"> </w:t>
      </w:r>
      <w:hyperlink r:id="rId37">
        <w:r>
          <w:rPr>
            <w:rStyle w:val="Hyperlink"/>
          </w:rPr>
          <w:t xml:space="preserve">[17]</w:t>
        </w:r>
      </w:hyperlink>
    </w:p>
    <w:p>
      <w:pPr>
        <w:pStyle w:val="FirstParagraph"/>
      </w:pPr>
      <w:r>
        <w:t xml:space="preserve">By contrast, a blog, portfolio, Pinterest-style repost board, or commercial inspiration site should usually be treated as a</w:t>
      </w:r>
      <w:r>
        <w:t xml:space="preserve"> </w:t>
      </w:r>
      <w:r>
        <w:rPr>
          <w:b/>
          <w:bCs/>
        </w:rPr>
        <w:t xml:space="preserve">lead only, not a source of record</w:t>
      </w:r>
      <w:r>
        <w:t xml:space="preserve">, when it lacks named custody, lacks collection context, republishes uncredited images, strips item-level metadata, offers no rights statement, and provides no stable identifier beyond page URLs. That distinction follows from how archival directories, finding-aid systems, and repository standards define discoverable collections: they emphasize repository identity, metadata quality, accessibility, and structured records rather than mere display of attractive images.</w:t>
      </w:r>
      <w:r>
        <w:t xml:space="preserve"> </w:t>
      </w:r>
      <w:hyperlink r:id="rId38">
        <w:r>
          <w:rPr>
            <w:rStyle w:val="Hyperlink"/>
          </w:rPr>
          <w:t xml:space="preserve">[18]</w:t>
        </w:r>
      </w:hyperlink>
    </w:p>
    <w:p>
      <w:pPr>
        <w:pStyle w:val="BodyText"/>
      </w:pPr>
      <w:r>
        <w:t xml:space="preserve">Failed searches should also be documented as evidence. PRISMA-S and PRESS were created for transparent search reporting in systematic reviews, but their logic transfers well here: record the exact query, platform, date, filters, language, translation choices, and exclusion reasons. For archive discovery specifically, it is also useful to record tested protocol fingerprints, whether the site was live or broken, whether the result was only a repost, and whether a web archive snapshot existed. The Library of Congress has explicitly argued that even broken links have value because they help discover archived versions and preserve metadata about the missing resource.</w:t>
      </w:r>
      <w:r>
        <w:t xml:space="preserve"> </w:t>
      </w:r>
      <w:hyperlink r:id="rId39">
        <w:r>
          <w:rPr>
            <w:rStyle w:val="Hyperlink"/>
          </w:rPr>
          <w:t xml:space="preserve">[19]</w:t>
        </w:r>
      </w:hyperlink>
    </w:p>
    <w:bookmarkEnd w:id="40"/>
    <w:bookmarkStart w:id="45" w:name="protocol-and-source-family-patterns"/>
    <w:p>
      <w:pPr>
        <w:pStyle w:val="Heading2"/>
      </w:pPr>
      <w:r>
        <w:t xml:space="preserve">Protocol and source-family patterns</w:t>
      </w:r>
    </w:p>
    <w:p>
      <w:pPr>
        <w:pStyle w:val="FirstParagraph"/>
      </w:pPr>
      <w:r>
        <w:t xml:space="preserve">The project should search by</w:t>
      </w:r>
      <w:r>
        <w:t xml:space="preserve"> </w:t>
      </w:r>
      <w:r>
        <w:rPr>
          <w:b/>
          <w:bCs/>
        </w:rPr>
        <w:t xml:space="preserve">source family</w:t>
      </w:r>
      <w:r>
        <w:t xml:space="preserve">, not just by subject terms.</w:t>
      </w:r>
    </w:p>
    <w:p>
      <w:pPr>
        <w:pStyle w:val="BodyText"/>
      </w:pPr>
      <w:r>
        <w:t xml:space="preserve">For</w:t>
      </w:r>
      <w:r>
        <w:t xml:space="preserve"> </w:t>
      </w:r>
      <w:r>
        <w:rPr>
          <w:b/>
          <w:bCs/>
        </w:rPr>
        <w:t xml:space="preserve">OAI-PMH</w:t>
      </w:r>
      <w:r>
        <w:t xml:space="preserve">, test for</w:t>
      </w:r>
      <w:r>
        <w:t xml:space="preserve"> </w:t>
      </w:r>
      <w:r>
        <w:rPr>
          <w:rStyle w:val="VerbatimChar"/>
        </w:rPr>
        <w:t xml:space="preserve">?verb=Identify</w:t>
      </w:r>
      <w:r>
        <w:t xml:space="preserve">,</w:t>
      </w:r>
      <w:r>
        <w:t xml:space="preserve"> </w:t>
      </w:r>
      <w:r>
        <w:rPr>
          <w:rStyle w:val="VerbatimChar"/>
        </w:rPr>
        <w:t xml:space="preserve">ListSets</w:t>
      </w:r>
      <w:r>
        <w:t xml:space="preserve">, and</w:t>
      </w:r>
      <w:r>
        <w:t xml:space="preserve"> </w:t>
      </w:r>
      <w:r>
        <w:rPr>
          <w:rStyle w:val="VerbatimChar"/>
        </w:rPr>
        <w:t xml:space="preserve">ListRecords</w:t>
      </w:r>
      <w:r>
        <w:t xml:space="preserve">; remember that OAI also supports static repositories for small, relatively stable collections. OAIster remains a practical seed layer because it was built by harvesting OAI-compliant sources worldwide.</w:t>
      </w:r>
      <w:r>
        <w:t xml:space="preserve"> </w:t>
      </w:r>
      <w:hyperlink r:id="rId25">
        <w:r>
          <w:rPr>
            <w:rStyle w:val="Hyperlink"/>
          </w:rPr>
          <w:t xml:space="preserve">[20]</w:t>
        </w:r>
      </w:hyperlink>
    </w:p>
    <w:p>
      <w:pPr>
        <w:pStyle w:val="BodyText"/>
      </w:pPr>
      <w:r>
        <w:t xml:space="preserve">For</w:t>
      </w:r>
      <w:r>
        <w:t xml:space="preserve"> </w:t>
      </w:r>
      <w:r>
        <w:rPr>
          <w:b/>
          <w:bCs/>
        </w:rPr>
        <w:t xml:space="preserve">IIIF</w:t>
      </w:r>
      <w:r>
        <w:t xml:space="preserve">, look for</w:t>
      </w:r>
      <w:r>
        <w:t xml:space="preserve"> </w:t>
      </w:r>
      <w:r>
        <w:rPr>
          <w:rStyle w:val="VerbatimChar"/>
        </w:rPr>
        <w:t xml:space="preserve">info.json</w:t>
      </w:r>
      <w:r>
        <w:t xml:space="preserve">, item</w:t>
      </w:r>
      <w:r>
        <w:t xml:space="preserve"> </w:t>
      </w:r>
      <w:r>
        <w:rPr>
          <w:rStyle w:val="VerbatimChar"/>
        </w:rPr>
        <w:t xml:space="preserve">manifest.json</w:t>
      </w:r>
      <w:r>
        <w:t xml:space="preserve">, collection manifests, and repository-level collection manifests. CONTENTdm is particularly useful here because OCLC documents both item manifests and a sitewide manifest, which is effectively a discovery map for image-bearing records.</w:t>
      </w:r>
      <w:r>
        <w:t xml:space="preserve"> </w:t>
      </w:r>
      <w:hyperlink r:id="rId41">
        <w:r>
          <w:rPr>
            <w:rStyle w:val="Hyperlink"/>
          </w:rPr>
          <w:t xml:space="preserve">[21]</w:t>
        </w:r>
      </w:hyperlink>
    </w:p>
    <w:p>
      <w:pPr>
        <w:pStyle w:val="BodyText"/>
      </w:pPr>
      <w:r>
        <w:t xml:space="preserve">For</w:t>
      </w:r>
      <w:r>
        <w:t xml:space="preserve"> </w:t>
      </w:r>
      <w:r>
        <w:rPr>
          <w:b/>
          <w:bCs/>
        </w:rPr>
        <w:t xml:space="preserve">Omeka</w:t>
      </w:r>
      <w:r>
        <w:t xml:space="preserve">, test</w:t>
      </w:r>
      <w:r>
        <w:t xml:space="preserve"> </w:t>
      </w:r>
      <w:r>
        <w:rPr>
          <w:rStyle w:val="VerbatimChar"/>
        </w:rPr>
        <w:t xml:space="preserve">/api</w:t>
      </w:r>
      <w:r>
        <w:t xml:space="preserve">, and when relevant also look for Omeka Classic’s API settings or OAI plugin traces. For</w:t>
      </w:r>
      <w:r>
        <w:t xml:space="preserve"> </w:t>
      </w:r>
      <w:r>
        <w:rPr>
          <w:b/>
          <w:bCs/>
        </w:rPr>
        <w:t xml:space="preserve">WordPress</w:t>
      </w:r>
      <w:r>
        <w:t xml:space="preserve">, test</w:t>
      </w:r>
      <w:r>
        <w:t xml:space="preserve"> </w:t>
      </w:r>
      <w:r>
        <w:rPr>
          <w:rStyle w:val="VerbatimChar"/>
        </w:rPr>
        <w:t xml:space="preserve">/wp-json/</w:t>
      </w:r>
      <w:r>
        <w:t xml:space="preserve"> </w:t>
      </w:r>
      <w:r>
        <w:t xml:space="preserve">and</w:t>
      </w:r>
      <w:r>
        <w:t xml:space="preserve"> </w:t>
      </w:r>
      <w:r>
        <w:rPr>
          <w:rStyle w:val="VerbatimChar"/>
        </w:rPr>
        <w:t xml:space="preserve">/wp-json/wp/v2/</w:t>
      </w:r>
      <w:r>
        <w:t xml:space="preserve"> </w:t>
      </w:r>
      <w:r>
        <w:t xml:space="preserve">routes for posts, pages, media, users, and custom post types; many small archives and local-history projects use WordPress as their public layer even when the site itself does not advertise an API.</w:t>
      </w:r>
      <w:r>
        <w:t xml:space="preserve"> </w:t>
      </w:r>
      <w:hyperlink r:id="rId42">
        <w:r>
          <w:rPr>
            <w:rStyle w:val="Hyperlink"/>
          </w:rPr>
          <w:t xml:space="preserve">[22]</w:t>
        </w:r>
      </w:hyperlink>
    </w:p>
    <w:p>
      <w:pPr>
        <w:pStyle w:val="BodyText"/>
      </w:pPr>
      <w:r>
        <w:t xml:space="preserve">For</w:t>
      </w:r>
      <w:r>
        <w:t xml:space="preserve"> </w:t>
      </w:r>
      <w:r>
        <w:rPr>
          <w:b/>
          <w:bCs/>
        </w:rPr>
        <w:t xml:space="preserve">DSpace</w:t>
      </w:r>
      <w:r>
        <w:t xml:space="preserve">, look for</w:t>
      </w:r>
      <w:r>
        <w:t xml:space="preserve"> </w:t>
      </w:r>
      <w:r>
        <w:rPr>
          <w:rStyle w:val="VerbatimChar"/>
        </w:rPr>
        <w:t xml:space="preserve">/handle/</w:t>
      </w:r>
      <w:r>
        <w:t xml:space="preserve">, repository footers, or REST/OAI traces; many university repositories and thesis systems are DSpace-backed. For</w:t>
      </w:r>
      <w:r>
        <w:t xml:space="preserve"> </w:t>
      </w:r>
      <w:r>
        <w:rPr>
          <w:b/>
          <w:bCs/>
        </w:rPr>
        <w:t xml:space="preserve">Kramerius</w:t>
      </w:r>
      <w:r>
        <w:t xml:space="preserve">, look for</w:t>
      </w:r>
      <w:r>
        <w:t xml:space="preserve"> </w:t>
      </w:r>
      <w:r>
        <w:rPr>
          <w:rStyle w:val="VerbatimChar"/>
        </w:rPr>
        <w:t xml:space="preserve">/kramerius/oai</w:t>
      </w:r>
      <w:r>
        <w:t xml:space="preserve">,</w:t>
      </w:r>
      <w:r>
        <w:t xml:space="preserve"> </w:t>
      </w:r>
      <w:r>
        <w:rPr>
          <w:rStyle w:val="VerbatimChar"/>
        </w:rPr>
        <w:t xml:space="preserve">/search/iiif/</w:t>
      </w:r>
      <w:r>
        <w:t xml:space="preserve">, or installation entries in the Kramerius registry. For</w:t>
      </w:r>
      <w:r>
        <w:t xml:space="preserve"> </w:t>
      </w:r>
      <w:r>
        <w:rPr>
          <w:b/>
          <w:bCs/>
        </w:rPr>
        <w:t xml:space="preserve">CONTENTdm</w:t>
      </w:r>
      <w:r>
        <w:t xml:space="preserve">, look for</w:t>
      </w:r>
      <w:r>
        <w:t xml:space="preserve"> </w:t>
      </w:r>
      <w:r>
        <w:rPr>
          <w:rStyle w:val="VerbatimChar"/>
        </w:rPr>
        <w:t xml:space="preserve">/digital/</w:t>
      </w:r>
      <w:r>
        <w:t xml:space="preserve">,</w:t>
      </w:r>
      <w:r>
        <w:t xml:space="preserve"> </w:t>
      </w:r>
      <w:r>
        <w:rPr>
          <w:rStyle w:val="VerbatimChar"/>
        </w:rPr>
        <w:t xml:space="preserve">/bl/dmwebservices/</w:t>
      </w:r>
      <w:r>
        <w:t xml:space="preserve">, and IIIF paths. For</w:t>
      </w:r>
      <w:r>
        <w:t xml:space="preserve"> </w:t>
      </w:r>
      <w:r>
        <w:rPr>
          <w:b/>
          <w:bCs/>
        </w:rPr>
        <w:t xml:space="preserve">ArchivesSpace and EAD</w:t>
      </w:r>
      <w:r>
        <w:t xml:space="preserve">, look for downloadable EAD XML, repository exports, or finding-aid interfaces rather than assuming image-level digital objects.</w:t>
      </w:r>
      <w:r>
        <w:t xml:space="preserve"> </w:t>
      </w:r>
      <w:hyperlink r:id="rId43">
        <w:r>
          <w:rPr>
            <w:rStyle w:val="Hyperlink"/>
          </w:rPr>
          <w:t xml:space="preserve">[23]</w:t>
        </w:r>
      </w:hyperlink>
    </w:p>
    <w:p>
      <w:pPr>
        <w:pStyle w:val="BodyText"/>
      </w:pPr>
      <w:r>
        <w:t xml:space="preserve">For</w:t>
      </w:r>
      <w:r>
        <w:t xml:space="preserve"> </w:t>
      </w:r>
      <w:r>
        <w:rPr>
          <w:b/>
          <w:bCs/>
        </w:rPr>
        <w:t xml:space="preserve">national-library and newspaper APIs</w:t>
      </w:r>
      <w:r>
        <w:t xml:space="preserve">, use them both as sources and as discovery routers. Trove, DigitalNZ, NDL Search, Gallica, and the Library of Congress all provide machine interfaces or structured access layers. DigitalNZ is especially relevant to this project’s model because it explicitly states that it does not hold the item itself, but holds metadata and a pointer to the source object.</w:t>
      </w:r>
      <w:r>
        <w:t xml:space="preserve"> </w:t>
      </w:r>
      <w:hyperlink r:id="rId29">
        <w:r>
          <w:rPr>
            <w:rStyle w:val="Hyperlink"/>
          </w:rPr>
          <w:t xml:space="preserve">[24]</w:t>
        </w:r>
      </w:hyperlink>
    </w:p>
    <w:p>
      <w:pPr>
        <w:pStyle w:val="BodyText"/>
      </w:pPr>
      <w:r>
        <w:t xml:space="preserve">For</w:t>
      </w:r>
      <w:r>
        <w:t xml:space="preserve"> </w:t>
      </w:r>
      <w:r>
        <w:rPr>
          <w:b/>
          <w:bCs/>
        </w:rPr>
        <w:t xml:space="preserve">static and JavaScript-heavy sites</w:t>
      </w:r>
      <w:r>
        <w:t xml:space="preserve">, do not assume “no API” means “not discoverable.” Check</w:t>
      </w:r>
      <w:r>
        <w:t xml:space="preserve"> </w:t>
      </w:r>
      <w:r>
        <w:rPr>
          <w:rStyle w:val="VerbatimChar"/>
        </w:rPr>
        <w:t xml:space="preserve">sitemap.xml</w:t>
      </w:r>
      <w:r>
        <w:t xml:space="preserve">, sitemap indexes, JSON-LD, and other structured data on landing pages. The sitemap protocol is standardized, and schema.org/JSON-LD is widely used for structured web description. If a site exposes content through front-end calls, those calls often reveal undocumented JSON endpoints even when no public API page exists.</w:t>
      </w:r>
      <w:r>
        <w:t xml:space="preserve"> </w:t>
      </w:r>
      <w:hyperlink r:id="rId44">
        <w:r>
          <w:rPr>
            <w:rStyle w:val="Hyperlink"/>
          </w:rPr>
          <w:t xml:space="preserve">[25]</w:t>
        </w:r>
      </w:hyperlink>
    </w:p>
    <w:p>
      <w:pPr>
        <w:pStyle w:val="BodyText"/>
      </w:pPr>
      <w:r>
        <w:t xml:space="preserve">Candidate query templates that fit this project well include:</w:t>
      </w:r>
    </w:p>
    <w:p>
      <w:pPr>
        <w:pStyle w:val="Compact"/>
        <w:numPr>
          <w:ilvl w:val="0"/>
          <w:numId w:val="1002"/>
        </w:numPr>
      </w:pPr>
      <w:r>
        <w:rPr>
          <w:rStyle w:val="VerbatimChar"/>
        </w:rPr>
        <w:t xml:space="preserve">site:*.gov "poster" OR "affiche" OR "cartel" OR </w:t>
      </w:r>
      <w:r>
        <w:rPr>
          <w:rStyle w:val="VerbatimChar"/>
          <w:rFonts w:hint="eastAsia"/>
        </w:rPr>
        <w:t xml:space="preserve">"海報"</w:t>
      </w:r>
      <w:r>
        <w:rPr>
          <w:rStyle w:val="VerbatimChar"/>
        </w:rPr>
        <w:t xml:space="preserve"> OR "포스터" archive</w:t>
      </w:r>
    </w:p>
    <w:p>
      <w:pPr>
        <w:pStyle w:val="Compact"/>
        <w:numPr>
          <w:ilvl w:val="0"/>
          <w:numId w:val="1002"/>
        </w:numPr>
      </w:pPr>
      <w:r>
        <w:rPr>
          <w:rStyle w:val="VerbatimChar"/>
        </w:rPr>
        <w:t xml:space="preserve">site:*.edu "graphic design" archive poster newsletter</w:t>
      </w:r>
    </w:p>
    <w:p>
      <w:pPr>
        <w:pStyle w:val="Compact"/>
        <w:numPr>
          <w:ilvl w:val="0"/>
          <w:numId w:val="1002"/>
        </w:numPr>
      </w:pPr>
      <w:r>
        <w:rPr>
          <w:rStyle w:val="VerbatimChar"/>
        </w:rPr>
        <w:t xml:space="preserve">site:*.ac.* "/api/items" "poster"</w:t>
      </w:r>
    </w:p>
    <w:p>
      <w:pPr>
        <w:pStyle w:val="Compact"/>
        <w:numPr>
          <w:ilvl w:val="0"/>
          <w:numId w:val="1002"/>
        </w:numPr>
      </w:pPr>
      <w:r>
        <w:rPr>
          <w:rStyle w:val="VerbatimChar"/>
        </w:rPr>
        <w:t xml:space="preserve">site:* "/wp-json/wp/v2/media" "design" "archive"</w:t>
      </w:r>
    </w:p>
    <w:p>
      <w:pPr>
        <w:pStyle w:val="Compact"/>
        <w:numPr>
          <w:ilvl w:val="0"/>
          <w:numId w:val="1002"/>
        </w:numPr>
      </w:pPr>
      <w:r>
        <w:rPr>
          <w:rStyle w:val="VerbatimChar"/>
        </w:rPr>
        <w:t xml:space="preserve">site:* "oai/request?verb=Identify" "poster" OR "journal" OR "newsletter"</w:t>
      </w:r>
    </w:p>
    <w:p>
      <w:pPr>
        <w:pStyle w:val="Compact"/>
        <w:numPr>
          <w:ilvl w:val="0"/>
          <w:numId w:val="1002"/>
        </w:numPr>
      </w:pPr>
      <w:r>
        <w:rPr>
          <w:rStyle w:val="VerbatimChar"/>
        </w:rPr>
        <w:t xml:space="preserve">site:* "iiif" "manifest.json" "poster"</w:t>
      </w:r>
    </w:p>
    <w:p>
      <w:pPr>
        <w:pStyle w:val="Compact"/>
        <w:numPr>
          <w:ilvl w:val="0"/>
          <w:numId w:val="1002"/>
        </w:numPr>
      </w:pPr>
      <w:r>
        <w:rPr>
          <w:rStyle w:val="VerbatimChar"/>
        </w:rPr>
        <w:t xml:space="preserve">site:* "finding aid" "graphic design" OR "printing" OR "advertising"</w:t>
      </w:r>
    </w:p>
    <w:p>
      <w:pPr>
        <w:pStyle w:val="Compact"/>
        <w:numPr>
          <w:ilvl w:val="0"/>
          <w:numId w:val="1002"/>
        </w:numPr>
      </w:pPr>
      <w:r>
        <w:rPr>
          <w:rStyle w:val="VerbatimChar"/>
        </w:rPr>
        <w:t xml:space="preserve">site:* "community archive" poster OR zine OR leaflet</w:t>
      </w:r>
    </w:p>
    <w:p>
      <w:pPr>
        <w:pStyle w:val="Compact"/>
        <w:numPr>
          <w:ilvl w:val="0"/>
          <w:numId w:val="1002"/>
        </w:numPr>
      </w:pPr>
      <w:r>
        <w:rPr>
          <w:rStyle w:val="VerbatimChar"/>
        </w:rPr>
        <w:t xml:space="preserve">site:* "newspaper archive" OCR poster exhibition</w:t>
      </w:r>
    </w:p>
    <w:p>
      <w:pPr>
        <w:pStyle w:val="Compact"/>
        <w:numPr>
          <w:ilvl w:val="0"/>
          <w:numId w:val="1002"/>
        </w:numPr>
      </w:pPr>
      <w:r>
        <w:rPr>
          <w:rStyle w:val="VerbatimChar"/>
        </w:rPr>
        <w:t xml:space="preserve">site:* "collection" "film poster" archive</w:t>
      </w:r>
    </w:p>
    <w:p>
      <w:pPr>
        <w:pStyle w:val="Compact"/>
        <w:numPr>
          <w:ilvl w:val="0"/>
          <w:numId w:val="1002"/>
        </w:numPr>
      </w:pPr>
      <w:r>
        <w:rPr>
          <w:rStyle w:val="VerbatimChar"/>
        </w:rPr>
        <w:t xml:space="preserve">site:* "printer" archive OR "printing company" records</w:t>
      </w:r>
    </w:p>
    <w:p>
      <w:pPr>
        <w:pStyle w:val="Compact"/>
        <w:numPr>
          <w:ilvl w:val="0"/>
          <w:numId w:val="1002"/>
        </w:numPr>
      </w:pPr>
      <w:r>
        <w:rPr>
          <w:rStyle w:val="VerbatimChar"/>
        </w:rPr>
        <w:t xml:space="preserve">site:* "design association" newsletter archive</w:t>
      </w:r>
    </w:p>
    <w:p>
      <w:pPr>
        <w:pStyle w:val="Compact"/>
        <w:numPr>
          <w:ilvl w:val="0"/>
          <w:numId w:val="1002"/>
        </w:numPr>
      </w:pPr>
      <w:r>
        <w:rPr>
          <w:rStyle w:val="VerbatimChar"/>
        </w:rPr>
        <w:t xml:space="preserve">site:web.archive.org OR site:archive-it.org "design studio" "poster" "magazine"</w:t>
      </w:r>
    </w:p>
    <w:p>
      <w:pPr>
        <w:pStyle w:val="FirstParagraph"/>
      </w:pPr>
      <w:r>
        <w:t xml:space="preserve">Those should be translated into local language equivalents and combined with place names, institution types, and medium types such as “poster,” “advertisement,” “magazine,” “newsletter,” “print shop,” “lithography,” “sign painting,” “zine,” “ephemera,” and local profession names. The archive should store the successful query strings and the failed ones alike.</w:t>
      </w:r>
      <w:r>
        <w:t xml:space="preserve"> </w:t>
      </w:r>
      <w:hyperlink r:id="rId26">
        <w:r>
          <w:rPr>
            <w:rStyle w:val="Hyperlink"/>
          </w:rPr>
          <w:t xml:space="preserve">[26]</w:t>
        </w:r>
      </w:hyperlink>
    </w:p>
    <w:bookmarkEnd w:id="45"/>
    <w:bookmarkStart w:id="54" w:name="regional-discovery-strategies"/>
    <w:p>
      <w:pPr>
        <w:pStyle w:val="Heading2"/>
      </w:pPr>
      <w:r>
        <w:t xml:space="preserve">Regional discovery strategies</w:t>
      </w:r>
    </w:p>
    <w:p>
      <w:pPr>
        <w:pStyle w:val="FirstParagraph"/>
      </w:pPr>
      <w:r>
        <w:rPr>
          <w:b/>
          <w:bCs/>
        </w:rPr>
        <w:t xml:space="preserve">East Asia.</w:t>
      </w:r>
      <w:r>
        <w:t xml:space="preserve"> </w:t>
      </w:r>
      <w:r>
        <w:t xml:space="preserve">Use local scripts first, then English. Japan already has two unusually strong discovery layers: Japan Search, a national metadata-aggregation platform, and NDL Search, whose API pages also expose provider-level licensing information. Korea’s Open Access Korea aggregates domestic institutional repositories. Hong Kong Memory is a bilingual heritage portal with posters, documents, audiovisual material, and topic browsing. In this region, start with national discovery layers, then pivot into underlying institutions and collection partners.</w:t>
      </w:r>
      <w:r>
        <w:t xml:space="preserve"> </w:t>
      </w:r>
      <w:hyperlink r:id="rId46">
        <w:r>
          <w:rPr>
            <w:rStyle w:val="Hyperlink"/>
          </w:rPr>
          <w:t xml:space="preserve">[27]</w:t>
        </w:r>
      </w:hyperlink>
    </w:p>
    <w:p>
      <w:pPr>
        <w:pStyle w:val="BodyText"/>
      </w:pPr>
      <w:r>
        <w:rPr>
          <w:b/>
          <w:bCs/>
        </w:rPr>
        <w:t xml:space="preserve">Southeast Asia.</w:t>
      </w:r>
      <w:r>
        <w:t xml:space="preserve"> </w:t>
      </w:r>
      <w:r>
        <w:t xml:space="preserve">Expect mixed infrastructures: strong national library portals in some places and patchier local discovery elsewhere. Singapore offers two especially productive paths for design history: NewspaperSG for newspapers and the National Archives of Singapore’s Archives Online. Malaysia’s National Archives and Vietnam’s National Library both expose digital-collection pathways, while some Southeast Asian material is discoverable through regional and partner projects rather than local sites alone. Query in English plus the local language, and search government and national-library domains directly.</w:t>
      </w:r>
      <w:r>
        <w:t xml:space="preserve"> </w:t>
      </w:r>
      <w:hyperlink r:id="rId47">
        <w:r>
          <w:rPr>
            <w:rStyle w:val="Hyperlink"/>
          </w:rPr>
          <w:t xml:space="preserve">[28]</w:t>
        </w:r>
      </w:hyperlink>
    </w:p>
    <w:p>
      <w:pPr>
        <w:pStyle w:val="BodyText"/>
      </w:pPr>
      <w:r>
        <w:rPr>
          <w:b/>
          <w:bCs/>
        </w:rPr>
        <w:t xml:space="preserve">South Asia.</w:t>
      </w:r>
      <w:r>
        <w:t xml:space="preserve"> </w:t>
      </w:r>
      <w:r>
        <w:t xml:space="preserve">University repositories and national digital-library layers are indispensable. India’s Shodhganga is DSpace-based and can surface thesis chapters on printers, visual culture, typography, advertising, and vernacular media that point to otherwise hidden archives. The National Digital Library of India is a broad cross-search layer. Bangladesh’s archives and libraries directorate offers e-archive and e-book shelves in Bangla. Because design history in the region is often scattered across theses, local journals, government print, and institutional collections, combine repository searching with newspaper and language-specific queries.</w:t>
      </w:r>
      <w:r>
        <w:t xml:space="preserve"> </w:t>
      </w:r>
      <w:hyperlink r:id="rId48">
        <w:r>
          <w:rPr>
            <w:rStyle w:val="Hyperlink"/>
          </w:rPr>
          <w:t xml:space="preserve">[29]</w:t>
        </w:r>
      </w:hyperlink>
    </w:p>
    <w:p>
      <w:pPr>
        <w:pStyle w:val="BodyText"/>
      </w:pPr>
      <w:r>
        <w:rPr>
          <w:b/>
          <w:bCs/>
        </w:rPr>
        <w:t xml:space="preserve">Latin America.</w:t>
      </w:r>
      <w:r>
        <w:t xml:space="preserve"> </w:t>
      </w:r>
      <w:r>
        <w:t xml:space="preserve">This is one of the strongest regions for federated discovery. LA Referencia supports national repository systems across Latin America and Spain. Hemeroteca Digital Brasileira, Hemeroteca Nacional Digital de México, and Memoria Chilena each provide rich primary-source discovery for journals, newspapers, posters, graphics, and contextual exhibitions. Search first in Spanish or Portuguese, then add English only as a supplement.</w:t>
      </w:r>
      <w:r>
        <w:t xml:space="preserve"> </w:t>
      </w:r>
      <w:hyperlink r:id="rId49">
        <w:r>
          <w:rPr>
            <w:rStyle w:val="Hyperlink"/>
          </w:rPr>
          <w:t xml:space="preserve">[30]</w:t>
        </w:r>
      </w:hyperlink>
    </w:p>
    <w:p>
      <w:pPr>
        <w:pStyle w:val="BodyText"/>
      </w:pPr>
      <w:r>
        <w:rPr>
          <w:b/>
          <w:bCs/>
        </w:rPr>
        <w:t xml:space="preserve">Africa.</w:t>
      </w:r>
      <w:r>
        <w:t xml:space="preserve"> </w:t>
      </w:r>
      <w:r>
        <w:t xml:space="preserve">Discovery is often split between government archives, university repositories, liberation-history projects, and endangered-archives initiatives. South Africa’s NAAIRS is a finding aid rather than a full-text archive, which makes it valuable for existence proof and custodial tracing. DISA and the African Activist Archive are strong for movement graphics and political print culture. OpenUCT shows how university repositories can expose scholarly and special-collection pathways. Kenya’s National Archives is a direct national entry point, and the Endangered Archives Programme is often a crucial bridge for at-risk local collections.</w:t>
      </w:r>
      <w:r>
        <w:t xml:space="preserve"> </w:t>
      </w:r>
      <w:hyperlink r:id="rId50">
        <w:r>
          <w:rPr>
            <w:rStyle w:val="Hyperlink"/>
          </w:rPr>
          <w:t xml:space="preserve">[31]</w:t>
        </w:r>
      </w:hyperlink>
    </w:p>
    <w:p>
      <w:pPr>
        <w:pStyle w:val="BodyText"/>
      </w:pPr>
      <w:r>
        <w:rPr>
          <w:b/>
          <w:bCs/>
        </w:rPr>
        <w:t xml:space="preserve">Middle East and North Africa.</w:t>
      </w:r>
      <w:r>
        <w:t xml:space="preserve"> </w:t>
      </w:r>
      <w:r>
        <w:t xml:space="preserve">Search in Arabic, English, and often French. Qatar Digital Library is one of the largest open repositories for Gulf and wider Middle Eastern history. The Palestinian Museum Digital Archive is a major distributed and participatory archive. The National Library of Israel’s poster discovery area is especially relevant for graphic-design historians, and Bibliotheca Alexandrina provides digital collections and a dedicated digital library. The Arab Image Foundation is also significant, but not all of its collections are online; this is a useful reminder that an index should record serious offline or on-site leads too.</w:t>
      </w:r>
      <w:r>
        <w:t xml:space="preserve"> </w:t>
      </w:r>
      <w:hyperlink r:id="rId51">
        <w:r>
          <w:rPr>
            <w:rStyle w:val="Hyperlink"/>
          </w:rPr>
          <w:t xml:space="preserve">[32]</w:t>
        </w:r>
      </w:hyperlink>
    </w:p>
    <w:p>
      <w:pPr>
        <w:pStyle w:val="BodyText"/>
      </w:pPr>
      <w:r>
        <w:rPr>
          <w:b/>
          <w:bCs/>
        </w:rPr>
        <w:t xml:space="preserve">Eastern Europe.</w:t>
      </w:r>
      <w:r>
        <w:t xml:space="preserve"> </w:t>
      </w:r>
      <w:r>
        <w:t xml:space="preserve">Use ecosystem-specific infrastructure. Archives Portal Europe is a major cross-border discovery layer for archival descriptions. In the Czech and Slovak sphere, Kramerius is a particularly important software family because it supports newspapers, periodicals, graphics, maps, and born-digital content as well as OAI-PMH and IIIF, and its registry helps enumerate local installations. Poland’s Polona is another strong national digital library relevant to graphic ephemera and print culture.</w:t>
      </w:r>
      <w:r>
        <w:t xml:space="preserve"> </w:t>
      </w:r>
      <w:hyperlink r:id="rId52">
        <w:r>
          <w:rPr>
            <w:rStyle w:val="Hyperlink"/>
          </w:rPr>
          <w:t xml:space="preserve">[33]</w:t>
        </w:r>
      </w:hyperlink>
    </w:p>
    <w:p>
      <w:pPr>
        <w:pStyle w:val="BodyText"/>
      </w:pPr>
      <w:r>
        <w:rPr>
          <w:b/>
          <w:bCs/>
        </w:rPr>
        <w:t xml:space="preserve">Indigenous and transnational diaspora archives.</w:t>
      </w:r>
      <w:r>
        <w:t xml:space="preserve"> </w:t>
      </w:r>
      <w:r>
        <w:t xml:space="preserve">Do not treat these as generic “special collections.” They often require protocol-sensitive handling. Mukurtu was built for Indigenous communities’ cultural-heritage needs; Local Contexts provides TK and BC labels for culturally specific access and attribution; the Protocols for Native American Archival Materials and the CARE principles emphasize community authority, ethics, and control. For diaspora discovery, strong examples include SAADA, Black Cultural Archives, Densho, the African Activist Archive, and the Arab Image Foundation. These are especially important for tracing graphic design outside nation-state narratives, including migrant print cultures, solidarity posters, community newsletters, and movement ephemera.</w:t>
      </w:r>
      <w:r>
        <w:t xml:space="preserve"> </w:t>
      </w:r>
      <w:hyperlink r:id="rId53">
        <w:r>
          <w:rPr>
            <w:rStyle w:val="Hyperlink"/>
          </w:rPr>
          <w:t xml:space="preserve">[34]</w:t>
        </w:r>
      </w:hyperlink>
    </w:p>
    <w:bookmarkEnd w:id="54"/>
    <w:bookmarkStart w:id="58" w:name="risks-ethical-issues-and-rights-cautions"/>
    <w:p>
      <w:pPr>
        <w:pStyle w:val="Heading2"/>
      </w:pPr>
      <w:r>
        <w:t xml:space="preserve">Risks, ethical issues, and rights cautions</w:t>
      </w:r>
    </w:p>
    <w:p>
      <w:pPr>
        <w:pStyle w:val="FirstParagraph"/>
      </w:pPr>
      <w:r>
        <w:t xml:space="preserve">A rights-aware index must separate</w:t>
      </w:r>
      <w:r>
        <w:t xml:space="preserve"> </w:t>
      </w:r>
      <w:r>
        <w:rPr>
          <w:b/>
          <w:bCs/>
        </w:rPr>
        <w:t xml:space="preserve">discovery</w:t>
      </w:r>
      <w:r>
        <w:t xml:space="preserve">,</w:t>
      </w:r>
      <w:r>
        <w:t xml:space="preserve"> </w:t>
      </w:r>
      <w:r>
        <w:rPr>
          <w:b/>
          <w:bCs/>
        </w:rPr>
        <w:t xml:space="preserve">description</w:t>
      </w:r>
      <w:r>
        <w:t xml:space="preserve">, and</w:t>
      </w:r>
      <w:r>
        <w:t xml:space="preserve"> </w:t>
      </w:r>
      <w:r>
        <w:rPr>
          <w:b/>
          <w:bCs/>
        </w:rPr>
        <w:t xml:space="preserve">reuse</w:t>
      </w:r>
      <w:r>
        <w:t xml:space="preserve">. Discovering a source does not mean the archive can ingest or republish its images. RightsStatements.org provides standardized statements for copyright and reuse status; Creative Commons licenses provide standardized permissions where the rightsholder has granted them. The index should store rights as structured metadata and keep the source institution as the source of record whenever possible.</w:t>
      </w:r>
      <w:r>
        <w:t xml:space="preserve"> </w:t>
      </w:r>
      <w:hyperlink r:id="rId35">
        <w:r>
          <w:rPr>
            <w:rStyle w:val="Hyperlink"/>
          </w:rPr>
          <w:t xml:space="preserve">[15]</w:t>
        </w:r>
      </w:hyperlink>
    </w:p>
    <w:p>
      <w:pPr>
        <w:pStyle w:val="BodyText"/>
      </w:pPr>
      <w:r>
        <w:t xml:space="preserve">Metadata rights and object rights may differ. NDL Search explicitly documents provider-level metadata licenses and requires source crediting where needed. DigitalNZ likewise frames itself as a metadata-and-pointer layer rather than a copy holder. For this project, that means the safest default is: capture metadata, preserve outbound links, record rights status, and avoid full-resolution mirroring unless permission is explicit.</w:t>
      </w:r>
      <w:r>
        <w:t xml:space="preserve"> </w:t>
      </w:r>
      <w:hyperlink r:id="rId55">
        <w:r>
          <w:rPr>
            <w:rStyle w:val="Hyperlink"/>
          </w:rPr>
          <w:t xml:space="preserve">[35]</w:t>
        </w:r>
      </w:hyperlink>
    </w:p>
    <w:p>
      <w:pPr>
        <w:pStyle w:val="BodyText"/>
      </w:pPr>
      <w:r>
        <w:t xml:space="preserve">Indigenous and community archives require an additional layer of caution beyond copyright. Local Contexts labels, the CARE principles, and the Protocols for Native American Archival Materials all emphasize that community rules, collective interests, and culturally appropriate access may matter even when conventional copyright analysis suggests openness. A rights-aware design-history index should therefore store community protocols and sensitivity notes as first-class metadata, not as optional comments.</w:t>
      </w:r>
      <w:r>
        <w:t xml:space="preserve"> </w:t>
      </w:r>
      <w:hyperlink r:id="rId56">
        <w:r>
          <w:rPr>
            <w:rStyle w:val="Hyperlink"/>
          </w:rPr>
          <w:t xml:space="preserve">[36]</w:t>
        </w:r>
      </w:hyperlink>
    </w:p>
    <w:p>
      <w:pPr>
        <w:pStyle w:val="BodyText"/>
      </w:pPr>
      <w:r>
        <w:t xml:space="preserve">Born-digital rescue also carries caution. Web archives, WACZ files, and Memento-style replay preserve evidence of fragile sites, but they do not erase copyright, cultural sensitivity, or privacy concerns. Use them to document provenance, broken links, and historical state, not as a blanket justification for republication. The Library of Congress has also noted that preserving broken links themselves can be valuable metadata because they lead researchers toward archived versions and document disappearance.</w:t>
      </w:r>
      <w:r>
        <w:t xml:space="preserve"> </w:t>
      </w:r>
      <w:hyperlink r:id="rId57">
        <w:r>
          <w:rPr>
            <w:rStyle w:val="Hyperlink"/>
          </w:rPr>
          <w:t xml:space="preserve">[37]</w:t>
        </w:r>
      </w:hyperlink>
    </w:p>
    <w:bookmarkEnd w:id="58"/>
    <w:bookmarkStart w:id="62" w:name="promising-source-directions"/>
    <w:p>
      <w:pPr>
        <w:pStyle w:val="Heading2"/>
      </w:pPr>
      <w:r>
        <w:t xml:space="preserve">Promising source directions</w:t>
      </w:r>
    </w:p>
    <w:p>
      <w:pPr>
        <w:pStyle w:val="FirstParagraph"/>
      </w:pPr>
      <w:r>
        <w:t xml:space="preserve">The most promising directions, in priority order, are these.</w:t>
      </w:r>
    </w:p>
    <w:p>
      <w:pPr>
        <w:pStyle w:val="Compact"/>
        <w:numPr>
          <w:ilvl w:val="0"/>
          <w:numId w:val="1003"/>
        </w:numPr>
      </w:pPr>
      <w:r>
        <w:rPr>
          <w:b/>
          <w:bCs/>
        </w:rPr>
        <w:t xml:space="preserve">High priority — Newspapers, magazines, and OCR portals.</w:t>
      </w:r>
      <w:r>
        <w:t xml:space="preserve"> </w:t>
      </w:r>
      <w:r>
        <w:t xml:space="preserve">These are unusually rich for graphic design history because advertisements, mastheads, exhibition announcements, publisher identities, and print ecologies appear there even when “design” is not separately cataloged. Start with national and regional newspaper portals such as NewspaperSG, Hemeroteca Digital Brasileira, HNDM, Trove, Chronicling America, and Gallica.</w:t>
      </w:r>
      <w:r>
        <w:t xml:space="preserve"> </w:t>
      </w:r>
      <w:hyperlink r:id="rId47">
        <w:r>
          <w:rPr>
            <w:rStyle w:val="Hyperlink"/>
          </w:rPr>
          <w:t xml:space="preserve">[38]</w:t>
        </w:r>
      </w:hyperlink>
    </w:p>
    <w:p>
      <w:pPr>
        <w:pStyle w:val="Compact"/>
        <w:numPr>
          <w:ilvl w:val="0"/>
          <w:numId w:val="1003"/>
        </w:numPr>
      </w:pPr>
      <w:r>
        <w:rPr>
          <w:b/>
          <w:bCs/>
        </w:rPr>
        <w:t xml:space="preserve">High priority — University repositories and special-collections systems.</w:t>
      </w:r>
      <w:r>
        <w:t xml:space="preserve"> </w:t>
      </w:r>
      <w:r>
        <w:t xml:space="preserve">DSpace, Omeka, ArchivesSpace/EAD, and CONTENTdm are the most scalable families for finding theses, special collections, digitized ephemera, and hidden institutional history. Use OpenDOAR, OAIster, and software fingerprints to find them.</w:t>
      </w:r>
      <w:r>
        <w:t xml:space="preserve"> </w:t>
      </w:r>
      <w:hyperlink r:id="rId24">
        <w:r>
          <w:rPr>
            <w:rStyle w:val="Hyperlink"/>
          </w:rPr>
          <w:t xml:space="preserve">[39]</w:t>
        </w:r>
      </w:hyperlink>
    </w:p>
    <w:p>
      <w:pPr>
        <w:pStyle w:val="Compact"/>
        <w:numPr>
          <w:ilvl w:val="0"/>
          <w:numId w:val="1003"/>
        </w:numPr>
      </w:pPr>
      <w:r>
        <w:rPr>
          <w:b/>
          <w:bCs/>
        </w:rPr>
        <w:t xml:space="preserve">High priority — Community, activist, diaspora, and identity-based archives.</w:t>
      </w:r>
      <w:r>
        <w:t xml:space="preserve"> </w:t>
      </w:r>
      <w:r>
        <w:t xml:space="preserve">These are disproportionately likely to contain posters, flyers, newsletters, stickers, banners, zines, and movement graphics absent from canonical museum collections. Focus on CAHG-style directories, Interference Archive, Freedom Archives, African Activist Archive, SAADA, Black Cultural Archives, Densho, and comparable regional projects.</w:t>
      </w:r>
      <w:r>
        <w:t xml:space="preserve"> </w:t>
      </w:r>
      <w:hyperlink r:id="rId59">
        <w:r>
          <w:rPr>
            <w:rStyle w:val="Hyperlink"/>
          </w:rPr>
          <w:t xml:space="preserve">[40]</w:t>
        </w:r>
      </w:hyperlink>
    </w:p>
    <w:p>
      <w:pPr>
        <w:pStyle w:val="Compact"/>
        <w:numPr>
          <w:ilvl w:val="0"/>
          <w:numId w:val="1003"/>
        </w:numPr>
      </w:pPr>
      <w:r>
        <w:rPr>
          <w:b/>
          <w:bCs/>
        </w:rPr>
        <w:t xml:space="preserve">High priority — Municipal, government, and local-history portals.</w:t>
      </w:r>
      <w:r>
        <w:t xml:space="preserve"> </w:t>
      </w:r>
      <w:r>
        <w:t xml:space="preserve">These often capture vernacular signage, civic campaigns, public-information graphics, local festivals, and municipal printing histories. Search city archives, local cultural services, and government heritage domains directly rather than relying on museum APIs. Hong Kong Memory, Singapore Archives Online, and national archive portals illustrate the pattern.</w:t>
      </w:r>
      <w:r>
        <w:t xml:space="preserve"> </w:t>
      </w:r>
      <w:hyperlink r:id="rId60">
        <w:r>
          <w:rPr>
            <w:rStyle w:val="Hyperlink"/>
          </w:rPr>
          <w:t xml:space="preserve">[41]</w:t>
        </w:r>
      </w:hyperlink>
    </w:p>
    <w:p>
      <w:pPr>
        <w:pStyle w:val="Compact"/>
        <w:numPr>
          <w:ilvl w:val="0"/>
          <w:numId w:val="1003"/>
        </w:numPr>
      </w:pPr>
      <w:r>
        <w:rPr>
          <w:b/>
          <w:bCs/>
        </w:rPr>
        <w:t xml:space="preserve">Medium priority — Poster and film-related documentation centers.</w:t>
      </w:r>
      <w:r>
        <w:t xml:space="preserve"> </w:t>
      </w:r>
      <w:r>
        <w:t xml:space="preserve">These are highly relevant to graphic design but often sit outside art-museum structures. Useful directions include national-library poster collections, the National Library of Israel posters portal, CINEMATEK’s poster collections, and comparable national film or documentation centers.</w:t>
      </w:r>
      <w:r>
        <w:t xml:space="preserve"> </w:t>
      </w:r>
      <w:hyperlink r:id="rId61">
        <w:r>
          <w:rPr>
            <w:rStyle w:val="Hyperlink"/>
          </w:rPr>
          <w:t xml:space="preserve">[42]</w:t>
        </w:r>
      </w:hyperlink>
    </w:p>
    <w:p>
      <w:pPr>
        <w:pStyle w:val="Compact"/>
        <w:numPr>
          <w:ilvl w:val="0"/>
          <w:numId w:val="1003"/>
        </w:numPr>
      </w:pPr>
      <w:r>
        <w:rPr>
          <w:b/>
          <w:bCs/>
        </w:rPr>
        <w:t xml:space="preserve">Medium priority — National and regional federators.</w:t>
      </w:r>
      <w:r>
        <w:t xml:space="preserve"> </w:t>
      </w:r>
      <w:r>
        <w:t xml:space="preserve">LA Referencia, Japan Search, NDL Search, OAK, Archives Portal Europe, ArchiveGrid, and the Kramerius registry are not the final sources, but they are excellent routing layers into local institutions.</w:t>
      </w:r>
      <w:r>
        <w:t xml:space="preserve"> </w:t>
      </w:r>
      <w:hyperlink r:id="rId49">
        <w:r>
          <w:rPr>
            <w:rStyle w:val="Hyperlink"/>
          </w:rPr>
          <w:t xml:space="preserve">[43]</w:t>
        </w:r>
      </w:hyperlink>
    </w:p>
    <w:p>
      <w:pPr>
        <w:pStyle w:val="Compact"/>
        <w:numPr>
          <w:ilvl w:val="0"/>
          <w:numId w:val="1003"/>
        </w:numPr>
      </w:pPr>
      <w:r>
        <w:rPr>
          <w:b/>
          <w:bCs/>
        </w:rPr>
        <w:t xml:space="preserve">Medium priority — Web archives of defunct design ecosystems.</w:t>
      </w:r>
      <w:r>
        <w:t xml:space="preserve"> </w:t>
      </w:r>
      <w:r>
        <w:t xml:space="preserve">Prioritize vanished studios, festivals, school programs, activist campaigns, independent magazines, and municipal graphic identity sites, especially where the live site is broken or redesigned. Wayback CDX, Memento, WACZ, and Conifer are the key families here.</w:t>
      </w:r>
      <w:r>
        <w:t xml:space="preserve"> </w:t>
      </w:r>
      <w:hyperlink r:id="rId27">
        <w:r>
          <w:rPr>
            <w:rStyle w:val="Hyperlink"/>
          </w:rPr>
          <w:t xml:space="preserve">[44]</w:t>
        </w:r>
      </w:hyperlink>
    </w:p>
    <w:p>
      <w:pPr>
        <w:pStyle w:val="Compact"/>
        <w:numPr>
          <w:ilvl w:val="0"/>
          <w:numId w:val="1003"/>
        </w:numPr>
      </w:pPr>
      <w:r>
        <w:rPr>
          <w:b/>
          <w:bCs/>
        </w:rPr>
        <w:t xml:space="preserve">Lower priority but useful as lead generation — Blogs, portfolios, commercial inspiration sites, and social reposts.</w:t>
      </w:r>
      <w:r>
        <w:t xml:space="preserve"> </w:t>
      </w:r>
      <w:r>
        <w:t xml:space="preserve">These should be mined for names, titles, and reverse-image clues, but not treated as archival authorities unless they point back to a verifiable custodian with collection context and rights information.</w:t>
      </w:r>
      <w:r>
        <w:t xml:space="preserve"> </w:t>
      </w:r>
      <w:hyperlink r:id="rId38">
        <w:r>
          <w:rPr>
            <w:rStyle w:val="Hyperlink"/>
          </w:rPr>
          <w:t xml:space="preserve">[45]</w:t>
        </w:r>
      </w:hyperlink>
    </w:p>
    <w:bookmarkEnd w:id="62"/>
    <w:bookmarkStart w:id="63" w:name="open-questions-and-limitations"/>
    <w:p>
      <w:pPr>
        <w:pStyle w:val="Heading2"/>
      </w:pPr>
      <w:r>
        <w:t xml:space="preserve">Open questions and limitations</w:t>
      </w:r>
    </w:p>
    <w:p>
      <w:pPr>
        <w:pStyle w:val="FirstParagraph"/>
      </w:pPr>
      <w:r>
        <w:t xml:space="preserve">This research supports a strong methodology, but there are limits. The regional examples above are</w:t>
      </w:r>
      <w:r>
        <w:t xml:space="preserve"> </w:t>
      </w:r>
      <w:r>
        <w:rPr>
          <w:b/>
          <w:bCs/>
        </w:rPr>
        <w:t xml:space="preserve">illustrative, not exhaustive</w:t>
      </w:r>
      <w:r>
        <w:t xml:space="preserve">, and some regions—especially parts of Africa, Southeast Asia, and South Asia—have uneven digitization and weaker public registries, so discovery will depend heavily on multilingual web search, personal and institutional networks, and web-archival rescue. Some locally important collections also remain offline or accessible only on-site, as the Arab Image Foundation explicitly notes. That absence should not be treated as a negative result; it should be logged as a verified lead with access conditions.</w:t>
      </w:r>
      <w:r>
        <w:t xml:space="preserve"> </w:t>
      </w:r>
      <w:hyperlink r:id="rId36">
        <w:r>
          <w:rPr>
            <w:rStyle w:val="Hyperlink"/>
          </w:rPr>
          <w:t xml:space="preserve">[46]</w:t>
        </w:r>
      </w:hyperlink>
    </w:p>
    <w:bookmarkEnd w:id="63"/>
    <w:bookmarkEnd w:id="64"/>
    <w:bookmarkEnd w:id="65"/>
    <w:p>
      <w:r>
        <w:pict>
          <v:rect style="width:0;height:1.5pt" o:hralign="center" o:hrstd="t" o:hr="t"/>
        </w:pict>
      </w:r>
    </w:p>
    <w:bookmarkStart w:id="66" w:name="citations"/>
    <w:p>
      <w:pPr>
        <w:pStyle w:val="FirstParagraph"/>
      </w:pPr>
      <w:hyperlink r:id="rId21">
        <w:r>
          <w:rPr>
            <w:rStyle w:val="Hyperlink"/>
          </w:rPr>
          <w:t xml:space="preserve">[1]</w:t>
        </w:r>
      </w:hyperlink>
      <w:r>
        <w:t xml:space="preserve"> </w:t>
      </w:r>
      <w:r>
        <w:t xml:space="preserve">Api Docs v3</w:t>
      </w:r>
    </w:p>
    <w:p>
      <w:pPr>
        <w:pStyle w:val="BodyText"/>
      </w:pPr>
      <w:hyperlink r:id="rId21">
        <w:r>
          <w:rPr>
            <w:rStyle w:val="Hyperlink"/>
          </w:rPr>
          <w:t xml:space="preserve">https://digitalnz.org/developers/api-docs-v3?utm_source=chatgpt.com</w:t>
        </w:r>
      </w:hyperlink>
    </w:p>
    <w:p>
      <w:pPr>
        <w:pStyle w:val="BodyText"/>
      </w:pPr>
      <w:hyperlink r:id="rId22">
        <w:r>
          <w:rPr>
            <w:rStyle w:val="Hyperlink"/>
          </w:rPr>
          <w:t xml:space="preserve">[2]</w:t>
        </w:r>
      </w:hyperlink>
      <w:r>
        <w:t xml:space="preserve"> </w:t>
      </w:r>
      <w:hyperlink r:id="rId22">
        <w:r>
          <w:rPr>
            <w:rStyle w:val="Hyperlink"/>
          </w:rPr>
          <w:t xml:space="preserve">[10]</w:t>
        </w:r>
      </w:hyperlink>
      <w:r>
        <w:t xml:space="preserve"> </w:t>
      </w:r>
      <w:r>
        <w:t xml:space="preserve">https://dictionary.archivists.org/entry/community-archives.html</w:t>
      </w:r>
    </w:p>
    <w:p>
      <w:pPr>
        <w:pStyle w:val="BodyText"/>
      </w:pPr>
      <w:hyperlink r:id="rId22">
        <w:r>
          <w:rPr>
            <w:rStyle w:val="Hyperlink"/>
          </w:rPr>
          <w:t xml:space="preserve">https://dictionary.archivists.org/entry/community-archives.html</w:t>
        </w:r>
      </w:hyperlink>
    </w:p>
    <w:p>
      <w:pPr>
        <w:pStyle w:val="BodyText"/>
      </w:pPr>
      <w:hyperlink r:id="rId24">
        <w:r>
          <w:rPr>
            <w:rStyle w:val="Hyperlink"/>
          </w:rPr>
          <w:t xml:space="preserve">[3]</w:t>
        </w:r>
      </w:hyperlink>
      <w:r>
        <w:t xml:space="preserve"> </w:t>
      </w:r>
      <w:hyperlink r:id="rId24">
        <w:r>
          <w:rPr>
            <w:rStyle w:val="Hyperlink"/>
          </w:rPr>
          <w:t xml:space="preserve">[39]</w:t>
        </w:r>
      </w:hyperlink>
      <w:r>
        <w:t xml:space="preserve"> </w:t>
      </w:r>
      <w:r>
        <w:t xml:space="preserve">https://opendoar.ac.uk/</w:t>
      </w:r>
    </w:p>
    <w:p>
      <w:pPr>
        <w:pStyle w:val="BodyText"/>
      </w:pPr>
      <w:hyperlink r:id="rId24">
        <w:r>
          <w:rPr>
            <w:rStyle w:val="Hyperlink"/>
          </w:rPr>
          <w:t xml:space="preserve">https://opendoar.ac.uk/</w:t>
        </w:r>
      </w:hyperlink>
    </w:p>
    <w:p>
      <w:pPr>
        <w:pStyle w:val="BodyText"/>
      </w:pPr>
      <w:hyperlink r:id="rId25">
        <w:r>
          <w:rPr>
            <w:rStyle w:val="Hyperlink"/>
          </w:rPr>
          <w:t xml:space="preserve">[4]</w:t>
        </w:r>
      </w:hyperlink>
      <w:r>
        <w:t xml:space="preserve"> </w:t>
      </w:r>
      <w:hyperlink r:id="rId25">
        <w:r>
          <w:rPr>
            <w:rStyle w:val="Hyperlink"/>
          </w:rPr>
          <w:t xml:space="preserve">[20]</w:t>
        </w:r>
      </w:hyperlink>
      <w:r>
        <w:t xml:space="preserve"> </w:t>
      </w:r>
      <w:r>
        <w:t xml:space="preserve">https://www.openarchives.org/pmh/</w:t>
      </w:r>
    </w:p>
    <w:p>
      <w:pPr>
        <w:pStyle w:val="BodyText"/>
      </w:pPr>
      <w:hyperlink r:id="rId25">
        <w:r>
          <w:rPr>
            <w:rStyle w:val="Hyperlink"/>
          </w:rPr>
          <w:t xml:space="preserve">https://www.openarchives.org/pmh/</w:t>
        </w:r>
      </w:hyperlink>
    </w:p>
    <w:p>
      <w:pPr>
        <w:pStyle w:val="BodyText"/>
      </w:pPr>
      <w:hyperlink r:id="rId26">
        <w:r>
          <w:rPr>
            <w:rStyle w:val="Hyperlink"/>
          </w:rPr>
          <w:t xml:space="preserve">[5]</w:t>
        </w:r>
      </w:hyperlink>
      <w:r>
        <w:t xml:space="preserve"> </w:t>
      </w:r>
      <w:hyperlink r:id="rId26">
        <w:r>
          <w:rPr>
            <w:rStyle w:val="Hyperlink"/>
          </w:rPr>
          <w:t xml:space="preserve">[26]</w:t>
        </w:r>
      </w:hyperlink>
      <w:r>
        <w:t xml:space="preserve"> </w:t>
      </w:r>
      <w:r>
        <w:t xml:space="preserve">https://www.archivesportaleurope.net/advanced-search/search-in-archives/</w:t>
      </w:r>
    </w:p>
    <w:p>
      <w:pPr>
        <w:pStyle w:val="BodyText"/>
      </w:pPr>
      <w:hyperlink r:id="rId26">
        <w:r>
          <w:rPr>
            <w:rStyle w:val="Hyperlink"/>
          </w:rPr>
          <w:t xml:space="preserve">https://www.archivesportaleurope.net/advanced-search/search-in-archives/</w:t>
        </w:r>
      </w:hyperlink>
    </w:p>
    <w:p>
      <w:pPr>
        <w:pStyle w:val="BodyText"/>
      </w:pPr>
      <w:hyperlink r:id="rId27">
        <w:r>
          <w:rPr>
            <w:rStyle w:val="Hyperlink"/>
          </w:rPr>
          <w:t xml:space="preserve">[6]</w:t>
        </w:r>
      </w:hyperlink>
      <w:r>
        <w:t xml:space="preserve"> </w:t>
      </w:r>
      <w:hyperlink r:id="rId27">
        <w:r>
          <w:rPr>
            <w:rStyle w:val="Hyperlink"/>
          </w:rPr>
          <w:t xml:space="preserve">[11]</w:t>
        </w:r>
      </w:hyperlink>
      <w:r>
        <w:t xml:space="preserve"> </w:t>
      </w:r>
      <w:hyperlink r:id="rId27">
        <w:r>
          <w:rPr>
            <w:rStyle w:val="Hyperlink"/>
          </w:rPr>
          <w:t xml:space="preserve">[44]</w:t>
        </w:r>
      </w:hyperlink>
      <w:r>
        <w:t xml:space="preserve"> </w:t>
      </w:r>
      <w:r>
        <w:t xml:space="preserve">Wayback Machine APIs</w:t>
      </w:r>
    </w:p>
    <w:p>
      <w:pPr>
        <w:pStyle w:val="BodyText"/>
      </w:pPr>
      <w:hyperlink r:id="rId27">
        <w:r>
          <w:rPr>
            <w:rStyle w:val="Hyperlink"/>
          </w:rPr>
          <w:t xml:space="preserve">https://archive.org/help/wayback_api.php?utm_source=chatgpt.com</w:t>
        </w:r>
      </w:hyperlink>
    </w:p>
    <w:p>
      <w:pPr>
        <w:pStyle w:val="BodyText"/>
      </w:pPr>
      <w:hyperlink r:id="rId29">
        <w:r>
          <w:rPr>
            <w:rStyle w:val="Hyperlink"/>
          </w:rPr>
          <w:t xml:space="preserve">[7]</w:t>
        </w:r>
      </w:hyperlink>
      <w:r>
        <w:t xml:space="preserve"> </w:t>
      </w:r>
      <w:hyperlink r:id="rId29">
        <w:r>
          <w:rPr>
            <w:rStyle w:val="Hyperlink"/>
          </w:rPr>
          <w:t xml:space="preserve">[24]</w:t>
        </w:r>
      </w:hyperlink>
      <w:r>
        <w:t xml:space="preserve"> </w:t>
      </w:r>
      <w:r>
        <w:t xml:space="preserve">Using the API | Trove - National Library of Australia</w:t>
      </w:r>
    </w:p>
    <w:p>
      <w:pPr>
        <w:pStyle w:val="BodyText"/>
      </w:pPr>
      <w:hyperlink r:id="rId29">
        <w:r>
          <w:rPr>
            <w:rStyle w:val="Hyperlink"/>
          </w:rPr>
          <w:t xml:space="preserve">https://trove.nla.gov.au/about/create-something/using-api?utm_source=chatgpt.com</w:t>
        </w:r>
      </w:hyperlink>
    </w:p>
    <w:p>
      <w:pPr>
        <w:pStyle w:val="BodyText"/>
      </w:pPr>
      <w:hyperlink r:id="rId30">
        <w:r>
          <w:rPr>
            <w:rStyle w:val="Hyperlink"/>
          </w:rPr>
          <w:t xml:space="preserve">[8]</w:t>
        </w:r>
      </w:hyperlink>
      <w:r>
        <w:t xml:space="preserve"> </w:t>
      </w:r>
      <w:r>
        <w:t xml:space="preserve">https://shodhganga.inflibnet.ac.in/advanced-search</w:t>
      </w:r>
    </w:p>
    <w:p>
      <w:pPr>
        <w:pStyle w:val="BodyText"/>
      </w:pPr>
      <w:hyperlink r:id="rId30">
        <w:r>
          <w:rPr>
            <w:rStyle w:val="Hyperlink"/>
          </w:rPr>
          <w:t xml:space="preserve">https://shodhganga.inflibnet.ac.in/advanced-search</w:t>
        </w:r>
      </w:hyperlink>
    </w:p>
    <w:p>
      <w:pPr>
        <w:pStyle w:val="BodyText"/>
      </w:pPr>
      <w:hyperlink r:id="rId31">
        <w:r>
          <w:rPr>
            <w:rStyle w:val="Hyperlink"/>
          </w:rPr>
          <w:t xml:space="preserve">[9]</w:t>
        </w:r>
      </w:hyperlink>
      <w:r>
        <w:t xml:space="preserve"> </w:t>
      </w:r>
      <w:hyperlink r:id="rId31">
        <w:r>
          <w:rPr>
            <w:rStyle w:val="Hyperlink"/>
          </w:rPr>
          <w:t xml:space="preserve">[12]</w:t>
        </w:r>
      </w:hyperlink>
      <w:r>
        <w:t xml:space="preserve"> </w:t>
      </w:r>
      <w:r>
        <w:t xml:space="preserve">https://www.oclc.org/research/areas/research-collections/archivegrid.html</w:t>
      </w:r>
    </w:p>
    <w:p>
      <w:pPr>
        <w:pStyle w:val="BodyText"/>
      </w:pPr>
      <w:hyperlink r:id="rId31">
        <w:r>
          <w:rPr>
            <w:rStyle w:val="Hyperlink"/>
          </w:rPr>
          <w:t xml:space="preserve">https://www.oclc.org/research/areas/research-collections/archivegrid.html</w:t>
        </w:r>
      </w:hyperlink>
    </w:p>
    <w:p>
      <w:pPr>
        <w:pStyle w:val="BodyText"/>
      </w:pPr>
      <w:hyperlink r:id="rId33">
        <w:r>
          <w:rPr>
            <w:rStyle w:val="Hyperlink"/>
          </w:rPr>
          <w:t xml:space="preserve">[13]</w:t>
        </w:r>
      </w:hyperlink>
      <w:r>
        <w:t xml:space="preserve"> </w:t>
      </w:r>
      <w:r>
        <w:t xml:space="preserve">About EAD</w:t>
      </w:r>
    </w:p>
    <w:p>
      <w:pPr>
        <w:pStyle w:val="BodyText"/>
      </w:pPr>
      <w:hyperlink r:id="rId33">
        <w:r>
          <w:rPr>
            <w:rStyle w:val="Hyperlink"/>
          </w:rPr>
          <w:t xml:space="preserve">https://www.loc.gov/ead/eadabout.html?utm_source=chatgpt.com</w:t>
        </w:r>
      </w:hyperlink>
    </w:p>
    <w:p>
      <w:pPr>
        <w:pStyle w:val="BodyText"/>
      </w:pPr>
      <w:hyperlink r:id="rId34">
        <w:r>
          <w:rPr>
            <w:rStyle w:val="Hyperlink"/>
          </w:rPr>
          <w:t xml:space="preserve">[14]</w:t>
        </w:r>
      </w:hyperlink>
      <w:r>
        <w:t xml:space="preserve"> </w:t>
      </w:r>
      <w:r>
        <w:t xml:space="preserve">https://shodhganga.inflibnet.ac.in/handle/10603/123021</w:t>
      </w:r>
    </w:p>
    <w:p>
      <w:pPr>
        <w:pStyle w:val="BodyText"/>
      </w:pPr>
      <w:hyperlink r:id="rId34">
        <w:r>
          <w:rPr>
            <w:rStyle w:val="Hyperlink"/>
          </w:rPr>
          <w:t xml:space="preserve">https://shodhganga.inflibnet.ac.in/handle/10603/123021</w:t>
        </w:r>
      </w:hyperlink>
    </w:p>
    <w:p>
      <w:pPr>
        <w:pStyle w:val="BodyText"/>
      </w:pPr>
      <w:hyperlink r:id="rId35">
        <w:r>
          <w:rPr>
            <w:rStyle w:val="Hyperlink"/>
          </w:rPr>
          <w:t xml:space="preserve">[15]</w:t>
        </w:r>
      </w:hyperlink>
      <w:r>
        <w:t xml:space="preserve"> </w:t>
      </w:r>
      <w:r>
        <w:t xml:space="preserve">https://rightsstatements.org/en/documentation/</w:t>
      </w:r>
    </w:p>
    <w:p>
      <w:pPr>
        <w:pStyle w:val="BodyText"/>
      </w:pPr>
      <w:hyperlink r:id="rId35">
        <w:r>
          <w:rPr>
            <w:rStyle w:val="Hyperlink"/>
          </w:rPr>
          <w:t xml:space="preserve">https://rightsstatements.org/en/documentation/</w:t>
        </w:r>
      </w:hyperlink>
    </w:p>
    <w:p>
      <w:pPr>
        <w:pStyle w:val="BodyText"/>
      </w:pPr>
      <w:hyperlink r:id="rId36">
        <w:r>
          <w:rPr>
            <w:rStyle w:val="Hyperlink"/>
          </w:rPr>
          <w:t xml:space="preserve">[16]</w:t>
        </w:r>
      </w:hyperlink>
      <w:r>
        <w:t xml:space="preserve"> </w:t>
      </w:r>
      <w:hyperlink r:id="rId36">
        <w:r>
          <w:rPr>
            <w:rStyle w:val="Hyperlink"/>
          </w:rPr>
          <w:t xml:space="preserve">[46]</w:t>
        </w:r>
      </w:hyperlink>
      <w:r>
        <w:t xml:space="preserve"> </w:t>
      </w:r>
      <w:r>
        <w:t xml:space="preserve">https://arabimagefoundation.org/collections</w:t>
      </w:r>
    </w:p>
    <w:p>
      <w:pPr>
        <w:pStyle w:val="BodyText"/>
      </w:pPr>
      <w:hyperlink r:id="rId36">
        <w:r>
          <w:rPr>
            <w:rStyle w:val="Hyperlink"/>
          </w:rPr>
          <w:t xml:space="preserve">https://arabimagefoundation.org/collections</w:t>
        </w:r>
      </w:hyperlink>
    </w:p>
    <w:p>
      <w:pPr>
        <w:pStyle w:val="BodyText"/>
      </w:pPr>
      <w:hyperlink r:id="rId37">
        <w:r>
          <w:rPr>
            <w:rStyle w:val="Hyperlink"/>
          </w:rPr>
          <w:t xml:space="preserve">[17]</w:t>
        </w:r>
      </w:hyperlink>
      <w:r>
        <w:t xml:space="preserve"> </w:t>
      </w:r>
      <w:r>
        <w:t xml:space="preserve">https://www.saada.org/explore/archive</w:t>
      </w:r>
    </w:p>
    <w:p>
      <w:pPr>
        <w:pStyle w:val="BodyText"/>
      </w:pPr>
      <w:hyperlink r:id="rId37">
        <w:r>
          <w:rPr>
            <w:rStyle w:val="Hyperlink"/>
          </w:rPr>
          <w:t xml:space="preserve">https://www.saada.org/explore/archive</w:t>
        </w:r>
      </w:hyperlink>
    </w:p>
    <w:p>
      <w:pPr>
        <w:pStyle w:val="BodyText"/>
      </w:pPr>
      <w:hyperlink r:id="rId38">
        <w:r>
          <w:rPr>
            <w:rStyle w:val="Hyperlink"/>
          </w:rPr>
          <w:t xml:space="preserve">[18]</w:t>
        </w:r>
      </w:hyperlink>
      <w:r>
        <w:t xml:space="preserve"> </w:t>
      </w:r>
      <w:hyperlink r:id="rId38">
        <w:r>
          <w:rPr>
            <w:rStyle w:val="Hyperlink"/>
          </w:rPr>
          <w:t xml:space="preserve">[45]</w:t>
        </w:r>
      </w:hyperlink>
      <w:r>
        <w:t xml:space="preserve"> </w:t>
      </w:r>
      <w:r>
        <w:t xml:space="preserve">https://opendoar.ac.uk/help/inclusion-criteria</w:t>
      </w:r>
    </w:p>
    <w:p>
      <w:pPr>
        <w:pStyle w:val="BodyText"/>
      </w:pPr>
      <w:hyperlink r:id="rId38">
        <w:r>
          <w:rPr>
            <w:rStyle w:val="Hyperlink"/>
          </w:rPr>
          <w:t xml:space="preserve">https://opendoar.ac.uk/help/inclusion-criteria</w:t>
        </w:r>
      </w:hyperlink>
    </w:p>
    <w:p>
      <w:pPr>
        <w:pStyle w:val="BodyText"/>
      </w:pPr>
      <w:hyperlink r:id="rId39">
        <w:r>
          <w:rPr>
            <w:rStyle w:val="Hyperlink"/>
          </w:rPr>
          <w:t xml:space="preserve">[19]</w:t>
        </w:r>
      </w:hyperlink>
      <w:r>
        <w:t xml:space="preserve"> </w:t>
      </w:r>
      <w:r>
        <w:t xml:space="preserve">https://www.equator-network.org/reporting-guidelines/prisma-s/</w:t>
      </w:r>
    </w:p>
    <w:p>
      <w:pPr>
        <w:pStyle w:val="BodyText"/>
      </w:pPr>
      <w:hyperlink r:id="rId39">
        <w:r>
          <w:rPr>
            <w:rStyle w:val="Hyperlink"/>
          </w:rPr>
          <w:t xml:space="preserve">https://www.equator-network.org/reporting-guidelines/prisma-s/</w:t>
        </w:r>
      </w:hyperlink>
    </w:p>
    <w:p>
      <w:pPr>
        <w:pStyle w:val="BodyText"/>
      </w:pPr>
      <w:hyperlink r:id="rId41">
        <w:r>
          <w:rPr>
            <w:rStyle w:val="Hyperlink"/>
          </w:rPr>
          <w:t xml:space="preserve">[21]</w:t>
        </w:r>
      </w:hyperlink>
      <w:r>
        <w:t xml:space="preserve"> </w:t>
      </w:r>
      <w:r>
        <w:t xml:space="preserve">https://iiif.io/api/image/3.0/</w:t>
      </w:r>
    </w:p>
    <w:p>
      <w:pPr>
        <w:pStyle w:val="BodyText"/>
      </w:pPr>
      <w:hyperlink r:id="rId41">
        <w:r>
          <w:rPr>
            <w:rStyle w:val="Hyperlink"/>
          </w:rPr>
          <w:t xml:space="preserve">https://iiif.io/api/image/3.0/</w:t>
        </w:r>
      </w:hyperlink>
    </w:p>
    <w:p>
      <w:pPr>
        <w:pStyle w:val="BodyText"/>
      </w:pPr>
      <w:hyperlink r:id="rId42">
        <w:r>
          <w:rPr>
            <w:rStyle w:val="Hyperlink"/>
          </w:rPr>
          <w:t xml:space="preserve">[22]</w:t>
        </w:r>
      </w:hyperlink>
      <w:r>
        <w:t xml:space="preserve"> </w:t>
      </w:r>
      <w:r>
        <w:t xml:space="preserve">REST API - Omeka S Developer Documentation</w:t>
      </w:r>
    </w:p>
    <w:p>
      <w:pPr>
        <w:pStyle w:val="BodyText"/>
      </w:pPr>
      <w:hyperlink r:id="rId42">
        <w:r>
          <w:rPr>
            <w:rStyle w:val="Hyperlink"/>
          </w:rPr>
          <w:t xml:space="preserve">https://omeka.org/s/docs/developer/api/rest_api/?utm_source=chatgpt.com</w:t>
        </w:r>
      </w:hyperlink>
    </w:p>
    <w:p>
      <w:pPr>
        <w:pStyle w:val="BodyText"/>
      </w:pPr>
      <w:hyperlink r:id="rId43">
        <w:r>
          <w:rPr>
            <w:rStyle w:val="Hyperlink"/>
          </w:rPr>
          <w:t xml:space="preserve">[23]</w:t>
        </w:r>
      </w:hyperlink>
      <w:r>
        <w:t xml:space="preserve"> </w:t>
      </w:r>
      <w:r>
        <w:t xml:space="preserve">https://github.com/DSpace-Labs/DSpace-7x</w:t>
      </w:r>
    </w:p>
    <w:p>
      <w:pPr>
        <w:pStyle w:val="BodyText"/>
      </w:pPr>
      <w:hyperlink r:id="rId43">
        <w:r>
          <w:rPr>
            <w:rStyle w:val="Hyperlink"/>
          </w:rPr>
          <w:t xml:space="preserve">https://github.com/DSpace-Labs/DSpace-7x</w:t>
        </w:r>
      </w:hyperlink>
    </w:p>
    <w:p>
      <w:pPr>
        <w:pStyle w:val="BodyText"/>
      </w:pPr>
      <w:hyperlink r:id="rId44">
        <w:r>
          <w:rPr>
            <w:rStyle w:val="Hyperlink"/>
          </w:rPr>
          <w:t xml:space="preserve">[25]</w:t>
        </w:r>
      </w:hyperlink>
      <w:r>
        <w:t xml:space="preserve"> </w:t>
      </w:r>
      <w:r>
        <w:t xml:space="preserve">sitemaps.org - Protocol</w:t>
      </w:r>
    </w:p>
    <w:p>
      <w:pPr>
        <w:pStyle w:val="BodyText"/>
      </w:pPr>
      <w:hyperlink r:id="rId44">
        <w:r>
          <w:rPr>
            <w:rStyle w:val="Hyperlink"/>
          </w:rPr>
          <w:t xml:space="preserve">https://www.sitemaps.org/protocol.html?utm_source=chatgpt.com</w:t>
        </w:r>
      </w:hyperlink>
    </w:p>
    <w:p>
      <w:pPr>
        <w:pStyle w:val="BodyText"/>
      </w:pPr>
      <w:hyperlink r:id="rId46">
        <w:r>
          <w:rPr>
            <w:rStyle w:val="Hyperlink"/>
          </w:rPr>
          <w:t xml:space="preserve">[27]</w:t>
        </w:r>
      </w:hyperlink>
      <w:r>
        <w:t xml:space="preserve"> </w:t>
      </w:r>
      <w:r>
        <w:t xml:space="preserve">https://jpsearch.go.jp/en/about</w:t>
      </w:r>
    </w:p>
    <w:p>
      <w:pPr>
        <w:pStyle w:val="BodyText"/>
      </w:pPr>
      <w:hyperlink r:id="rId46">
        <w:r>
          <w:rPr>
            <w:rStyle w:val="Hyperlink"/>
          </w:rPr>
          <w:t xml:space="preserve">https://jpsearch.go.jp/en/about</w:t>
        </w:r>
      </w:hyperlink>
    </w:p>
    <w:p>
      <w:pPr>
        <w:pStyle w:val="BodyText"/>
      </w:pPr>
      <w:hyperlink r:id="rId47">
        <w:r>
          <w:rPr>
            <w:rStyle w:val="Hyperlink"/>
          </w:rPr>
          <w:t xml:space="preserve">[28]</w:t>
        </w:r>
      </w:hyperlink>
      <w:r>
        <w:t xml:space="preserve"> </w:t>
      </w:r>
      <w:hyperlink r:id="rId47">
        <w:r>
          <w:rPr>
            <w:rStyle w:val="Hyperlink"/>
          </w:rPr>
          <w:t xml:space="preserve">[38]</w:t>
        </w:r>
      </w:hyperlink>
      <w:r>
        <w:t xml:space="preserve"> </w:t>
      </w:r>
      <w:r>
        <w:t xml:space="preserve">https://eresources.nlb.gov.sg/newspapers/</w:t>
      </w:r>
    </w:p>
    <w:p>
      <w:pPr>
        <w:pStyle w:val="BodyText"/>
      </w:pPr>
      <w:hyperlink r:id="rId47">
        <w:r>
          <w:rPr>
            <w:rStyle w:val="Hyperlink"/>
          </w:rPr>
          <w:t xml:space="preserve">https://eresources.nlb.gov.sg/newspapers/</w:t>
        </w:r>
      </w:hyperlink>
    </w:p>
    <w:p>
      <w:pPr>
        <w:pStyle w:val="BodyText"/>
      </w:pPr>
      <w:hyperlink r:id="rId48">
        <w:r>
          <w:rPr>
            <w:rStyle w:val="Hyperlink"/>
          </w:rPr>
          <w:t xml:space="preserve">[29]</w:t>
        </w:r>
      </w:hyperlink>
      <w:r>
        <w:t xml:space="preserve"> </w:t>
      </w:r>
      <w:r>
        <w:t xml:space="preserve">https://shodhganga.inflibnet.ac.in/</w:t>
      </w:r>
    </w:p>
    <w:p>
      <w:pPr>
        <w:pStyle w:val="BodyText"/>
      </w:pPr>
      <w:hyperlink r:id="rId48">
        <w:r>
          <w:rPr>
            <w:rStyle w:val="Hyperlink"/>
          </w:rPr>
          <w:t xml:space="preserve">https://shodhganga.inflibnet.ac.in/</w:t>
        </w:r>
      </w:hyperlink>
    </w:p>
    <w:p>
      <w:pPr>
        <w:pStyle w:val="BodyText"/>
      </w:pPr>
      <w:hyperlink r:id="rId49">
        <w:r>
          <w:rPr>
            <w:rStyle w:val="Hyperlink"/>
          </w:rPr>
          <w:t xml:space="preserve">[30]</w:t>
        </w:r>
      </w:hyperlink>
      <w:r>
        <w:t xml:space="preserve"> </w:t>
      </w:r>
      <w:hyperlink r:id="rId49">
        <w:r>
          <w:rPr>
            <w:rStyle w:val="Hyperlink"/>
          </w:rPr>
          <w:t xml:space="preserve">[43]</w:t>
        </w:r>
      </w:hyperlink>
      <w:r>
        <w:t xml:space="preserve"> </w:t>
      </w:r>
      <w:r>
        <w:t xml:space="preserve">https://www.lareferencia.info/en/</w:t>
      </w:r>
    </w:p>
    <w:p>
      <w:pPr>
        <w:pStyle w:val="BodyText"/>
      </w:pPr>
      <w:hyperlink r:id="rId49">
        <w:r>
          <w:rPr>
            <w:rStyle w:val="Hyperlink"/>
          </w:rPr>
          <w:t xml:space="preserve">https://www.lareferencia.info/en/</w:t>
        </w:r>
      </w:hyperlink>
    </w:p>
    <w:p>
      <w:pPr>
        <w:pStyle w:val="BodyText"/>
      </w:pPr>
      <w:hyperlink r:id="rId50">
        <w:r>
          <w:rPr>
            <w:rStyle w:val="Hyperlink"/>
          </w:rPr>
          <w:t xml:space="preserve">[31]</w:t>
        </w:r>
      </w:hyperlink>
      <w:r>
        <w:t xml:space="preserve"> </w:t>
      </w:r>
      <w:r>
        <w:t xml:space="preserve">https://www.nationalarchives.gov.za/node/737</w:t>
      </w:r>
    </w:p>
    <w:p>
      <w:pPr>
        <w:pStyle w:val="BodyText"/>
      </w:pPr>
      <w:hyperlink r:id="rId50">
        <w:r>
          <w:rPr>
            <w:rStyle w:val="Hyperlink"/>
          </w:rPr>
          <w:t xml:space="preserve">https://www.nationalarchives.gov.za/node/737</w:t>
        </w:r>
      </w:hyperlink>
    </w:p>
    <w:p>
      <w:pPr>
        <w:pStyle w:val="BodyText"/>
      </w:pPr>
      <w:hyperlink r:id="rId51">
        <w:r>
          <w:rPr>
            <w:rStyle w:val="Hyperlink"/>
          </w:rPr>
          <w:t xml:space="preserve">[32]</w:t>
        </w:r>
      </w:hyperlink>
      <w:r>
        <w:t xml:space="preserve"> </w:t>
      </w:r>
      <w:r>
        <w:t xml:space="preserve">https://www.qdl.qa/en/about</w:t>
      </w:r>
    </w:p>
    <w:p>
      <w:pPr>
        <w:pStyle w:val="BodyText"/>
      </w:pPr>
      <w:hyperlink r:id="rId51">
        <w:r>
          <w:rPr>
            <w:rStyle w:val="Hyperlink"/>
          </w:rPr>
          <w:t xml:space="preserve">https://www.qdl.qa/en/about</w:t>
        </w:r>
      </w:hyperlink>
    </w:p>
    <w:p>
      <w:pPr>
        <w:pStyle w:val="BodyText"/>
      </w:pPr>
      <w:hyperlink r:id="rId52">
        <w:r>
          <w:rPr>
            <w:rStyle w:val="Hyperlink"/>
          </w:rPr>
          <w:t xml:space="preserve">[33]</w:t>
        </w:r>
      </w:hyperlink>
      <w:r>
        <w:t xml:space="preserve"> </w:t>
      </w:r>
      <w:r>
        <w:t xml:space="preserve">https://www.archivesportaleurope.net/</w:t>
      </w:r>
    </w:p>
    <w:p>
      <w:pPr>
        <w:pStyle w:val="BodyText"/>
      </w:pPr>
      <w:hyperlink r:id="rId52">
        <w:r>
          <w:rPr>
            <w:rStyle w:val="Hyperlink"/>
          </w:rPr>
          <w:t xml:space="preserve">https://www.archivesportaleurope.net/</w:t>
        </w:r>
      </w:hyperlink>
    </w:p>
    <w:p>
      <w:pPr>
        <w:pStyle w:val="BodyText"/>
      </w:pPr>
      <w:hyperlink r:id="rId53">
        <w:r>
          <w:rPr>
            <w:rStyle w:val="Hyperlink"/>
          </w:rPr>
          <w:t xml:space="preserve">[34]</w:t>
        </w:r>
      </w:hyperlink>
      <w:r>
        <w:t xml:space="preserve"> </w:t>
      </w:r>
      <w:r>
        <w:t xml:space="preserve">https://mukurtu-australia.libraries.wsu.edu/mukurtu-cms</w:t>
      </w:r>
    </w:p>
    <w:p>
      <w:pPr>
        <w:pStyle w:val="BodyText"/>
      </w:pPr>
      <w:hyperlink r:id="rId53">
        <w:r>
          <w:rPr>
            <w:rStyle w:val="Hyperlink"/>
          </w:rPr>
          <w:t xml:space="preserve">https://mukurtu-australia.libraries.wsu.edu/mukurtu-cms</w:t>
        </w:r>
      </w:hyperlink>
    </w:p>
    <w:p>
      <w:pPr>
        <w:pStyle w:val="BodyText"/>
      </w:pPr>
      <w:hyperlink r:id="rId55">
        <w:r>
          <w:rPr>
            <w:rStyle w:val="Hyperlink"/>
          </w:rPr>
          <w:t xml:space="preserve">[35]</w:t>
        </w:r>
      </w:hyperlink>
      <w:r>
        <w:t xml:space="preserve"> </w:t>
      </w:r>
      <w:r>
        <w:t xml:space="preserve">https://ndlsearch.ndl.go.jp/en/help/api/provider</w:t>
      </w:r>
    </w:p>
    <w:p>
      <w:pPr>
        <w:pStyle w:val="BodyText"/>
      </w:pPr>
      <w:hyperlink r:id="rId55">
        <w:r>
          <w:rPr>
            <w:rStyle w:val="Hyperlink"/>
          </w:rPr>
          <w:t xml:space="preserve">https://ndlsearch.ndl.go.jp/en/help/api/provider</w:t>
        </w:r>
      </w:hyperlink>
    </w:p>
    <w:p>
      <w:pPr>
        <w:pStyle w:val="BodyText"/>
      </w:pPr>
      <w:hyperlink r:id="rId56">
        <w:r>
          <w:rPr>
            <w:rStyle w:val="Hyperlink"/>
          </w:rPr>
          <w:t xml:space="preserve">[36]</w:t>
        </w:r>
      </w:hyperlink>
      <w:r>
        <w:t xml:space="preserve"> </w:t>
      </w:r>
      <w:r>
        <w:t xml:space="preserve">https://localcontexts.org/labels/traditional-knowledge-labels/</w:t>
      </w:r>
    </w:p>
    <w:p>
      <w:pPr>
        <w:pStyle w:val="BodyText"/>
      </w:pPr>
      <w:hyperlink r:id="rId56">
        <w:r>
          <w:rPr>
            <w:rStyle w:val="Hyperlink"/>
          </w:rPr>
          <w:t xml:space="preserve">https://localcontexts.org/labels/traditional-knowledge-labels/</w:t>
        </w:r>
      </w:hyperlink>
    </w:p>
    <w:p>
      <w:pPr>
        <w:pStyle w:val="BodyText"/>
      </w:pPr>
      <w:hyperlink r:id="rId57">
        <w:r>
          <w:rPr>
            <w:rStyle w:val="Hyperlink"/>
          </w:rPr>
          <w:t xml:space="preserve">[37]</w:t>
        </w:r>
      </w:hyperlink>
      <w:r>
        <w:t xml:space="preserve"> </w:t>
      </w:r>
      <w:r>
        <w:t xml:space="preserve">RFC 7089 - HTTP Framework for Time-Based Access to ...</w:t>
      </w:r>
    </w:p>
    <w:p>
      <w:pPr>
        <w:pStyle w:val="BodyText"/>
      </w:pPr>
      <w:hyperlink r:id="rId57">
        <w:r>
          <w:rPr>
            <w:rStyle w:val="Hyperlink"/>
          </w:rPr>
          <w:t xml:space="preserve">https://datatracker.ietf.org/doc/html/rfc7089?utm_source=chatgpt.com</w:t>
        </w:r>
      </w:hyperlink>
    </w:p>
    <w:p>
      <w:pPr>
        <w:pStyle w:val="BodyText"/>
      </w:pPr>
      <w:hyperlink r:id="rId59">
        <w:r>
          <w:rPr>
            <w:rStyle w:val="Hyperlink"/>
          </w:rPr>
          <w:t xml:space="preserve">[40]</w:t>
        </w:r>
      </w:hyperlink>
      <w:r>
        <w:t xml:space="preserve"> </w:t>
      </w:r>
      <w:r>
        <w:t xml:space="preserve">https://www.communityarchives.org.uk/archives</w:t>
      </w:r>
    </w:p>
    <w:p>
      <w:pPr>
        <w:pStyle w:val="BodyText"/>
      </w:pPr>
      <w:hyperlink r:id="rId59">
        <w:r>
          <w:rPr>
            <w:rStyle w:val="Hyperlink"/>
          </w:rPr>
          <w:t xml:space="preserve">https://www.communityarchives.org.uk/archives</w:t>
        </w:r>
      </w:hyperlink>
    </w:p>
    <w:p>
      <w:pPr>
        <w:pStyle w:val="BodyText"/>
      </w:pPr>
      <w:hyperlink r:id="rId60">
        <w:r>
          <w:rPr>
            <w:rStyle w:val="Hyperlink"/>
          </w:rPr>
          <w:t xml:space="preserve">[41]</w:t>
        </w:r>
      </w:hyperlink>
      <w:r>
        <w:t xml:space="preserve"> </w:t>
      </w:r>
      <w:r>
        <w:t xml:space="preserve">https://www.hkmemory.hk/en/about_hk_memory_item.html</w:t>
      </w:r>
    </w:p>
    <w:p>
      <w:pPr>
        <w:pStyle w:val="BodyText"/>
      </w:pPr>
      <w:hyperlink r:id="rId60">
        <w:r>
          <w:rPr>
            <w:rStyle w:val="Hyperlink"/>
          </w:rPr>
          <w:t xml:space="preserve">https://www.hkmemory.hk/en/about_hk_memory_item.html</w:t>
        </w:r>
      </w:hyperlink>
    </w:p>
    <w:p>
      <w:pPr>
        <w:pStyle w:val="BodyText"/>
      </w:pPr>
      <w:hyperlink r:id="rId61">
        <w:r>
          <w:rPr>
            <w:rStyle w:val="Hyperlink"/>
          </w:rPr>
          <w:t xml:space="preserve">[42]</w:t>
        </w:r>
      </w:hyperlink>
      <w:r>
        <w:t xml:space="preserve"> </w:t>
      </w:r>
      <w:r>
        <w:t xml:space="preserve">https://www.nli.org.il/en/discover/posters</w:t>
      </w:r>
    </w:p>
    <w:p>
      <w:pPr>
        <w:pStyle w:val="BodyText"/>
      </w:pPr>
      <w:hyperlink r:id="rId61">
        <w:r>
          <w:rPr>
            <w:rStyle w:val="Hyperlink"/>
          </w:rPr>
          <w:t xml:space="preserve">https://www.nli.org.il/en/discover/posters</w:t>
        </w:r>
      </w:hyperlink>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https://arabimagefoundation.org/collections" TargetMode="External" /><Relationship Type="http://schemas.openxmlformats.org/officeDocument/2006/relationships/hyperlink" Id="rId27" Target="https://archive.org/help/wayback_api.php?utm_source=chatgpt.com" TargetMode="External" /><Relationship Type="http://schemas.openxmlformats.org/officeDocument/2006/relationships/hyperlink" Id="rId57" Target="https://datatracker.ietf.org/doc/html/rfc7089?utm_source=chatgpt.com" TargetMode="External" /><Relationship Type="http://schemas.openxmlformats.org/officeDocument/2006/relationships/hyperlink" Id="rId22" Target="https://dictionary.archivists.org/entry/community-archives.html" TargetMode="External" /><Relationship Type="http://schemas.openxmlformats.org/officeDocument/2006/relationships/hyperlink" Id="rId21" Target="https://digitalnz.org/developers/api-docs-v3?utm_source=chatgpt.com" TargetMode="External" /><Relationship Type="http://schemas.openxmlformats.org/officeDocument/2006/relationships/hyperlink" Id="rId47" Target="https://eresources.nlb.gov.sg/newspapers/" TargetMode="External" /><Relationship Type="http://schemas.openxmlformats.org/officeDocument/2006/relationships/hyperlink" Id="rId43" Target="https://github.com/DSpace-Labs/DSpace-7x" TargetMode="External" /><Relationship Type="http://schemas.openxmlformats.org/officeDocument/2006/relationships/hyperlink" Id="rId41" Target="https://iiif.io/api/image/3.0/" TargetMode="External" /><Relationship Type="http://schemas.openxmlformats.org/officeDocument/2006/relationships/hyperlink" Id="rId46" Target="https://jpsearch.go.jp/en/about" TargetMode="External" /><Relationship Type="http://schemas.openxmlformats.org/officeDocument/2006/relationships/hyperlink" Id="rId56" Target="https://localcontexts.org/labels/traditional-knowledge-labels/" TargetMode="External" /><Relationship Type="http://schemas.openxmlformats.org/officeDocument/2006/relationships/hyperlink" Id="rId53" Target="https://mukurtu-australia.libraries.wsu.edu/mukurtu-cms" TargetMode="External" /><Relationship Type="http://schemas.openxmlformats.org/officeDocument/2006/relationships/hyperlink" Id="rId55" Target="https://ndlsearch.ndl.go.jp/en/help/api/provider" TargetMode="External" /><Relationship Type="http://schemas.openxmlformats.org/officeDocument/2006/relationships/hyperlink" Id="rId42" Target="https://omeka.org/s/docs/developer/api/rest_api/?utm_source=chatgpt.com" TargetMode="External" /><Relationship Type="http://schemas.openxmlformats.org/officeDocument/2006/relationships/hyperlink" Id="rId24" Target="https://opendoar.ac.uk/" TargetMode="External" /><Relationship Type="http://schemas.openxmlformats.org/officeDocument/2006/relationships/hyperlink" Id="rId38" Target="https://opendoar.ac.uk/help/inclusion-criteria" TargetMode="External" /><Relationship Type="http://schemas.openxmlformats.org/officeDocument/2006/relationships/hyperlink" Id="rId35" Target="https://rightsstatements.org/en/documentation/" TargetMode="External" /><Relationship Type="http://schemas.openxmlformats.org/officeDocument/2006/relationships/hyperlink" Id="rId48" Target="https://shodhganga.inflibnet.ac.in/" TargetMode="External" /><Relationship Type="http://schemas.openxmlformats.org/officeDocument/2006/relationships/hyperlink" Id="rId30" Target="https://shodhganga.inflibnet.ac.in/advanced-search" TargetMode="External" /><Relationship Type="http://schemas.openxmlformats.org/officeDocument/2006/relationships/hyperlink" Id="rId34" Target="https://shodhganga.inflibnet.ac.in/handle/10603/123021" TargetMode="External" /><Relationship Type="http://schemas.openxmlformats.org/officeDocument/2006/relationships/hyperlink" Id="rId29" Target="https://trove.nla.gov.au/about/create-something/using-api?utm_source=chatgpt.com" TargetMode="External" /><Relationship Type="http://schemas.openxmlformats.org/officeDocument/2006/relationships/hyperlink" Id="rId52" Target="https://www.archivesportaleurope.net/" TargetMode="External" /><Relationship Type="http://schemas.openxmlformats.org/officeDocument/2006/relationships/hyperlink" Id="rId26" Target="https://www.archivesportaleurope.net/advanced-search/search-in-archives/" TargetMode="External" /><Relationship Type="http://schemas.openxmlformats.org/officeDocument/2006/relationships/hyperlink" Id="rId59" Target="https://www.communityarchives.org.uk/archives" TargetMode="External" /><Relationship Type="http://schemas.openxmlformats.org/officeDocument/2006/relationships/hyperlink" Id="rId39" Target="https://www.equator-network.org/reporting-guidelines/prisma-s/" TargetMode="External" /><Relationship Type="http://schemas.openxmlformats.org/officeDocument/2006/relationships/hyperlink" Id="rId60" Target="https://www.hkmemory.hk/en/about_hk_memory_item.html" TargetMode="External" /><Relationship Type="http://schemas.openxmlformats.org/officeDocument/2006/relationships/hyperlink" Id="rId49" Target="https://www.lareferencia.info/en/" TargetMode="External" /><Relationship Type="http://schemas.openxmlformats.org/officeDocument/2006/relationships/hyperlink" Id="rId33" Target="https://www.loc.gov/ead/eadabout.html?utm_source=chatgpt.com" TargetMode="External" /><Relationship Type="http://schemas.openxmlformats.org/officeDocument/2006/relationships/hyperlink" Id="rId50" Target="https://www.nationalarchives.gov.za/node/737" TargetMode="External" /><Relationship Type="http://schemas.openxmlformats.org/officeDocument/2006/relationships/hyperlink" Id="rId61" Target="https://www.nli.org.il/en/discover/posters" TargetMode="External" /><Relationship Type="http://schemas.openxmlformats.org/officeDocument/2006/relationships/hyperlink" Id="rId31" Target="https://www.oclc.org/research/areas/research-collections/archivegrid.html" TargetMode="External" /><Relationship Type="http://schemas.openxmlformats.org/officeDocument/2006/relationships/hyperlink" Id="rId25" Target="https://www.openarchives.org/pmh/" TargetMode="External" /><Relationship Type="http://schemas.openxmlformats.org/officeDocument/2006/relationships/hyperlink" Id="rId51" Target="https://www.qdl.qa/en/about" TargetMode="External" /><Relationship Type="http://schemas.openxmlformats.org/officeDocument/2006/relationships/hyperlink" Id="rId37" Target="https://www.saada.org/explore/archive" TargetMode="External" /><Relationship Type="http://schemas.openxmlformats.org/officeDocument/2006/relationships/hyperlink" Id="rId44" Target="https://www.sitemaps.org/protocol.html?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36" Target="https://arabimagefoundation.org/collections" TargetMode="External" /><Relationship Type="http://schemas.openxmlformats.org/officeDocument/2006/relationships/hyperlink" Id="rId27" Target="https://archive.org/help/wayback_api.php?utm_source=chatgpt.com" TargetMode="External" /><Relationship Type="http://schemas.openxmlformats.org/officeDocument/2006/relationships/hyperlink" Id="rId57" Target="https://datatracker.ietf.org/doc/html/rfc7089?utm_source=chatgpt.com" TargetMode="External" /><Relationship Type="http://schemas.openxmlformats.org/officeDocument/2006/relationships/hyperlink" Id="rId22" Target="https://dictionary.archivists.org/entry/community-archives.html" TargetMode="External" /><Relationship Type="http://schemas.openxmlformats.org/officeDocument/2006/relationships/hyperlink" Id="rId21" Target="https://digitalnz.org/developers/api-docs-v3?utm_source=chatgpt.com" TargetMode="External" /><Relationship Type="http://schemas.openxmlformats.org/officeDocument/2006/relationships/hyperlink" Id="rId47" Target="https://eresources.nlb.gov.sg/newspapers/" TargetMode="External" /><Relationship Type="http://schemas.openxmlformats.org/officeDocument/2006/relationships/hyperlink" Id="rId43" Target="https://github.com/DSpace-Labs/DSpace-7x" TargetMode="External" /><Relationship Type="http://schemas.openxmlformats.org/officeDocument/2006/relationships/hyperlink" Id="rId41" Target="https://iiif.io/api/image/3.0/" TargetMode="External" /><Relationship Type="http://schemas.openxmlformats.org/officeDocument/2006/relationships/hyperlink" Id="rId46" Target="https://jpsearch.go.jp/en/about" TargetMode="External" /><Relationship Type="http://schemas.openxmlformats.org/officeDocument/2006/relationships/hyperlink" Id="rId56" Target="https://localcontexts.org/labels/traditional-knowledge-labels/" TargetMode="External" /><Relationship Type="http://schemas.openxmlformats.org/officeDocument/2006/relationships/hyperlink" Id="rId53" Target="https://mukurtu-australia.libraries.wsu.edu/mukurtu-cms" TargetMode="External" /><Relationship Type="http://schemas.openxmlformats.org/officeDocument/2006/relationships/hyperlink" Id="rId55" Target="https://ndlsearch.ndl.go.jp/en/help/api/provider" TargetMode="External" /><Relationship Type="http://schemas.openxmlformats.org/officeDocument/2006/relationships/hyperlink" Id="rId42" Target="https://omeka.org/s/docs/developer/api/rest_api/?utm_source=chatgpt.com" TargetMode="External" /><Relationship Type="http://schemas.openxmlformats.org/officeDocument/2006/relationships/hyperlink" Id="rId24" Target="https://opendoar.ac.uk/" TargetMode="External" /><Relationship Type="http://schemas.openxmlformats.org/officeDocument/2006/relationships/hyperlink" Id="rId38" Target="https://opendoar.ac.uk/help/inclusion-criteria" TargetMode="External" /><Relationship Type="http://schemas.openxmlformats.org/officeDocument/2006/relationships/hyperlink" Id="rId35" Target="https://rightsstatements.org/en/documentation/" TargetMode="External" /><Relationship Type="http://schemas.openxmlformats.org/officeDocument/2006/relationships/hyperlink" Id="rId48" Target="https://shodhganga.inflibnet.ac.in/" TargetMode="External" /><Relationship Type="http://schemas.openxmlformats.org/officeDocument/2006/relationships/hyperlink" Id="rId30" Target="https://shodhganga.inflibnet.ac.in/advanced-search" TargetMode="External" /><Relationship Type="http://schemas.openxmlformats.org/officeDocument/2006/relationships/hyperlink" Id="rId34" Target="https://shodhganga.inflibnet.ac.in/handle/10603/123021" TargetMode="External" /><Relationship Type="http://schemas.openxmlformats.org/officeDocument/2006/relationships/hyperlink" Id="rId29" Target="https://trove.nla.gov.au/about/create-something/using-api?utm_source=chatgpt.com" TargetMode="External" /><Relationship Type="http://schemas.openxmlformats.org/officeDocument/2006/relationships/hyperlink" Id="rId52" Target="https://www.archivesportaleurope.net/" TargetMode="External" /><Relationship Type="http://schemas.openxmlformats.org/officeDocument/2006/relationships/hyperlink" Id="rId26" Target="https://www.archivesportaleurope.net/advanced-search/search-in-archives/" TargetMode="External" /><Relationship Type="http://schemas.openxmlformats.org/officeDocument/2006/relationships/hyperlink" Id="rId59" Target="https://www.communityarchives.org.uk/archives" TargetMode="External" /><Relationship Type="http://schemas.openxmlformats.org/officeDocument/2006/relationships/hyperlink" Id="rId39" Target="https://www.equator-network.org/reporting-guidelines/prisma-s/" TargetMode="External" /><Relationship Type="http://schemas.openxmlformats.org/officeDocument/2006/relationships/hyperlink" Id="rId60" Target="https://www.hkmemory.hk/en/about_hk_memory_item.html" TargetMode="External" /><Relationship Type="http://schemas.openxmlformats.org/officeDocument/2006/relationships/hyperlink" Id="rId49" Target="https://www.lareferencia.info/en/" TargetMode="External" /><Relationship Type="http://schemas.openxmlformats.org/officeDocument/2006/relationships/hyperlink" Id="rId33" Target="https://www.loc.gov/ead/eadabout.html?utm_source=chatgpt.com" TargetMode="External" /><Relationship Type="http://schemas.openxmlformats.org/officeDocument/2006/relationships/hyperlink" Id="rId50" Target="https://www.nationalarchives.gov.za/node/737" TargetMode="External" /><Relationship Type="http://schemas.openxmlformats.org/officeDocument/2006/relationships/hyperlink" Id="rId61" Target="https://www.nli.org.il/en/discover/posters" TargetMode="External" /><Relationship Type="http://schemas.openxmlformats.org/officeDocument/2006/relationships/hyperlink" Id="rId31" Target="https://www.oclc.org/research/areas/research-collections/archivegrid.html" TargetMode="External" /><Relationship Type="http://schemas.openxmlformats.org/officeDocument/2006/relationships/hyperlink" Id="rId25" Target="https://www.openarchives.org/pmh/" TargetMode="External" /><Relationship Type="http://schemas.openxmlformats.org/officeDocument/2006/relationships/hyperlink" Id="rId51" Target="https://www.qdl.qa/en/about" TargetMode="External" /><Relationship Type="http://schemas.openxmlformats.org/officeDocument/2006/relationships/hyperlink" Id="rId37" Target="https://www.saada.org/explore/archive" TargetMode="External" /><Relationship Type="http://schemas.openxmlformats.org/officeDocument/2006/relationships/hyperlink" Id="rId44" Target="https://www.sitemaps.org/protocol.html?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2026-06-01T12:24:40Z</dcterms:created>
  <dcterms:modified xsi:type="dcterms:W3CDTF">2026-06-01T12:24:40Z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