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166917aedd1d90569ed1d6216e07e961dae4783"/>
    <w:p>
      <w:pPr>
        <w:pStyle w:val="Heading1"/>
      </w:pPr>
      <w:r>
        <w:t xml:space="preserve">Rights-Aware Visual Evidence Standard for a Graphic Design Archive Index</w:t>
      </w:r>
    </w:p>
    <w:bookmarkStart w:id="25" w:name="what-current-benchmarks-suggest"/>
    <w:p>
      <w:pPr>
        <w:pStyle w:val="Heading2"/>
      </w:pPr>
      <w:r>
        <w:t xml:space="preserve">What current benchmarks suggest</w:t>
      </w:r>
    </w:p>
    <w:p>
      <w:pPr>
        <w:pStyle w:val="FirstParagraph"/>
      </w:pPr>
      <w:r>
        <w:t xml:space="preserve">Across major museum, library, design, and community archives, there is no single dominant image model. Public object pages commonly mix several modes at once: a primary image, a small group of additional views, zoom tools, IIIF reuse or viewer links, thumbnail-only display for restricted items, and source-return links back to the owning institution. Harvard Art Museums pairs a collection record with deep zoom, downloadable media, a citation tool, and “Reuse via IIIF,” while the Library of Congress explicitly states that many records have one or more digital images, some only display as thumbnails offsite because of rights, and some items are not digitized at all. Europeana and DPLA likewise normalize a preview-plus-provider-link pattern rather than promising locally hosted, publication-grade images for every record.</w:t>
      </w:r>
      <w:r>
        <w:t xml:space="preserve"> </w:t>
      </w:r>
      <w:hyperlink r:id="rId21">
        <w:r>
          <w:rPr>
            <w:rStyle w:val="Hyperlink"/>
          </w:rPr>
          <w:t xml:space="preserve">[1]</w:t>
        </w:r>
      </w:hyperlink>
    </w:p>
    <w:p>
      <w:pPr>
        <w:pStyle w:val="BodyText"/>
      </w:pPr>
      <w:r>
        <w:t xml:space="preserve">This means a healthy standard for a</w:t>
      </w:r>
      <w:r>
        <w:t xml:space="preserve"> </w:t>
      </w:r>
      <w:r>
        <w:rPr>
          <w:b/>
          <w:bCs/>
        </w:rPr>
        <w:t xml:space="preserve">public archive index of graphic design history</w:t>
      </w:r>
      <w:r>
        <w:t xml:space="preserve"> </w:t>
      </w:r>
      <w:r>
        <w:t xml:space="preserve">is not “every record has an openly downloadable image.” A healthier and more realistic goal is layered coverage: most records should be at least</w:t>
      </w:r>
      <w:r>
        <w:t xml:space="preserve"> </w:t>
      </w:r>
      <w:r>
        <w:rPr>
          <w:b/>
          <w:bCs/>
        </w:rPr>
        <w:t xml:space="preserve">source-visible</w:t>
      </w:r>
      <w:r>
        <w:t xml:space="preserve"> </w:t>
      </w:r>
      <w:r>
        <w:t xml:space="preserve">or explicitly</w:t>
      </w:r>
      <w:r>
        <w:t xml:space="preserve"> </w:t>
      </w:r>
      <w:r>
        <w:rPr>
          <w:b/>
          <w:bCs/>
        </w:rPr>
        <w:t xml:space="preserve">image-unavailable with explanation</w:t>
      </w:r>
      <w:r>
        <w:t xml:space="preserve">; a substantial subset should be</w:t>
      </w:r>
      <w:r>
        <w:t xml:space="preserve"> </w:t>
      </w:r>
      <w:r>
        <w:rPr>
          <w:b/>
          <w:bCs/>
        </w:rPr>
        <w:t xml:space="preserve">publication-grade</w:t>
      </w:r>
      <w:r>
        <w:t xml:space="preserve">; and every visible image should carry a rights/display condition close to the image itself. That conclusion is strongly supported by the fact that even very well-funded institutions still have incomplete digitization or rights limitations: the Smithsonian says only a prioritized subset of its holdings is targeted for digitization and only part of that subset has been digitized, MoMA says more than 106,000 works are online from a collection of almost 200,000, and The Met explains that some works have no images because of copyright, privacy, donor restrictions, or because quality photography is not yet available.</w:t>
      </w:r>
      <w:r>
        <w:t xml:space="preserve"> </w:t>
      </w:r>
      <w:hyperlink r:id="rId22">
        <w:r>
          <w:rPr>
            <w:rStyle w:val="Hyperlink"/>
          </w:rPr>
          <w:t xml:space="preserve">[2]</w:t>
        </w:r>
      </w:hyperlink>
    </w:p>
    <w:p>
      <w:pPr>
        <w:pStyle w:val="BodyText"/>
      </w:pPr>
      <w:r>
        <w:t xml:space="preserve">The most useful benchmark for “how many images belong on a single record” is also mixed rather than maximal. Fonts In Use defines a single entry as a design project documented by</w:t>
      </w:r>
      <w:r>
        <w:t xml:space="preserve"> </w:t>
      </w:r>
      <w:r>
        <w:rPr>
          <w:b/>
          <w:bCs/>
        </w:rPr>
        <w:t xml:space="preserve">one or more images</w:t>
      </w:r>
      <w:r>
        <w:t xml:space="preserve"> </w:t>
      </w:r>
      <w:r>
        <w:t xml:space="preserve">and recommends</w:t>
      </w:r>
      <w:r>
        <w:t xml:space="preserve"> </w:t>
      </w:r>
      <w:r>
        <w:rPr>
          <w:b/>
          <w:bCs/>
        </w:rPr>
        <w:t xml:space="preserve">up to six images</w:t>
      </w:r>
      <w:r>
        <w:t xml:space="preserve">, with more only when needed to show scope; Harvard’s object pages use a primary image plus a small set of alternates; PGDA records often show multiple faces, backs, manuals, discs, or related sources when the object is materially multi-part; and IIIF’s Presentation API is expressly designed for ordered multiple views of compound objects such as pages, fronts/backs, or sequences. In practice, this points to a main-sheet norm of</w:t>
      </w:r>
      <w:r>
        <w:t xml:space="preserve"> </w:t>
      </w:r>
      <w:r>
        <w:rPr>
          <w:b/>
          <w:bCs/>
        </w:rPr>
        <w:t xml:space="preserve">one anchor image plus a carefully edited set of supporting views</w:t>
      </w:r>
      <w:r>
        <w:t xml:space="preserve">, not an unlimited gallery.</w:t>
      </w:r>
      <w:r>
        <w:t xml:space="preserve"> </w:t>
      </w:r>
      <w:hyperlink r:id="rId23">
        <w:r>
          <w:rPr>
            <w:rStyle w:val="Hyperlink"/>
          </w:rPr>
          <w:t xml:space="preserve">[3]</w:t>
        </w:r>
      </w:hyperlink>
    </w:p>
    <w:p>
      <w:pPr>
        <w:pStyle w:val="BodyText"/>
      </w:pPr>
      <w:r>
        <w:t xml:space="preserve">A second important benchmark is that</w:t>
      </w:r>
      <w:r>
        <w:t xml:space="preserve"> </w:t>
      </w:r>
      <w:r>
        <w:rPr>
          <w:b/>
          <w:bCs/>
        </w:rPr>
        <w:t xml:space="preserve">source-hosted visibility is not ownership</w:t>
      </w:r>
      <w:r>
        <w:t xml:space="preserve">. RightsStatements.org says its statements are descriptive summaries of rights status, not licenses; Europeana stresses that having an item in a collection does not mean owning its copyright; DPLA tells users to consult the provider’s rights field or provider page for item-specific permissions; and the Library of Congress says it does not own rights to most images in its holdings and cannot grant or deny permission for most uses. A rights-aware design archive should therefore treat “visible at source,” “reusable,” “locally hostable,” and “owned by archive” as four different things.</w:t>
      </w:r>
      <w:r>
        <w:t xml:space="preserve"> </w:t>
      </w:r>
      <w:hyperlink r:id="rId24">
        <w:r>
          <w:rPr>
            <w:rStyle w:val="Hyperlink"/>
          </w:rPr>
          <w:t xml:space="preserve">[4]</w:t>
        </w:r>
      </w:hyperlink>
    </w:p>
    <w:bookmarkEnd w:id="25"/>
    <w:bookmarkStart w:id="27" w:name="Xd4934672112c81bb5e3b7e52a1cdce959d58031"/>
    <w:p>
      <w:pPr>
        <w:pStyle w:val="Heading2"/>
      </w:pPr>
      <w:r>
        <w:t xml:space="preserve">A visual evidence rubric for sheet publication</w:t>
      </w:r>
    </w:p>
    <w:p>
      <w:pPr>
        <w:pStyle w:val="FirstParagraph"/>
      </w:pPr>
      <w:r>
        <w:t xml:space="preserve">The most defensible public standard is a</w:t>
      </w:r>
      <w:r>
        <w:t xml:space="preserve"> </w:t>
      </w:r>
      <w:r>
        <w:rPr>
          <w:b/>
          <w:bCs/>
        </w:rPr>
        <w:t xml:space="preserve">four-part sheet rubric</w:t>
      </w:r>
      <w:r>
        <w:t xml:space="preserve">: identification, visual evidence, rights clarity, and scholarly framing. That structure aligns well with current practice at Harvard, NGA, Europeana, DPLA, Cooper Hewitt, V&amp;A, Fonts In Use, and PGDA, even though each institution implements it differently. Harvard combines image, zoom, IIIF, citation, image description, and gallery text; NGA combines media options, download status, and visual description; Europeana and DPLA tie previews to rights statements and provider links; and RightsStatements.org recommends displaying the rights label close to the object.</w:t>
      </w:r>
      <w:r>
        <w:t xml:space="preserve"> </w:t>
      </w:r>
      <w:hyperlink r:id="rId21">
        <w:r>
          <w:rPr>
            <w:rStyle w:val="Hyperlink"/>
          </w:rPr>
          <w:t xml:space="preserve">[5]</w:t>
        </w:r>
      </w:hyperlink>
    </w:p>
    <w:p>
      <w:pPr>
        <w:pStyle w:val="BodyText"/>
      </w:pPr>
      <w:r>
        <w:t xml:space="preserve">A workable rubric for publishing a</w:t>
      </w:r>
      <w:r>
        <w:t xml:space="preserve"> </w:t>
      </w:r>
      <w:r>
        <w:rPr>
          <w:b/>
          <w:bCs/>
        </w:rPr>
        <w:t xml:space="preserve">sheet</w:t>
      </w:r>
      <w:r>
        <w:t xml:space="preserve"> </w:t>
      </w:r>
      <w:r>
        <w:t xml:space="preserve">is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Rubric dimension</w:t>
            </w:r>
          </w:p>
        </w:tc>
        <w:tc>
          <w:tcPr/>
          <w:p>
            <w:pPr>
              <w:pStyle w:val="Compact"/>
            </w:pPr>
            <w:r>
              <w:t xml:space="preserve">Minimum for sheet publication</w:t>
            </w:r>
          </w:p>
        </w:tc>
        <w:tc>
          <w:tcPr/>
          <w:p>
            <w:pPr>
              <w:pStyle w:val="Compact"/>
            </w:pPr>
            <w:r>
              <w:t xml:space="preserve">Preferred for strong sheet publication</w:t>
            </w:r>
          </w:p>
        </w:tc>
      </w:tr>
      <w:tr>
        <w:tc>
          <w:tcPr/>
          <w:p>
            <w:pPr>
              <w:pStyle w:val="Compact"/>
            </w:pPr>
            <w:r>
              <w:t xml:space="preserve">Record identity</w:t>
            </w:r>
          </w:p>
        </w:tc>
        <w:tc>
          <w:tcPr/>
          <w:p>
            <w:pPr>
              <w:pStyle w:val="Compact"/>
            </w:pPr>
            <w:r>
              <w:t xml:space="preserve">Persistent identifier, title or supplied title, source institution/owner, source URL, creator/date/format as known, and explicit “unknown” markers where data is missing</w:t>
            </w:r>
          </w:p>
        </w:tc>
        <w:tc>
          <w:tcPr/>
          <w:p>
            <w:pPr>
              <w:pStyle w:val="Compact"/>
            </w:pPr>
            <w:r>
              <w:t xml:space="preserve">Full citation string, accession or shelfmark, source type, geography, period, and relation to series/edition where relevant</w:t>
            </w:r>
          </w:p>
        </w:tc>
      </w:tr>
      <w:tr>
        <w:tc>
          <w:tcPr/>
          <w:p>
            <w:pPr>
              <w:pStyle w:val="Compact"/>
            </w:pPr>
            <w:r>
              <w:t xml:space="preserve">Visual evidence</w:t>
            </w:r>
          </w:p>
        </w:tc>
        <w:tc>
          <w:tcPr/>
          <w:p>
            <w:pPr>
              <w:pStyle w:val="Compact"/>
            </w:pPr>
            <w:r>
              <w:t xml:space="preserve">At least one lawful visual witness: open image, permitted local image, source-hosted image, embeddable viewer, or thumbnail-plus-source-return link</w:t>
            </w:r>
          </w:p>
        </w:tc>
        <w:tc>
          <w:tcPr/>
          <w:p>
            <w:pPr>
              <w:pStyle w:val="Compact"/>
            </w:pPr>
            <w:r>
              <w:t xml:space="preserve">One anchor image plus 1–3 supporting images that materially add evidence</w:t>
            </w:r>
          </w:p>
        </w:tc>
      </w:tr>
      <w:tr>
        <w:tc>
          <w:tcPr/>
          <w:p>
            <w:pPr>
              <w:pStyle w:val="Compact"/>
            </w:pPr>
            <w:r>
              <w:t xml:space="preserve">Rights and display</w:t>
            </w:r>
          </w:p>
        </w:tc>
        <w:tc>
          <w:tcPr/>
          <w:p>
            <w:pPr>
              <w:pStyle w:val="Compact"/>
            </w:pPr>
            <w:r>
              <w:t xml:space="preserve">Visible image state, rights label or rights note, and plain statement of whether image is open, source-hosted, thumbnail-only, viewer-only, restricted, or unavailable</w:t>
            </w:r>
          </w:p>
        </w:tc>
        <w:tc>
          <w:tcPr/>
          <w:p>
            <w:pPr>
              <w:pStyle w:val="Compact"/>
            </w:pPr>
            <w:r>
              <w:t xml:space="preserve">Machine-readable rights URI where possible, plus file provenance and acquisition method</w:t>
            </w:r>
          </w:p>
        </w:tc>
      </w:tr>
      <w:tr>
        <w:tc>
          <w:tcPr/>
          <w:p>
            <w:pPr>
              <w:pStyle w:val="Compact"/>
            </w:pPr>
            <w:r>
              <w:t xml:space="preserve">Scholarly explanation</w:t>
            </w:r>
          </w:p>
        </w:tc>
        <w:tc>
          <w:tcPr/>
          <w:p>
            <w:pPr>
              <w:pStyle w:val="Compact"/>
            </w:pPr>
            <w:r>
              <w:t xml:space="preserve">Short visible-description paragraph and short documentary-context paragraph</w:t>
            </w:r>
          </w:p>
        </w:tc>
        <w:tc>
          <w:tcPr/>
          <w:p>
            <w:pPr>
              <w:pStyle w:val="Compact"/>
            </w:pPr>
            <w:r>
              <w:t xml:space="preserve">Separate fields for visible evidence, sourced context, interpretation, and uncertainties/disputes</w:t>
            </w:r>
          </w:p>
        </w:tc>
      </w:tr>
    </w:tbl>
    <w:p>
      <w:pPr>
        <w:pStyle w:val="BodyText"/>
      </w:pPr>
      <w:r>
        <w:t xml:space="preserve">Using that rubric, image coverage should be defined in</w:t>
      </w:r>
      <w:r>
        <w:t xml:space="preserve"> </w:t>
      </w:r>
      <w:r>
        <w:rPr>
          <w:b/>
          <w:bCs/>
        </w:rPr>
        <w:t xml:space="preserve">separate layers</w:t>
      </w:r>
      <w:r>
        <w:t xml:space="preserve">, because “coverage” means different things depending on the archive’s purpose: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Coverage type</w:t>
            </w:r>
          </w:p>
        </w:tc>
        <w:tc>
          <w:tcPr/>
          <w:p>
            <w:pPr>
              <w:pStyle w:val="Compact"/>
            </w:pPr>
            <w:r>
              <w:t xml:space="preserve">Definition</w:t>
            </w:r>
          </w:p>
        </w:tc>
        <w:tc>
          <w:tcPr/>
          <w:p>
            <w:pPr>
              <w:pStyle w:val="Compact"/>
            </w:pPr>
            <w:r>
              <w:t xml:space="preserve">Why it matters</w:t>
            </w:r>
          </w:p>
        </w:tc>
      </w:tr>
      <w:tr>
        <w:tc>
          <w:tcPr/>
          <w:p>
            <w:pPr>
              <w:pStyle w:val="Compact"/>
            </w:pPr>
            <w:r>
              <w:t xml:space="preserve">Source-visible coverage</w:t>
            </w:r>
          </w:p>
        </w:tc>
        <w:tc>
          <w:tcPr/>
          <w:p>
            <w:pPr>
              <w:pStyle w:val="Compact"/>
            </w:pPr>
            <w:r>
              <w:t xml:space="preserve">Records with at least one lawful visual witness, including thumbnail, viewer, source-hosted image, or provider link</w:t>
            </w:r>
          </w:p>
        </w:tc>
        <w:tc>
          <w:tcPr/>
          <w:p>
            <w:pPr>
              <w:pStyle w:val="Compact"/>
            </w:pPr>
            <w:r>
              <w:t xml:space="preserve">Supports discovery and basic visual identification</w:t>
            </w:r>
          </w:p>
        </w:tc>
      </w:tr>
      <w:tr>
        <w:tc>
          <w:tcPr/>
          <w:p>
            <w:pPr>
              <w:pStyle w:val="Compact"/>
            </w:pPr>
            <w:r>
              <w:t xml:space="preserve">Publication-grade coverage</w:t>
            </w:r>
          </w:p>
        </w:tc>
        <w:tc>
          <w:tcPr/>
          <w:p>
            <w:pPr>
              <w:pStyle w:val="Compact"/>
            </w:pPr>
            <w:r>
              <w:t xml:space="preserve">Records with at least one image adequate for sheet publication and citation, normally plus a small number of support images</w:t>
            </w:r>
          </w:p>
        </w:tc>
        <w:tc>
          <w:tcPr/>
          <w:p>
            <w:pPr>
              <w:pStyle w:val="Compact"/>
            </w:pPr>
            <w:r>
              <w:t xml:space="preserve">Supports serious public interpretation and teaching</w:t>
            </w:r>
          </w:p>
        </w:tc>
      </w:tr>
      <w:tr>
        <w:tc>
          <w:tcPr/>
          <w:p>
            <w:pPr>
              <w:pStyle w:val="Compact"/>
            </w:pPr>
            <w:r>
              <w:t xml:space="preserve">Open-image coverage</w:t>
            </w:r>
          </w:p>
        </w:tc>
        <w:tc>
          <w:tcPr/>
          <w:p>
            <w:pPr>
              <w:pStyle w:val="Compact"/>
            </w:pPr>
            <w:r>
              <w:t xml:space="preserve">Records with at least one image that can be locally displayed and reused under open/public-domain terms</w:t>
            </w:r>
          </w:p>
        </w:tc>
        <w:tc>
          <w:tcPr/>
          <w:p>
            <w:pPr>
              <w:pStyle w:val="Compact"/>
            </w:pPr>
            <w:r>
              <w:t xml:space="preserve">Supports remix, scholarship, publishing, and API reuse</w:t>
            </w:r>
          </w:p>
        </w:tc>
      </w:tr>
      <w:tr>
        <w:tc>
          <w:tcPr/>
          <w:p>
            <w:pPr>
              <w:pStyle w:val="Compact"/>
            </w:pPr>
            <w:r>
              <w:t xml:space="preserve">Rights-restricted coverage</w:t>
            </w:r>
          </w:p>
        </w:tc>
        <w:tc>
          <w:tcPr/>
          <w:p>
            <w:pPr>
              <w:pStyle w:val="Compact"/>
            </w:pPr>
            <w:r>
              <w:t xml:space="preserve">Records where images are visible or referenced lawfully, but reuse/hosting is constrained</w:t>
            </w:r>
          </w:p>
        </w:tc>
        <w:tc>
          <w:tcPr/>
          <w:p>
            <w:pPr>
              <w:pStyle w:val="Compact"/>
            </w:pPr>
            <w:r>
              <w:t xml:space="preserve">Prevents false absences and preserves research value without overclaiming rights</w:t>
            </w:r>
          </w:p>
        </w:tc>
      </w:tr>
    </w:tbl>
    <w:p>
      <w:pPr>
        <w:pStyle w:val="BodyText"/>
      </w:pPr>
      <w:r>
        <w:t xml:space="preserve">A practical reading of your existing IMG states can support this without changing the archive’s philosophy. A good alignment would be:</w:t>
      </w:r>
      <w:r>
        <w:t xml:space="preserve"> </w:t>
      </w:r>
      <w:r>
        <w:rPr>
          <w:b/>
          <w:bCs/>
        </w:rPr>
        <w:t xml:space="preserve">IMG00</w:t>
      </w:r>
      <w:r>
        <w:t xml:space="preserve"> </w:t>
      </w:r>
      <w:r>
        <w:t xml:space="preserve">= no lawful online image, citation/placeholder only;</w:t>
      </w:r>
      <w:r>
        <w:t xml:space="preserve"> </w:t>
      </w:r>
      <w:r>
        <w:rPr>
          <w:b/>
          <w:bCs/>
        </w:rPr>
        <w:t xml:space="preserve">IMG01</w:t>
      </w:r>
      <w:r>
        <w:t xml:space="preserve"> </w:t>
      </w:r>
      <w:r>
        <w:t xml:space="preserve">= preview or thumbnail only;</w:t>
      </w:r>
      <w:r>
        <w:t xml:space="preserve"> </w:t>
      </w:r>
      <w:r>
        <w:rPr>
          <w:b/>
          <w:bCs/>
        </w:rPr>
        <w:t xml:space="preserve">IMG02</w:t>
      </w:r>
      <w:r>
        <w:t xml:space="preserve"> </w:t>
      </w:r>
      <w:r>
        <w:t xml:space="preserve">= source-hosted or viewer-visible but not locally reusable;</w:t>
      </w:r>
      <w:r>
        <w:t xml:space="preserve"> </w:t>
      </w:r>
      <w:r>
        <w:rPr>
          <w:b/>
          <w:bCs/>
        </w:rPr>
        <w:t xml:space="preserve">IMG03</w:t>
      </w:r>
      <w:r>
        <w:t xml:space="preserve"> </w:t>
      </w:r>
      <w:r>
        <w:t xml:space="preserve">= locally displayable by permission or explicit non-open basis;</w:t>
      </w:r>
      <w:r>
        <w:t xml:space="preserve"> </w:t>
      </w:r>
      <w:r>
        <w:rPr>
          <w:b/>
          <w:bCs/>
        </w:rPr>
        <w:t xml:space="preserve">IMG04</w:t>
      </w:r>
      <w:r>
        <w:t xml:space="preserve"> </w:t>
      </w:r>
      <w:r>
        <w:t xml:space="preserve">= open/public-domain/CC-licensed local image. The key is that the state should describe the</w:t>
      </w:r>
      <w:r>
        <w:t xml:space="preserve"> </w:t>
      </w:r>
      <w:r>
        <w:rPr>
          <w:b/>
          <w:bCs/>
        </w:rPr>
        <w:t xml:space="preserve">display and rights condition</w:t>
      </w:r>
      <w:r>
        <w:t xml:space="preserve">, not imply ownership. That is the same distinction made by Europeana, DPLA, V&amp;A, LOC, and RightsStatements.org.</w:t>
      </w:r>
      <w:r>
        <w:t xml:space="preserve"> </w:t>
      </w:r>
      <w:hyperlink r:id="rId26">
        <w:r>
          <w:rPr>
            <w:rStyle w:val="Hyperlink"/>
          </w:rPr>
          <w:t xml:space="preserve">[6]</w:t>
        </w:r>
      </w:hyperlink>
    </w:p>
    <w:bookmarkEnd w:id="27"/>
    <w:bookmarkStart w:id="30" w:name="X3521d2aec29f81dd9ef7c765ef8695de43ef4e8"/>
    <w:p>
      <w:pPr>
        <w:pStyle w:val="Heading2"/>
      </w:pPr>
      <w:r>
        <w:t xml:space="preserve">Suggested launch thresholds and warning thresholds</w:t>
      </w:r>
    </w:p>
    <w:p>
      <w:pPr>
        <w:pStyle w:val="FirstParagraph"/>
      </w:pPr>
      <w:r>
        <w:t xml:space="preserve">These thresholds are recommendations, not an industry rulebook. They are deliberately moderate because the benchmark institutions themselves show that total digitization and total openness are unrealistic, especially for graphic design materials with mixed provenance, donor restrictions, lender restrictions, and uneven cataloging histories. Cooper Hewitt openly describes missing-image causes as non-digitization, missing rights, or lost image assets; V&amp;A distinguishes in-copyright objects from those available for low-resolution use or licensing; LOC uses thumbnails outside the building for some rights-restricted items; and The Met and Smithsonian both acknowledge that some objects are not yet photographed or not eligible for open release.</w:t>
      </w:r>
      <w:r>
        <w:t xml:space="preserve"> </w:t>
      </w:r>
      <w:hyperlink r:id="rId28">
        <w:r>
          <w:rPr>
            <w:rStyle w:val="Hyperlink"/>
          </w:rPr>
          <w:t xml:space="preserve">[7]</w:t>
        </w:r>
      </w:hyperlink>
    </w:p>
    <w:p>
      <w:pPr>
        <w:pStyle w:val="BodyText"/>
      </w:pPr>
      <w:r>
        <w:t xml:space="preserve">For a</w:t>
      </w:r>
      <w:r>
        <w:t xml:space="preserve"> </w:t>
      </w:r>
      <w:r>
        <w:rPr>
          <w:b/>
          <w:bCs/>
        </w:rPr>
        <w:t xml:space="preserve">public launch</w:t>
      </w:r>
      <w:r>
        <w:t xml:space="preserve">, I would recommend the following archive-level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Suggested launch threshold</w:t>
            </w:r>
          </w:p>
        </w:tc>
        <w:tc>
          <w:tcPr/>
          <w:p>
            <w:pPr>
              <w:pStyle w:val="Compact"/>
            </w:pPr>
            <w:r>
              <w:t xml:space="preserve">Warning threshold</w:t>
            </w:r>
          </w:p>
        </w:tc>
      </w:tr>
      <w:tr>
        <w:tc>
          <w:tcPr/>
          <w:p>
            <w:pPr>
              <w:pStyle w:val="Compact"/>
            </w:pPr>
            <w:r>
              <w:t xml:space="preserve">Source-visible coverage among published records</w:t>
            </w:r>
          </w:p>
        </w:tc>
        <w:tc>
          <w:tcPr/>
          <w:p>
            <w:pPr>
              <w:pStyle w:val="Compact"/>
            </w:pPr>
            <w:r>
              <w:rPr>
                <w:b/>
                <w:bCs/>
              </w:rPr>
              <w:t xml:space="preserve">70% or higher</w:t>
            </w:r>
          </w:p>
        </w:tc>
        <w:tc>
          <w:tcPr/>
          <w:p>
            <w:pPr>
              <w:pStyle w:val="Compact"/>
            </w:pPr>
            <w:r>
              <w:rPr>
                <w:b/>
                <w:bCs/>
              </w:rPr>
              <w:t xml:space="preserve">Below 60%</w:t>
            </w:r>
          </w:p>
        </w:tc>
      </w:tr>
      <w:tr>
        <w:tc>
          <w:tcPr/>
          <w:p>
            <w:pPr>
              <w:pStyle w:val="Compact"/>
            </w:pPr>
            <w:r>
              <w:t xml:space="preserve">Publication-grade coverage among published records</w:t>
            </w:r>
          </w:p>
        </w:tc>
        <w:tc>
          <w:tcPr/>
          <w:p>
            <w:pPr>
              <w:pStyle w:val="Compact"/>
            </w:pPr>
            <w:r>
              <w:rPr>
                <w:b/>
                <w:bCs/>
              </w:rPr>
              <w:t xml:space="preserve">45% or higher</w:t>
            </w:r>
          </w:p>
        </w:tc>
        <w:tc>
          <w:tcPr/>
          <w:p>
            <w:pPr>
              <w:pStyle w:val="Compact"/>
            </w:pPr>
            <w:r>
              <w:rPr>
                <w:b/>
                <w:bCs/>
              </w:rPr>
              <w:t xml:space="preserve">Below 35%</w:t>
            </w:r>
          </w:p>
        </w:tc>
      </w:tr>
      <w:tr>
        <w:tc>
          <w:tcPr/>
          <w:p>
            <w:pPr>
              <w:pStyle w:val="Compact"/>
            </w:pPr>
            <w:r>
              <w:t xml:space="preserve">Open-image coverage among published records</w:t>
            </w:r>
          </w:p>
        </w:tc>
        <w:tc>
          <w:tcPr/>
          <w:p>
            <w:pPr>
              <w:pStyle w:val="Compact"/>
            </w:pPr>
            <w:r>
              <w:rPr>
                <w:b/>
                <w:bCs/>
              </w:rPr>
              <w:t xml:space="preserve">20% or higher</w:t>
            </w:r>
          </w:p>
        </w:tc>
        <w:tc>
          <w:tcPr/>
          <w:p>
            <w:pPr>
              <w:pStyle w:val="Compact"/>
            </w:pPr>
            <w:r>
              <w:rPr>
                <w:b/>
                <w:bCs/>
              </w:rPr>
              <w:t xml:space="preserve">Below 15%</w:t>
            </w:r>
          </w:p>
        </w:tc>
      </w:tr>
      <w:tr>
        <w:tc>
          <w:tcPr/>
          <w:p>
            <w:pPr>
              <w:pStyle w:val="Compact"/>
            </w:pPr>
            <w:r>
              <w:t xml:space="preserve">Rights-labeled coverage among all visible-image records</w:t>
            </w:r>
          </w:p>
        </w:tc>
        <w:tc>
          <w:tcPr/>
          <w:p>
            <w:pPr>
              <w:pStyle w:val="Compact"/>
            </w:pPr>
            <w:r>
              <w:rPr>
                <w:b/>
                <w:bCs/>
              </w:rPr>
              <w:t xml:space="preserve">95% or higher</w:t>
            </w:r>
          </w:p>
        </w:tc>
        <w:tc>
          <w:tcPr/>
          <w:p>
            <w:pPr>
              <w:pStyle w:val="Compact"/>
            </w:pPr>
            <w:r>
              <w:rPr>
                <w:b/>
                <w:bCs/>
              </w:rPr>
              <w:t xml:space="preserve">Below 90%</w:t>
            </w:r>
          </w:p>
        </w:tc>
      </w:tr>
      <w:tr>
        <w:tc>
          <w:tcPr/>
          <w:p>
            <w:pPr>
              <w:pStyle w:val="Compact"/>
            </w:pPr>
            <w:r>
              <w:t xml:space="preserve">Records with completely unclear image state</w:t>
            </w:r>
          </w:p>
        </w:tc>
        <w:tc>
          <w:tcPr/>
          <w:p>
            <w:pPr>
              <w:pStyle w:val="Compact"/>
            </w:pPr>
            <w:r>
              <w:rPr>
                <w:b/>
                <w:bCs/>
              </w:rPr>
              <w:t xml:space="preserve">Under 5%</w:t>
            </w:r>
          </w:p>
        </w:tc>
        <w:tc>
          <w:tcPr/>
          <w:p>
            <w:pPr>
              <w:pStyle w:val="Compact"/>
            </w:pPr>
            <w:r>
              <w:rPr>
                <w:b/>
                <w:bCs/>
              </w:rPr>
              <w:t xml:space="preserve">Above 10%</w:t>
            </w:r>
          </w:p>
        </w:tc>
      </w:tr>
    </w:tbl>
    <w:p>
      <w:pPr>
        <w:pStyle w:val="BodyText"/>
      </w:pPr>
      <w:r>
        <w:t xml:space="preserve">For</w:t>
      </w:r>
      <w:r>
        <w:t xml:space="preserve"> </w:t>
      </w:r>
      <w:r>
        <w:rPr>
          <w:b/>
          <w:bCs/>
        </w:rPr>
        <w:t xml:space="preserve">sheet publication specifically</w:t>
      </w:r>
      <w:r>
        <w:t xml:space="preserve">, I would use a stricter threshold at the record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Sheet-level decision rule</w:t>
            </w:r>
          </w:p>
        </w:tc>
        <w:tc>
          <w:tcPr/>
          <w:p>
            <w:pPr>
              <w:pStyle w:val="Compact"/>
            </w:pPr>
            <w:r>
              <w:t xml:space="preserve">Suggested threshold</w:t>
            </w:r>
          </w:p>
        </w:tc>
      </w:tr>
      <w:tr>
        <w:tc>
          <w:tcPr/>
          <w:p>
            <w:pPr>
              <w:pStyle w:val="Compact"/>
            </w:pPr>
            <w:r>
              <w:t xml:space="preserve">Must have at least one lawful visual witness</w:t>
            </w:r>
          </w:p>
        </w:tc>
        <w:tc>
          <w:tcPr/>
          <w:p>
            <w:pPr>
              <w:pStyle w:val="Compact"/>
            </w:pPr>
            <w:r>
              <w:t xml:space="preserve">Yes</w:t>
            </w:r>
          </w:p>
        </w:tc>
      </w:tr>
      <w:tr>
        <w:tc>
          <w:tcPr/>
          <w:p>
            <w:pPr>
              <w:pStyle w:val="Compact"/>
            </w:pPr>
            <w:r>
              <w:t xml:space="preserve">Must have explicit image state and rights note</w:t>
            </w:r>
          </w:p>
        </w:tc>
        <w:tc>
          <w:tcPr/>
          <w:p>
            <w:pPr>
              <w:pStyle w:val="Compact"/>
            </w:pPr>
            <w:r>
              <w:t xml:space="preserve">Yes</w:t>
            </w:r>
          </w:p>
        </w:tc>
      </w:tr>
      <w:tr>
        <w:tc>
          <w:tcPr/>
          <w:p>
            <w:pPr>
              <w:pStyle w:val="Compact"/>
            </w:pPr>
            <w:r>
              <w:t xml:space="preserve">Must have source citation or persistent source-return link</w:t>
            </w:r>
          </w:p>
        </w:tc>
        <w:tc>
          <w:tcPr/>
          <w:p>
            <w:pPr>
              <w:pStyle w:val="Compact"/>
            </w:pPr>
            <w:r>
              <w:t xml:space="preserve">Yes</w:t>
            </w:r>
          </w:p>
        </w:tc>
      </w:tr>
      <w:tr>
        <w:tc>
          <w:tcPr/>
          <w:p>
            <w:pPr>
              <w:pStyle w:val="Compact"/>
            </w:pPr>
            <w:r>
              <w:t xml:space="preserve">Ideal number of images on main sheet</w:t>
            </w:r>
          </w:p>
        </w:tc>
        <w:tc>
          <w:tcPr/>
          <w:p>
            <w:pPr>
              <w:pStyle w:val="Compact"/>
            </w:pPr>
            <w:r>
              <w:rPr>
                <w:b/>
                <w:bCs/>
              </w:rPr>
              <w:t xml:space="preserve">2–4</w:t>
            </w:r>
          </w:p>
        </w:tc>
      </w:tr>
      <w:tr>
        <w:tc>
          <w:tcPr/>
          <w:p>
            <w:pPr>
              <w:pStyle w:val="Compact"/>
            </w:pPr>
            <w:r>
              <w:t xml:space="preserve">Soft maximum on main sheet before overflow to appendix</w:t>
            </w:r>
          </w:p>
        </w:tc>
        <w:tc>
          <w:tcPr/>
          <w:p>
            <w:pPr>
              <w:pStyle w:val="Compact"/>
            </w:pPr>
            <w:r>
              <w:rPr>
                <w:b/>
                <w:bCs/>
              </w:rPr>
              <w:t xml:space="preserve">6</w:t>
            </w:r>
          </w:p>
        </w:tc>
      </w:tr>
    </w:tbl>
    <w:p>
      <w:pPr>
        <w:pStyle w:val="BodyText"/>
      </w:pPr>
      <w:r>
        <w:t xml:space="preserve">The “2–4 images ideal, 6 soft maximum” recommendation is not arbitrary. It matches the observed practice that object pages and community archives usually present a primary image and a limited set of explanatory views, while Fonts In Use explicitly recommends up to six images and only exceeding that when the record genuinely needs more scope. Once a record grows into many similar images, the marginal evidentiary gain usually drops while storage, moderation, and legal exposure go up.</w:t>
      </w:r>
      <w:r>
        <w:t xml:space="preserve"> </w:t>
      </w:r>
      <w:hyperlink r:id="rId23">
        <w:r>
          <w:rPr>
            <w:rStyle w:val="Hyperlink"/>
          </w:rPr>
          <w:t xml:space="preserve">[8]</w:t>
        </w:r>
      </w:hyperlink>
    </w:p>
    <w:p>
      <w:pPr>
        <w:pStyle w:val="BodyText"/>
      </w:pPr>
      <w:r>
        <w:t xml:space="preserve">A mature archive can, of course, aim higher. But the healthier long-term target is not “100% IMG04.” It is closer to:</w:t>
      </w:r>
      <w:r>
        <w:t xml:space="preserve"> </w:t>
      </w:r>
      <w:r>
        <w:rPr>
          <w:b/>
          <w:bCs/>
        </w:rPr>
        <w:t xml:space="preserve">most records source-visible, many records sheet-ready, every image state explicit, and a steadily growing open subset</w:t>
      </w:r>
      <w:r>
        <w:t xml:space="preserve">. Europeana’s tiered logic is useful here: better rights openness and better media quality produce more findability, more reuse, and more educational value, but the framework is explicitly tiered because not every partner can supply the same thing.</w:t>
      </w:r>
      <w:r>
        <w:t xml:space="preserve"> </w:t>
      </w:r>
      <w:hyperlink r:id="rId29">
        <w:r>
          <w:rPr>
            <w:rStyle w:val="Hyperlink"/>
          </w:rPr>
          <w:t xml:space="preserve">[9]</w:t>
        </w:r>
      </w:hyperlink>
    </w:p>
    <w:bookmarkEnd w:id="30"/>
    <w:bookmarkStart w:id="35" w:name="Xe16bc0d0d7fc4086256a1c170920f87f9dab51b"/>
    <w:p>
      <w:pPr>
        <w:pStyle w:val="Heading2"/>
      </w:pPr>
      <w:r>
        <w:t xml:space="preserve">Per-record image guidance for each publication surface</w:t>
      </w:r>
    </w:p>
    <w:p>
      <w:pPr>
        <w:pStyle w:val="FirstParagraph"/>
      </w:pPr>
      <w:r>
        <w:t xml:space="preserve">The</w:t>
      </w:r>
      <w:r>
        <w:t xml:space="preserve"> </w:t>
      </w:r>
      <w:r>
        <w:rPr>
          <w:b/>
          <w:bCs/>
        </w:rPr>
        <w:t xml:space="preserve">main sheet</w:t>
      </w:r>
      <w:r>
        <w:t xml:space="preserve"> </w:t>
      </w:r>
      <w:r>
        <w:t xml:space="preserve">should normally carry</w:t>
      </w:r>
      <w:r>
        <w:t xml:space="preserve"> </w:t>
      </w:r>
      <w:r>
        <w:rPr>
          <w:b/>
          <w:bCs/>
        </w:rPr>
        <w:t xml:space="preserve">one anchor image</w:t>
      </w:r>
      <w:r>
        <w:t xml:space="preserve"> </w:t>
      </w:r>
      <w:r>
        <w:t xml:space="preserve">plus</w:t>
      </w:r>
      <w:r>
        <w:t xml:space="preserve"> </w:t>
      </w:r>
      <w:r>
        <w:rPr>
          <w:b/>
          <w:bCs/>
        </w:rPr>
        <w:t xml:space="preserve">one to three supporting images</w:t>
      </w:r>
      <w:r>
        <w:t xml:space="preserve">. The anchor image should identify the object immediately. Support images should only appear if they add distinct evidence: reverse, interior spread, detail, variant state, scale context, process evidence, or inscription. If the object is fundamentally compound, like packaging, manuals, title sequences, or multi-panel posters, up to six images is still reasonable. Beyond that, the main sheet usually becomes visually redundant and should hand off to an appendix. This recommendation is consistent with FIU’s “up to six” guidance, Harvard’s small image set plus deep zoom, and PGDA’s multi-image item pages for packaging and related evidence.</w:t>
      </w:r>
      <w:r>
        <w:t xml:space="preserve"> </w:t>
      </w:r>
      <w:hyperlink r:id="rId23">
        <w:r>
          <w:rPr>
            <w:rStyle w:val="Hyperlink"/>
          </w:rPr>
          <w:t xml:space="preserve">[10]</w:t>
        </w:r>
      </w:hyperlink>
    </w:p>
    <w:p>
      <w:pPr>
        <w:pStyle w:val="BodyText"/>
      </w:pPr>
      <w:r>
        <w:t xml:space="preserve">The</w:t>
      </w:r>
      <w:r>
        <w:t xml:space="preserve"> </w:t>
      </w:r>
      <w:r>
        <w:rPr>
          <w:b/>
          <w:bCs/>
        </w:rPr>
        <w:t xml:space="preserve">text page</w:t>
      </w:r>
      <w:r>
        <w:t xml:space="preserve"> </w:t>
      </w:r>
      <w:r>
        <w:t xml:space="preserve">is the correct fallback when the archive has strong documentary value but weak lawful image access. This is where records with only a thumbnail, viewer link, or citation-only evidence should live. A text page can still be excellent scholarship if it includes source-return links, rights notes, provenance, bibliography, and a clear explanation of why a fuller image is not shown. LOC, Europeana, DPLA, and Cooper Hewitt all demonstrate that a serious public record can still be useful even when the visible image is limited, absent, or replaced by a rights-aware placeholder.</w:t>
      </w:r>
      <w:r>
        <w:t xml:space="preserve"> </w:t>
      </w:r>
      <w:hyperlink r:id="rId31">
        <w:r>
          <w:rPr>
            <w:rStyle w:val="Hyperlink"/>
          </w:rPr>
          <w:t xml:space="preserve">[11]</w:t>
        </w:r>
      </w:hyperlink>
    </w:p>
    <w:p>
      <w:pPr>
        <w:pStyle w:val="BodyText"/>
      </w:pPr>
      <w:r>
        <w:t xml:space="preserve">The</w:t>
      </w:r>
      <w:r>
        <w:t xml:space="preserve"> </w:t>
      </w:r>
      <w:r>
        <w:rPr>
          <w:b/>
          <w:bCs/>
        </w:rPr>
        <w:t xml:space="preserve">appendix</w:t>
      </w:r>
      <w:r>
        <w:t xml:space="preserve"> </w:t>
      </w:r>
      <w:r>
        <w:t xml:space="preserve">is where image overflow belongs. Use it for additional spreads, close details, alternate editions, auction/reference photographs, marked copies, or process materials that are informative but not essential to the record’s first reading. IIIF is especially good for this, because it was built for ordered or compound digital objects and lets you avoid flattening everything into a single crowded sheet. If a record needs eight or ten images to be understood, the right move is usually</w:t>
      </w:r>
      <w:r>
        <w:t xml:space="preserve"> </w:t>
      </w:r>
      <w:r>
        <w:rPr>
          <w:b/>
          <w:bCs/>
        </w:rPr>
        <w:t xml:space="preserve">not</w:t>
      </w:r>
      <w:r>
        <w:t xml:space="preserve"> </w:t>
      </w:r>
      <w:r>
        <w:t xml:space="preserve">to cram them into the main sheet; it is to keep the main sheet economical and let the appendix carry the sequence.</w:t>
      </w:r>
      <w:r>
        <w:t xml:space="preserve"> </w:t>
      </w:r>
      <w:hyperlink r:id="rId32">
        <w:r>
          <w:rPr>
            <w:rStyle w:val="Hyperlink"/>
          </w:rPr>
          <w:t xml:space="preserve">[12]</w:t>
        </w:r>
      </w:hyperlink>
    </w:p>
    <w:p>
      <w:pPr>
        <w:pStyle w:val="BodyText"/>
      </w:pPr>
      <w:r>
        <w:t xml:space="preserve">The</w:t>
      </w:r>
      <w:r>
        <w:t xml:space="preserve"> </w:t>
      </w:r>
      <w:r>
        <w:rPr>
          <w:b/>
          <w:bCs/>
        </w:rPr>
        <w:t xml:space="preserve">card</w:t>
      </w:r>
      <w:r>
        <w:t xml:space="preserve"> </w:t>
      </w:r>
      <w:r>
        <w:t xml:space="preserve">should be compact and low-risk: a single image where possible, or a thumbnail/viewer/placeholder when not, plus a very short citation and image-state label. Cards are ideal for broad browsability, especially in periods or regions where the archive’s lawful image access is still uneven. MoMA’s collection filters, FIU’s indexed uses, PGDA’s sortable item list, and Letterform Archive’s visual search all point toward the importance of lightweight visual cards for navigation.</w:t>
      </w:r>
      <w:r>
        <w:t xml:space="preserve"> </w:t>
      </w:r>
      <w:hyperlink r:id="rId33">
        <w:r>
          <w:rPr>
            <w:rStyle w:val="Hyperlink"/>
          </w:rPr>
          <w:t xml:space="preserve">[13]</w:t>
        </w:r>
      </w:hyperlink>
    </w:p>
    <w:p>
      <w:pPr>
        <w:pStyle w:val="BodyText"/>
      </w:pPr>
      <w:r>
        <w:t xml:space="preserve">The</w:t>
      </w:r>
      <w:r>
        <w:t xml:space="preserve"> </w:t>
      </w:r>
      <w:r>
        <w:rPr>
          <w:b/>
          <w:bCs/>
        </w:rPr>
        <w:t xml:space="preserve">slip</w:t>
      </w:r>
      <w:r>
        <w:t xml:space="preserve"> </w:t>
      </w:r>
      <w:r>
        <w:t xml:space="preserve">is the right format for records with</w:t>
      </w:r>
      <w:r>
        <w:t xml:space="preserve"> </w:t>
      </w:r>
      <w:r>
        <w:rPr>
          <w:b/>
          <w:bCs/>
        </w:rPr>
        <w:t xml:space="preserve">strong images but weak metadata</w:t>
      </w:r>
      <w:r>
        <w:t xml:space="preserve">. A slip can show one to three images, but it should be marked provisional and restricted to visible facts plus source-supplied facts. Do not turn a slip into a fully interpretive sheet unless creator/date/source/provenance reach a higher confidence threshold. This is especially important in community-contributed environments. PGDA and FIU both tolerate some unevenness in descriptive depth, but both also foreground source, credit, contribution provenance, and moderation or editorial framing.</w:t>
      </w:r>
      <w:r>
        <w:t xml:space="preserve"> </w:t>
      </w:r>
      <w:hyperlink r:id="rId34">
        <w:r>
          <w:rPr>
            <w:rStyle w:val="Hyperlink"/>
          </w:rPr>
          <w:t xml:space="preserve">[14]</w:t>
        </w:r>
      </w:hyperlink>
    </w:p>
    <w:p>
      <w:pPr>
        <w:pStyle w:val="BodyText"/>
      </w:pPr>
      <w:r>
        <w:t xml:space="preserve">The</w:t>
      </w:r>
      <w:r>
        <w:t xml:space="preserve"> </w:t>
      </w:r>
      <w:r>
        <w:rPr>
          <w:b/>
          <w:bCs/>
        </w:rPr>
        <w:t xml:space="preserve">bookmark</w:t>
      </w:r>
      <w:r>
        <w:t xml:space="preserve"> </w:t>
      </w:r>
      <w:r>
        <w:t xml:space="preserve">is the proper home for records that matter historically but cannot yet be responsibly visualized. A bookmark may have no local image at all, just a structured placeholder, a provider link, a rights statement, and a brief note about what remains unresolved. Cooper Hewitt’s “Albers boxes” are especially instructive here: they treat the absence of an image as something to communicate meaningfully rather than hide behind a generic “image not available” blank.</w:t>
      </w:r>
      <w:r>
        <w:t xml:space="preserve"> </w:t>
      </w:r>
      <w:hyperlink r:id="rId28">
        <w:r>
          <w:rPr>
            <w:rStyle w:val="Hyperlink"/>
          </w:rPr>
          <w:t xml:space="preserve">[15]</w:t>
        </w:r>
      </w:hyperlink>
    </w:p>
    <w:bookmarkEnd w:id="35"/>
    <w:bookmarkStart w:id="40" w:name="X7eb4ee8508011d22b8dacd353645678a2469c29"/>
    <w:p>
      <w:pPr>
        <w:pStyle w:val="Heading2"/>
      </w:pPr>
      <w:r>
        <w:t xml:space="preserve">Rights-aware image acquisition, display, citation, and explanation</w:t>
      </w:r>
    </w:p>
    <w:p>
      <w:pPr>
        <w:pStyle w:val="FirstParagraph"/>
      </w:pPr>
      <w:r>
        <w:t xml:space="preserve">The safest acquisition order is:</w:t>
      </w:r>
      <w:r>
        <w:t xml:space="preserve"> </w:t>
      </w:r>
      <w:r>
        <w:rPr>
          <w:b/>
          <w:bCs/>
        </w:rPr>
        <w:t xml:space="preserve">open download first, IIIF or source-hosted delivery second, previews and thumbnails third, placeholders fourth, screenshots last</w:t>
      </w:r>
      <w:r>
        <w:t xml:space="preserve">. Open-access programs at the Smithsonian, The Met, NGA, and Rijksmuseum show what the ideal case looks like: public-domain or CC0 images can be downloaded, reused, and often accessed through APIs. Where that is available, your archive should store a derivative, preserve the original source URL, keep the rights label, and retain creator/institution credit even if the license does not require attribution.</w:t>
      </w:r>
      <w:r>
        <w:t xml:space="preserve"> </w:t>
      </w:r>
      <w:hyperlink r:id="rId36">
        <w:r>
          <w:rPr>
            <w:rStyle w:val="Hyperlink"/>
          </w:rPr>
          <w:t xml:space="preserve">[16]</w:t>
        </w:r>
      </w:hyperlink>
    </w:p>
    <w:p>
      <w:pPr>
        <w:pStyle w:val="BodyText"/>
      </w:pPr>
      <w:r>
        <w:t xml:space="preserve">When open downloads are not available but IIIF or viewer-based access exists,</w:t>
      </w:r>
      <w:r>
        <w:t xml:space="preserve"> </w:t>
      </w:r>
      <w:r>
        <w:rPr>
          <w:b/>
          <w:bCs/>
        </w:rPr>
        <w:t xml:space="preserve">embed or call the source service rather than copying blindly</w:t>
      </w:r>
      <w:r>
        <w:t xml:space="preserve">. IIIF’s Image and Presentation APIs were created precisely to support interoperable delivery of images and compound objects, including thumbnails, zoom, and ordered views. Harvard exposes “Reuse via IIIF”; V&amp;A and Rijksmuseum both publish IIIF endpoints; and these systems let an archive display visual evidence while preserving provenance and reducing unnecessary asset duplication.</w:t>
      </w:r>
      <w:r>
        <w:t xml:space="preserve"> </w:t>
      </w:r>
      <w:hyperlink r:id="rId32">
        <w:r>
          <w:rPr>
            <w:rStyle w:val="Hyperlink"/>
          </w:rPr>
          <w:t xml:space="preserve">[17]</w:t>
        </w:r>
      </w:hyperlink>
    </w:p>
    <w:p>
      <w:pPr>
        <w:pStyle w:val="BodyText"/>
      </w:pPr>
      <w:r>
        <w:t xml:space="preserve">When only provider previews are available, use</w:t>
      </w:r>
      <w:r>
        <w:t xml:space="preserve"> </w:t>
      </w:r>
      <w:r>
        <w:rPr>
          <w:b/>
          <w:bCs/>
        </w:rPr>
        <w:t xml:space="preserve">source-hosted thumbnails or source-return links</w:t>
      </w:r>
      <w:r>
        <w:t xml:space="preserve"> </w:t>
      </w:r>
      <w:r>
        <w:t xml:space="preserve">as a legitimate middle tier. Europeana’s framework explicitly treats preview generation, links, display, and rights as part of content quality; DPLA distinguishes the local preview object from the provider’s full information page; LOC shows only thumbnails offsite for some restricted images; and V&amp;A’s API terms explicitly require developers who display images to use the image URL returned by the API rather than making a local copy on their own server. That is a very strong benchmark for a rights-aware archive: if the source wants a hosted URL used instead of a local copy, follow that preference.</w:t>
      </w:r>
      <w:r>
        <w:t xml:space="preserve"> </w:t>
      </w:r>
      <w:hyperlink r:id="rId29">
        <w:r>
          <w:rPr>
            <w:rStyle w:val="Hyperlink"/>
          </w:rPr>
          <w:t xml:space="preserve">[18]</w:t>
        </w:r>
      </w:hyperlink>
    </w:p>
    <w:p>
      <w:pPr>
        <w:pStyle w:val="BodyText"/>
      </w:pPr>
      <w:r>
        <w:t xml:space="preserve">For</w:t>
      </w:r>
      <w:r>
        <w:t xml:space="preserve"> </w:t>
      </w:r>
      <w:r>
        <w:rPr>
          <w:b/>
          <w:bCs/>
        </w:rPr>
        <w:t xml:space="preserve">loan objects or restricted images</w:t>
      </w:r>
      <w:r>
        <w:t xml:space="preserve">, preserve visibility without implying republication rights. Cooper Hewitt says it does not include loan-object images in downloaded visit exports because it only has permission to host those images on its own collections site, so it links to them instead and loads a placeholder when offline. That is an excellent model for your archive: when rights are restricted, prefer viewer links, source-hosted display, or placeholders over local file copies.</w:t>
      </w:r>
      <w:r>
        <w:t xml:space="preserve"> </w:t>
      </w:r>
      <w:hyperlink r:id="rId37">
        <w:r>
          <w:rPr>
            <w:rStyle w:val="Hyperlink"/>
          </w:rPr>
          <w:t xml:space="preserve">[19]</w:t>
        </w:r>
      </w:hyperlink>
    </w:p>
    <w:p>
      <w:pPr>
        <w:pStyle w:val="BodyText"/>
      </w:pPr>
      <w:r>
        <w:t xml:space="preserve">Use</w:t>
      </w:r>
      <w:r>
        <w:t xml:space="preserve"> </w:t>
      </w:r>
      <w:r>
        <w:rPr>
          <w:b/>
          <w:bCs/>
        </w:rPr>
        <w:t xml:space="preserve">citation-only placeholders</w:t>
      </w:r>
      <w:r>
        <w:t xml:space="preserve"> </w:t>
      </w:r>
      <w:r>
        <w:t xml:space="preserve">when no lawful image display is available. The placeholder should not be a vague “no image” dead end. It should carry, at minimum, the source institution, persistent link, image state, rights status, and a brief statement such as “image known at source; local republication not enabled” or “not digitized / not online / rights not cleared.” RightsStatements.org recommends rights labels appear close to the digital object, and Cooper Hewitt’s placeholder work shows how absence can still be informative.</w:t>
      </w:r>
      <w:r>
        <w:t xml:space="preserve"> </w:t>
      </w:r>
      <w:hyperlink r:id="rId24">
        <w:r>
          <w:rPr>
            <w:rStyle w:val="Hyperlink"/>
          </w:rPr>
          <w:t xml:space="preserve">[20]</w:t>
        </w:r>
      </w:hyperlink>
    </w:p>
    <w:p>
      <w:pPr>
        <w:pStyle w:val="BodyText"/>
      </w:pPr>
      <w:r>
        <w:t xml:space="preserve">Treat</w:t>
      </w:r>
      <w:r>
        <w:t xml:space="preserve"> </w:t>
      </w:r>
      <w:r>
        <w:rPr>
          <w:b/>
          <w:bCs/>
        </w:rPr>
        <w:t xml:space="preserve">screenshots</w:t>
      </w:r>
      <w:r>
        <w:t xml:space="preserve"> </w:t>
      </w:r>
      <w:r>
        <w:t xml:space="preserve">as a last-resort documentary method, not a default acquisition workflow. I did not find a cross-sector rule that simply blesses screenshots as standard archive practice. The stronger signal from current institutions goes the other way: they distinguish previews from downloads, source-hosted display from local copies, and rights summaries from actual reuse permission. So a conservative policy is best: only use screenshots when source terms or a lawful exception have been assessed; keep them low-resolution; label them as screenshots of a source viewer; preserve the source-return link; and never reclassify them as open or publication-grade merely because a screenshot was easy to take. This is a synthesis from V&amp;A’s API rules, LOC’s thumbnail restrictions, Europeana’s rights/preview logic, and Cooper Hewitt’s handling of hosted-only images.</w:t>
      </w:r>
      <w:r>
        <w:t xml:space="preserve"> </w:t>
      </w:r>
      <w:hyperlink r:id="rId38">
        <w:r>
          <w:rPr>
            <w:rStyle w:val="Hyperlink"/>
          </w:rPr>
          <w:t xml:space="preserve">[21]</w:t>
        </w:r>
      </w:hyperlink>
    </w:p>
    <w:p>
      <w:pPr>
        <w:pStyle w:val="BodyText"/>
      </w:pPr>
      <w:r>
        <w:t xml:space="preserve">Scholarly explanation should accompany images, but it should be carefully layered so it does not drift into invention. Cooper Hewitt’s image-description guidance says descriptions should generally begin with the most important visible content and that interpretive knowledge is</w:t>
      </w:r>
      <w:r>
        <w:t xml:space="preserve"> </w:t>
      </w:r>
      <w:r>
        <w:rPr>
          <w:b/>
          <w:bCs/>
        </w:rPr>
        <w:t xml:space="preserve">not always preferred</w:t>
      </w:r>
      <w:r>
        <w:t xml:space="preserve">; information in a description should generally be limited to what can be seen, though context can be added when it genuinely aids understanding. Harvard and NGA show a useful public pattern here: pair a visible image description with a separate gallery text or contextual note. For a design-history archive, that suggests four distinct micro-fields on every strong sheet:</w:t>
      </w:r>
      <w:r>
        <w:t xml:space="preserve"> </w:t>
      </w:r>
      <w:r>
        <w:rPr>
          <w:b/>
          <w:bCs/>
        </w:rPr>
        <w:t xml:space="preserve">Visible evidence</w:t>
      </w:r>
      <w:r>
        <w:t xml:space="preserve">,</w:t>
      </w:r>
      <w:r>
        <w:t xml:space="preserve"> </w:t>
      </w:r>
      <w:r>
        <w:rPr>
          <w:b/>
          <w:bCs/>
        </w:rPr>
        <w:t xml:space="preserve">Documentary context</w:t>
      </w:r>
      <w:r>
        <w:t xml:space="preserve">,</w:t>
      </w:r>
      <w:r>
        <w:t xml:space="preserve"> </w:t>
      </w:r>
      <w:r>
        <w:rPr>
          <w:b/>
          <w:bCs/>
        </w:rPr>
        <w:t xml:space="preserve">Interpretation with source</w:t>
      </w:r>
      <w:r>
        <w:t xml:space="preserve">, and</w:t>
      </w:r>
      <w:r>
        <w:t xml:space="preserve"> </w:t>
      </w:r>
      <w:r>
        <w:rPr>
          <w:b/>
          <w:bCs/>
        </w:rPr>
        <w:t xml:space="preserve">Uncertainties/open questions</w:t>
      </w:r>
      <w:r>
        <w:t xml:space="preserve">.</w:t>
      </w:r>
      <w:r>
        <w:t xml:space="preserve"> </w:t>
      </w:r>
      <w:hyperlink r:id="rId39">
        <w:r>
          <w:rPr>
            <w:rStyle w:val="Hyperlink"/>
          </w:rPr>
          <w:t xml:space="preserve">[22]</w:t>
        </w:r>
      </w:hyperlink>
    </w:p>
    <w:bookmarkEnd w:id="40"/>
    <w:bookmarkStart w:id="42" w:name="Xcf2261e90a66f6f2590e626c403c6d4ccbd468b"/>
    <w:p>
      <w:pPr>
        <w:pStyle w:val="Heading2"/>
      </w:pPr>
      <w:r>
        <w:t xml:space="preserve">Reporting image coverage and publication decisions</w:t>
      </w:r>
    </w:p>
    <w:p>
      <w:pPr>
        <w:pStyle w:val="FirstParagraph"/>
      </w:pPr>
      <w:r>
        <w:t xml:space="preserve">A rights-aware archive should report coverage across</w:t>
      </w:r>
      <w:r>
        <w:t xml:space="preserve"> </w:t>
      </w:r>
      <w:r>
        <w:rPr>
          <w:b/>
          <w:bCs/>
        </w:rPr>
        <w:t xml:space="preserve">period, region, source type, and image state</w:t>
      </w:r>
      <w:r>
        <w:t xml:space="preserve">, not just a single archive-wide image percentage. The benchmark platforms all expose some sort of faceting or filtering that makes this kind of reporting normal rather than exotic: Letterform Archive browses by country, designer, decade, and format; Fonts In Use indexes by typeface, format, industry, and period; MoMA offers date and “has image” filters; and PGDA sorts by item date, contribution date, tags, and format.</w:t>
      </w:r>
      <w:r>
        <w:t xml:space="preserve"> </w:t>
      </w:r>
      <w:hyperlink r:id="rId41">
        <w:r>
          <w:rPr>
            <w:rStyle w:val="Hyperlink"/>
          </w:rPr>
          <w:t xml:space="preserve">[23]</w:t>
        </w:r>
      </w:hyperlink>
    </w:p>
    <w:p>
      <w:pPr>
        <w:pStyle w:val="BodyText"/>
      </w:pPr>
      <w:r>
        <w:t xml:space="preserve">The most useful dashboard is therefore a matrix, repeated across your major reporting dimensions, with at least these fields: total records; source-visible percentage; publication-grade percentage; open-image percentage; rights-restricted percentage; median images on main sheet; percentage with machine-readable rights URI; percentage with outbound source link; and percentage with a visible-description field. If you keep IMG00–IMG04, report all of those counts by decade, region, and source family. That will quickly show whether, for example, postwar Japanese packaging is image-rich but under-described, or whether early political posters in Latin America are text-rich but thumbnail-bound.</w:t>
      </w:r>
      <w:r>
        <w:t xml:space="preserve"> </w:t>
      </w:r>
      <w:hyperlink r:id="rId29">
        <w:r>
          <w:rPr>
            <w:rStyle w:val="Hyperlink"/>
          </w:rPr>
          <w:t xml:space="preserve">[24]</w:t>
        </w:r>
      </w:hyperlink>
    </w:p>
    <w:p>
      <w:pPr>
        <w:pStyle w:val="BodyText"/>
      </w:pPr>
      <w:r>
        <w:t xml:space="preserve">Three publication outcomes are especially useful:</w:t>
      </w:r>
    </w:p>
    <w:p>
      <w:pPr>
        <w:pStyle w:val="BodyText"/>
      </w:pPr>
      <w:r>
        <w:rPr>
          <w:b/>
          <w:bCs/>
        </w:rPr>
        <w:t xml:space="preserve">Good enough.</w:t>
      </w:r>
      <w:r>
        <w:t xml:space="preserve"> </w:t>
      </w:r>
      <w:r>
        <w:t xml:space="preserve">A sheet with one clear lawful anchor image, one to three genuinely additive supporting views, explicit rights state, source citation, and a short explanation that clearly separates visible facts from sourced historical context. This is the standard most museum-quality public records already approximate, even when the image is not open.</w:t>
      </w:r>
      <w:r>
        <w:t xml:space="preserve"> </w:t>
      </w:r>
      <w:hyperlink r:id="rId21">
        <w:r>
          <w:rPr>
            <w:rStyle w:val="Hyperlink"/>
          </w:rPr>
          <w:t xml:space="preserve">[25]</w:t>
        </w:r>
      </w:hyperlink>
    </w:p>
    <w:p>
      <w:pPr>
        <w:pStyle w:val="BodyText"/>
      </w:pPr>
      <w:r>
        <w:rPr>
          <w:b/>
          <w:bCs/>
        </w:rPr>
        <w:t xml:space="preserve">Needs enrichment.</w:t>
      </w:r>
      <w:r>
        <w:t xml:space="preserve"> </w:t>
      </w:r>
      <w:r>
        <w:t xml:space="preserve">A record with historical value but not yet enough lawful or descriptive support for a full main sheet. Common examples are: thumbnail-only items; strong source visibility but no local display basis; strong images but incomplete creator/date/provenance; or a promising community-contributed record whose interpretation outruns its citations. These should still be public, but as a card, slip, bookmark, or text page rather than a flagship sheet. LOC, DPLA, Europeana, PGDA, and Cooper Hewitt all provide models for this intermediate state.</w:t>
      </w:r>
      <w:r>
        <w:t xml:space="preserve"> </w:t>
      </w:r>
      <w:hyperlink r:id="rId31">
        <w:r>
          <w:rPr>
            <w:rStyle w:val="Hyperlink"/>
          </w:rPr>
          <w:t xml:space="preserve">[26]</w:t>
        </w:r>
      </w:hyperlink>
    </w:p>
    <w:p>
      <w:pPr>
        <w:pStyle w:val="BodyText"/>
      </w:pPr>
      <w:r>
        <w:rPr>
          <w:b/>
          <w:bCs/>
        </w:rPr>
        <w:t xml:space="preserve">Do not publish as sheet.</w:t>
      </w:r>
      <w:r>
        <w:t xml:space="preserve"> </w:t>
      </w:r>
      <w:r>
        <w:t xml:space="preserve">Records with no lawful visual witness; no source-return link; no stable source attribution; unclear rights state; or heavily interpretive text that is not anchored in visible evidence and external citation. Also avoid main-sheet publication when the visual set is bloated with repetitive images that do not add evidence, because that increases moderation burden and legal exposure without increasing understanding. Fonts In Use’s six-image guidance is useful here: if you need more than that on the face of the record, the archive usually needs a better page architecture, not just more images.</w:t>
      </w:r>
      <w:r>
        <w:t xml:space="preserve"> </w:t>
      </w:r>
      <w:hyperlink r:id="rId23">
        <w:r>
          <w:rPr>
            <w:rStyle w:val="Hyperlink"/>
          </w:rPr>
          <w:t xml:space="preserve">[27]</w:t>
        </w:r>
      </w:hyperlink>
    </w:p>
    <w:bookmarkEnd w:id="42"/>
    <w:bookmarkStart w:id="43" w:name="open-questions-and-limitations"/>
    <w:p>
      <w:pPr>
        <w:pStyle w:val="Heading2"/>
      </w:pPr>
      <w:r>
        <w:t xml:space="preserve">Open questions and limitations</w:t>
      </w:r>
    </w:p>
    <w:p>
      <w:pPr>
        <w:pStyle w:val="FirstParagraph"/>
      </w:pPr>
      <w:r>
        <w:t xml:space="preserve">This report synthesizes</w:t>
      </w:r>
      <w:r>
        <w:t xml:space="preserve"> </w:t>
      </w:r>
      <w:r>
        <w:rPr>
          <w:b/>
          <w:bCs/>
        </w:rPr>
        <w:t xml:space="preserve">observable institutional practice</w:t>
      </w:r>
      <w:r>
        <w:t xml:space="preserve">, not a single binding legal rule. That matters most for screenshots, educational exceptions, and fair-use or fair-dealing questions, which vary by jurisdiction and are often fact-specific. Europeana itself says its copyright guidance is not legal advice, and RightsStatements.org stresses that rights statements are high-level summaries that may still be imperfect or incomplete.</w:t>
      </w:r>
      <w:r>
        <w:t xml:space="preserve"> </w:t>
      </w:r>
      <w:hyperlink r:id="rId26">
        <w:r>
          <w:rPr>
            <w:rStyle w:val="Hyperlink"/>
          </w:rPr>
          <w:t xml:space="preserve">[28]</w:t>
        </w:r>
      </w:hyperlink>
    </w:p>
    <w:p>
      <w:pPr>
        <w:pStyle w:val="BodyText"/>
      </w:pPr>
      <w:r>
        <w:t xml:space="preserve">Some benchmarks are also unevenly public. A few institutions expose strong public collection pages but less public operational detail about internal publication thresholds. For that reason, the exact launch percentages above are recommendations rather than a sector consensus document. They are meant to be realistic, rights-aware, and operationally legible for a visual archive of graphic design history: high enough to protect public usefulness, low enough to survive real-world rights and digitization constraints.</w:t>
      </w:r>
      <w:r>
        <w:t xml:space="preserve"> </w:t>
      </w:r>
      <w:hyperlink r:id="rId22">
        <w:r>
          <w:rPr>
            <w:rStyle w:val="Hyperlink"/>
          </w:rPr>
          <w:t xml:space="preserve">[29]</w:t>
        </w:r>
      </w:hyperlink>
    </w:p>
    <w:bookmarkEnd w:id="43"/>
    <w:bookmarkEnd w:id="44"/>
    <w:bookmarkEnd w:id="45"/>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[25]</w:t>
        </w:r>
      </w:hyperlink>
      <w:r>
        <w:t xml:space="preserve"> </w:t>
      </w:r>
      <w:r>
        <w:t xml:space="preserve">https://harvardartmuseums.org/collections/object/228652</w:t>
      </w:r>
    </w:p>
    <w:p>
      <w:pPr>
        <w:pStyle w:val="BodyText"/>
      </w:pPr>
      <w:hyperlink r:id="rId21">
        <w:r>
          <w:rPr>
            <w:rStyle w:val="Hyperlink"/>
          </w:rPr>
          <w:t xml:space="preserve">https://harvardartmuseums.org/collections/object/228652</w:t>
        </w:r>
      </w:hyperlink>
    </w:p>
    <w:p>
      <w:pPr>
        <w:pStyle w:val="BodyText"/>
      </w:pPr>
      <w:hyperlink r:id="rId22">
        <w:r>
          <w:rPr>
            <w:rStyle w:val="Hyperlink"/>
          </w:rPr>
          <w:t xml:space="preserve">[2]</w:t>
        </w:r>
      </w:hyperlink>
      <w:r>
        <w:t xml:space="preserve"> </w:t>
      </w:r>
      <w:hyperlink r:id="rId22">
        <w:r>
          <w:rPr>
            <w:rStyle w:val="Hyperlink"/>
          </w:rPr>
          <w:t xml:space="preserve">[29]</w:t>
        </w:r>
      </w:hyperlink>
      <w:r>
        <w:t xml:space="preserve"> </w:t>
      </w:r>
      <w:r>
        <w:t xml:space="preserve">https://www.si.edu/newsdesk/factsheets/digitization-smithsonian-collections</w:t>
      </w:r>
    </w:p>
    <w:p>
      <w:pPr>
        <w:pStyle w:val="BodyText"/>
      </w:pPr>
      <w:hyperlink r:id="rId22">
        <w:r>
          <w:rPr>
            <w:rStyle w:val="Hyperlink"/>
          </w:rPr>
          <w:t xml:space="preserve">https://www.si.edu/newsdesk/factsheets/digitization-smithsonian-collections</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hyperlink r:id="rId23">
        <w:r>
          <w:rPr>
            <w:rStyle w:val="Hyperlink"/>
          </w:rPr>
          <w:t xml:space="preserve">[10]</w:t>
        </w:r>
      </w:hyperlink>
      <w:r>
        <w:t xml:space="preserve"> </w:t>
      </w:r>
      <w:hyperlink r:id="rId23">
        <w:r>
          <w:rPr>
            <w:rStyle w:val="Hyperlink"/>
          </w:rPr>
          <w:t xml:space="preserve">[27]</w:t>
        </w:r>
      </w:hyperlink>
      <w:r>
        <w:t xml:space="preserve"> </w:t>
      </w:r>
      <w:r>
        <w:t xml:space="preserve">https://fontsinuse.com/faq</w:t>
      </w:r>
    </w:p>
    <w:p>
      <w:pPr>
        <w:pStyle w:val="BodyText"/>
      </w:pPr>
      <w:hyperlink r:id="rId23">
        <w:r>
          <w:rPr>
            <w:rStyle w:val="Hyperlink"/>
          </w:rPr>
          <w:t xml:space="preserve">https://fontsinuse.com/faq</w:t>
        </w:r>
      </w:hyperlink>
    </w:p>
    <w:p>
      <w:pPr>
        <w:pStyle w:val="BodyText"/>
      </w:pPr>
      <w:hyperlink r:id="rId24">
        <w:r>
          <w:rPr>
            <w:rStyle w:val="Hyperlink"/>
          </w:rPr>
          <w:t xml:space="preserve">[4]</w:t>
        </w:r>
      </w:hyperlink>
      <w:r>
        <w:t xml:space="preserve"> </w:t>
      </w:r>
      <w:hyperlink r:id="rId24">
        <w:r>
          <w:rPr>
            <w:rStyle w:val="Hyperlink"/>
          </w:rPr>
          <w:t xml:space="preserve">[20]</w:t>
        </w:r>
      </w:hyperlink>
      <w:r>
        <w:t xml:space="preserve"> </w:t>
      </w:r>
      <w:r>
        <w:t xml:space="preserve">https://rightsstatements.org/en/documentation/</w:t>
      </w:r>
    </w:p>
    <w:p>
      <w:pPr>
        <w:pStyle w:val="BodyText"/>
      </w:pPr>
      <w:hyperlink r:id="rId24">
        <w:r>
          <w:rPr>
            <w:rStyle w:val="Hyperlink"/>
          </w:rPr>
          <w:t xml:space="preserve">https://rightsstatements.org/en/documentation/</w:t>
        </w:r>
      </w:hyperlink>
    </w:p>
    <w:p>
      <w:pPr>
        <w:pStyle w:val="BodyText"/>
      </w:pPr>
      <w:hyperlink r:id="rId26">
        <w:r>
          <w:rPr>
            <w:rStyle w:val="Hyperlink"/>
          </w:rPr>
          <w:t xml:space="preserve">[6]</w:t>
        </w:r>
      </w:hyperlink>
      <w:r>
        <w:t xml:space="preserve"> </w:t>
      </w:r>
      <w:hyperlink r:id="rId26">
        <w:r>
          <w:rPr>
            <w:rStyle w:val="Hyperlink"/>
          </w:rPr>
          <w:t xml:space="preserve">[28]</w:t>
        </w:r>
      </w:hyperlink>
      <w:r>
        <w:t xml:space="preserve"> </w:t>
      </w:r>
      <w:r>
        <w:t xml:space="preserve">https://pro.europeana.eu/page/identifying-copyright-in-collection-items</w:t>
      </w:r>
    </w:p>
    <w:p>
      <w:pPr>
        <w:pStyle w:val="BodyText"/>
      </w:pPr>
      <w:hyperlink r:id="rId26">
        <w:r>
          <w:rPr>
            <w:rStyle w:val="Hyperlink"/>
          </w:rPr>
          <w:t xml:space="preserve">https://pro.europeana.eu/page/identifying-copyright-in-collection-items</w:t>
        </w:r>
      </w:hyperlink>
    </w:p>
    <w:p>
      <w:pPr>
        <w:pStyle w:val="BodyText"/>
      </w:pPr>
      <w:hyperlink r:id="rId28">
        <w:r>
          <w:rPr>
            <w:rStyle w:val="Hyperlink"/>
          </w:rPr>
          <w:t xml:space="preserve">[7]</w:t>
        </w:r>
      </w:hyperlink>
      <w:r>
        <w:t xml:space="preserve"> </w:t>
      </w:r>
      <w:hyperlink r:id="rId28">
        <w:r>
          <w:rPr>
            <w:rStyle w:val="Hyperlink"/>
          </w:rPr>
          <w:t xml:space="preserve">[15]</w:t>
        </w:r>
      </w:hyperlink>
      <w:r>
        <w:t xml:space="preserve"> </w:t>
      </w:r>
      <w:r>
        <w:t xml:space="preserve">https://labs.cooperhewitt.org/2013/albers-boxes/</w:t>
      </w:r>
    </w:p>
    <w:p>
      <w:pPr>
        <w:pStyle w:val="BodyText"/>
      </w:pPr>
      <w:hyperlink r:id="rId28">
        <w:r>
          <w:rPr>
            <w:rStyle w:val="Hyperlink"/>
          </w:rPr>
          <w:t xml:space="preserve">https://labs.cooperhewitt.org/2013/albers-boxes/</w:t>
        </w:r>
      </w:hyperlink>
    </w:p>
    <w:p>
      <w:pPr>
        <w:pStyle w:val="BodyText"/>
      </w:pPr>
      <w:hyperlink r:id="rId29">
        <w:r>
          <w:rPr>
            <w:rStyle w:val="Hyperlink"/>
          </w:rPr>
          <w:t xml:space="preserve">[9]</w:t>
        </w:r>
      </w:hyperlink>
      <w:r>
        <w:t xml:space="preserve"> </w:t>
      </w:r>
      <w:hyperlink r:id="rId29">
        <w:r>
          <w:rPr>
            <w:rStyle w:val="Hyperlink"/>
          </w:rPr>
          <w:t xml:space="preserve">[18]</w:t>
        </w:r>
      </w:hyperlink>
      <w:r>
        <w:t xml:space="preserve"> </w:t>
      </w:r>
      <w:hyperlink r:id="rId29">
        <w:r>
          <w:rPr>
            <w:rStyle w:val="Hyperlink"/>
          </w:rPr>
          <w:t xml:space="preserve">[24]</w:t>
        </w:r>
      </w:hyperlink>
      <w:r>
        <w:t xml:space="preserve"> </w:t>
      </w:r>
      <w:r>
        <w:t xml:space="preserve">https://europeana.atlassian.net/wiki/spaces/EF/pages/2059763713/EPF%2B-%2BPublishing%2Bguide</w:t>
      </w:r>
    </w:p>
    <w:p>
      <w:pPr>
        <w:pStyle w:val="BodyText"/>
      </w:pPr>
      <w:hyperlink r:id="rId29">
        <w:r>
          <w:rPr>
            <w:rStyle w:val="Hyperlink"/>
          </w:rPr>
          <w:t xml:space="preserve">https://europeana.atlassian.net/wiki/spaces/EF/pages/2059763713/EPF%2B-%2BPublishing%2Bguide</w:t>
        </w:r>
      </w:hyperlink>
    </w:p>
    <w:p>
      <w:pPr>
        <w:pStyle w:val="BodyText"/>
      </w:pPr>
      <w:hyperlink r:id="rId31">
        <w:r>
          <w:rPr>
            <w:rStyle w:val="Hyperlink"/>
          </w:rPr>
          <w:t xml:space="preserve">[11]</w:t>
        </w:r>
      </w:hyperlink>
      <w:r>
        <w:t xml:space="preserve"> </w:t>
      </w:r>
      <w:hyperlink r:id="rId31">
        <w:r>
          <w:rPr>
            <w:rStyle w:val="Hyperlink"/>
          </w:rPr>
          <w:t xml:space="preserve">[26]</w:t>
        </w:r>
      </w:hyperlink>
      <w:r>
        <w:t xml:space="preserve"> </w:t>
      </w:r>
      <w:r>
        <w:t xml:space="preserve">https://www.loc.gov/research-centers/prints-and-photographs/researcher-resources/prints-and-photographs-online-catalog/</w:t>
      </w:r>
    </w:p>
    <w:p>
      <w:pPr>
        <w:pStyle w:val="BodyText"/>
      </w:pPr>
      <w:hyperlink r:id="rId31">
        <w:r>
          <w:rPr>
            <w:rStyle w:val="Hyperlink"/>
          </w:rPr>
          <w:t xml:space="preserve">https://www.loc.gov/research-centers/prints-and-photographs/researcher-resources/prints-and-photographs-online-catalog/</w:t>
        </w:r>
      </w:hyperlink>
    </w:p>
    <w:p>
      <w:pPr>
        <w:pStyle w:val="BodyText"/>
      </w:pPr>
      <w:hyperlink r:id="rId32">
        <w:r>
          <w:rPr>
            <w:rStyle w:val="Hyperlink"/>
          </w:rPr>
          <w:t xml:space="preserve">[12]</w:t>
        </w:r>
      </w:hyperlink>
      <w:r>
        <w:t xml:space="preserve"> </w:t>
      </w:r>
      <w:hyperlink r:id="rId32">
        <w:r>
          <w:rPr>
            <w:rStyle w:val="Hyperlink"/>
          </w:rPr>
          <w:t xml:space="preserve">[17]</w:t>
        </w:r>
      </w:hyperlink>
      <w:r>
        <w:t xml:space="preserve"> </w:t>
      </w:r>
      <w:r>
        <w:t xml:space="preserve">Presentation API 3.0</w:t>
      </w:r>
    </w:p>
    <w:p>
      <w:pPr>
        <w:pStyle w:val="BodyText"/>
      </w:pPr>
      <w:hyperlink r:id="rId32">
        <w:r>
          <w:rPr>
            <w:rStyle w:val="Hyperlink"/>
          </w:rPr>
          <w:t xml:space="preserve">https://iiif.io/api/presentation/3.0/?utm_source=chatgpt.com</w:t>
        </w:r>
      </w:hyperlink>
    </w:p>
    <w:p>
      <w:pPr>
        <w:pStyle w:val="BodyText"/>
      </w:pPr>
      <w:hyperlink r:id="rId33">
        <w:r>
          <w:rPr>
            <w:rStyle w:val="Hyperlink"/>
          </w:rPr>
          <w:t xml:space="preserve">[13]</w:t>
        </w:r>
      </w:hyperlink>
      <w:r>
        <w:t xml:space="preserve"> </w:t>
      </w:r>
      <w:r>
        <w:t xml:space="preserve">https://www.moma.org/collection/</w:t>
      </w:r>
    </w:p>
    <w:p>
      <w:pPr>
        <w:pStyle w:val="BodyText"/>
      </w:pPr>
      <w:hyperlink r:id="rId33">
        <w:r>
          <w:rPr>
            <w:rStyle w:val="Hyperlink"/>
          </w:rPr>
          <w:t xml:space="preserve">https://www.moma.org/collection/</w:t>
        </w:r>
      </w:hyperlink>
    </w:p>
    <w:p>
      <w:pPr>
        <w:pStyle w:val="BodyText"/>
      </w:pPr>
      <w:hyperlink r:id="rId34">
        <w:r>
          <w:rPr>
            <w:rStyle w:val="Hyperlink"/>
          </w:rPr>
          <w:t xml:space="preserve">[14]</w:t>
        </w:r>
      </w:hyperlink>
      <w:r>
        <w:t xml:space="preserve"> </w:t>
      </w:r>
      <w:r>
        <w:t xml:space="preserve">https://peoplesgdarchive.org/item/10859/hatsune-miku-v2-program-box</w:t>
      </w:r>
    </w:p>
    <w:p>
      <w:pPr>
        <w:pStyle w:val="BodyText"/>
      </w:pPr>
      <w:hyperlink r:id="rId34">
        <w:r>
          <w:rPr>
            <w:rStyle w:val="Hyperlink"/>
          </w:rPr>
          <w:t xml:space="preserve">https://peoplesgdarchive.org/item/10859/hatsune-miku-v2-program-box</w:t>
        </w:r>
      </w:hyperlink>
    </w:p>
    <w:p>
      <w:pPr>
        <w:pStyle w:val="BodyText"/>
      </w:pPr>
      <w:hyperlink r:id="rId36">
        <w:r>
          <w:rPr>
            <w:rStyle w:val="Hyperlink"/>
          </w:rPr>
          <w:t xml:space="preserve">[16]</w:t>
        </w:r>
      </w:hyperlink>
      <w:r>
        <w:t xml:space="preserve"> </w:t>
      </w:r>
      <w:r>
        <w:t xml:space="preserve">https://www.si.edu/openaccess</w:t>
      </w:r>
    </w:p>
    <w:p>
      <w:pPr>
        <w:pStyle w:val="BodyText"/>
      </w:pPr>
      <w:hyperlink r:id="rId36">
        <w:r>
          <w:rPr>
            <w:rStyle w:val="Hyperlink"/>
          </w:rPr>
          <w:t xml:space="preserve">https://www.si.edu/openaccess</w:t>
        </w:r>
      </w:hyperlink>
    </w:p>
    <w:p>
      <w:pPr>
        <w:pStyle w:val="BodyText"/>
      </w:pPr>
      <w:hyperlink r:id="rId37">
        <w:r>
          <w:rPr>
            <w:rStyle w:val="Hyperlink"/>
          </w:rPr>
          <w:t xml:space="preserve">[19]</w:t>
        </w:r>
      </w:hyperlink>
      <w:r>
        <w:t xml:space="preserve"> </w:t>
      </w:r>
      <w:r>
        <w:t xml:space="preserve">https://labs.cooperhewitt.org/2015/exporting-your-visits/</w:t>
      </w:r>
    </w:p>
    <w:p>
      <w:pPr>
        <w:pStyle w:val="BodyText"/>
      </w:pPr>
      <w:hyperlink r:id="rId37">
        <w:r>
          <w:rPr>
            <w:rStyle w:val="Hyperlink"/>
          </w:rPr>
          <w:t xml:space="preserve">https://labs.cooperhewitt.org/2015/exporting-your-visits/</w:t>
        </w:r>
      </w:hyperlink>
    </w:p>
    <w:p>
      <w:pPr>
        <w:pStyle w:val="BodyText"/>
      </w:pPr>
      <w:hyperlink r:id="rId38">
        <w:r>
          <w:rPr>
            <w:rStyle w:val="Hyperlink"/>
          </w:rPr>
          <w:t xml:space="preserve">[21]</w:t>
        </w:r>
      </w:hyperlink>
      <w:r>
        <w:t xml:space="preserve"> </w:t>
      </w:r>
      <w:r>
        <w:t xml:space="preserve">https://www.vam.ac.uk/info/va-websites-terms-conditions?srsltid=AfmBOooA2Qo4ruvHGvb1vrVj1Ux9pOp3qYUL6Lc6Xe7immosUo39Po9s</w:t>
      </w:r>
    </w:p>
    <w:p>
      <w:pPr>
        <w:pStyle w:val="BodyText"/>
      </w:pPr>
      <w:hyperlink r:id="rId38">
        <w:r>
          <w:rPr>
            <w:rStyle w:val="Hyperlink"/>
          </w:rPr>
          <w:t xml:space="preserve">https://www.vam.ac.uk/info/va-websites-terms-conditions?srsltid=AfmBOooA2Qo4ruvHGvb1vrVj1Ux9pOp3qYUL6Lc6Xe7immosUo39Po9s</w:t>
        </w:r>
      </w:hyperlink>
    </w:p>
    <w:p>
      <w:pPr>
        <w:pStyle w:val="BodyText"/>
      </w:pPr>
      <w:hyperlink r:id="rId39">
        <w:r>
          <w:rPr>
            <w:rStyle w:val="Hyperlink"/>
          </w:rPr>
          <w:t xml:space="preserve">[22]</w:t>
        </w:r>
      </w:hyperlink>
      <w:r>
        <w:t xml:space="preserve"> </w:t>
      </w:r>
      <w:r>
        <w:t xml:space="preserve">https://www.cooperhewitt.org/cooper-hewitt-guidelines-for-image-description/</w:t>
      </w:r>
    </w:p>
    <w:p>
      <w:pPr>
        <w:pStyle w:val="BodyText"/>
      </w:pPr>
      <w:hyperlink r:id="rId39">
        <w:r>
          <w:rPr>
            <w:rStyle w:val="Hyperlink"/>
          </w:rPr>
          <w:t xml:space="preserve">https://www.cooperhewitt.org/cooper-hewitt-guidelines-for-image-description/</w:t>
        </w:r>
      </w:hyperlink>
    </w:p>
    <w:p>
      <w:pPr>
        <w:pStyle w:val="BodyText"/>
      </w:pPr>
      <w:hyperlink r:id="rId41">
        <w:r>
          <w:rPr>
            <w:rStyle w:val="Hyperlink"/>
          </w:rPr>
          <w:t xml:space="preserve">[23]</w:t>
        </w:r>
      </w:hyperlink>
      <w:r>
        <w:t xml:space="preserve"> </w:t>
      </w:r>
      <w:r>
        <w:t xml:space="preserve">https://letterformarchive.org/online-archive/?srsltid=AfmBOopoTzFYnn8nmUbQihSmZe-V2EFtdvBLRf5wRDSo7izU3h2E8Vqz</w:t>
      </w:r>
    </w:p>
    <w:p>
      <w:pPr>
        <w:pStyle w:val="BodyText"/>
      </w:pPr>
      <w:hyperlink r:id="rId41">
        <w:r>
          <w:rPr>
            <w:rStyle w:val="Hyperlink"/>
          </w:rPr>
          <w:t xml:space="preserve">https://letterformarchive.org/online-archive/?srsltid=AfmBOopoTzFYnn8nmUbQihSmZe-V2EFtdvBLRf5wRDSo7izU3h2E8Vqz</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europeana.atlassian.net/wiki/spaces/EF/pages/2059763713/EPF%2B-%2BPublishing%2Bguide" TargetMode="External" /><Relationship Type="http://schemas.openxmlformats.org/officeDocument/2006/relationships/hyperlink" Id="rId23" Target="https://fontsinuse.com/faq" TargetMode="External" /><Relationship Type="http://schemas.openxmlformats.org/officeDocument/2006/relationships/hyperlink" Id="rId21" Target="https://harvardartmuseums.org/collections/object/228652" TargetMode="External" /><Relationship Type="http://schemas.openxmlformats.org/officeDocument/2006/relationships/hyperlink" Id="rId32" Target="https://iiif.io/api/presentation/3.0/?utm_source=chatgpt.com" TargetMode="External" /><Relationship Type="http://schemas.openxmlformats.org/officeDocument/2006/relationships/hyperlink" Id="rId28" Target="https://labs.cooperhewitt.org/2013/albers-boxes/" TargetMode="External" /><Relationship Type="http://schemas.openxmlformats.org/officeDocument/2006/relationships/hyperlink" Id="rId37" Target="https://labs.cooperhewitt.org/2015/exporting-your-visits/" TargetMode="External" /><Relationship Type="http://schemas.openxmlformats.org/officeDocument/2006/relationships/hyperlink" Id="rId41" Target="https://letterformarchive.org/online-archive/?srsltid=AfmBOopoTzFYnn8nmUbQihSmZe-V2EFtdvBLRf5wRDSo7izU3h2E8Vqz" TargetMode="External" /><Relationship Type="http://schemas.openxmlformats.org/officeDocument/2006/relationships/hyperlink" Id="rId34" Target="https://peoplesgdarchive.org/item/10859/hatsune-miku-v2-program-box" TargetMode="External" /><Relationship Type="http://schemas.openxmlformats.org/officeDocument/2006/relationships/hyperlink" Id="rId26" Target="https://pro.europeana.eu/page/identifying-copyright-in-collection-items" TargetMode="External" /><Relationship Type="http://schemas.openxmlformats.org/officeDocument/2006/relationships/hyperlink" Id="rId24" Target="https://rightsstatements.org/en/documentation/" TargetMode="External" /><Relationship Type="http://schemas.openxmlformats.org/officeDocument/2006/relationships/hyperlink" Id="rId39" Target="https://www.cooperhewitt.org/cooper-hewitt-guidelines-for-image-description/" TargetMode="External" /><Relationship Type="http://schemas.openxmlformats.org/officeDocument/2006/relationships/hyperlink" Id="rId31" Target="https://www.loc.gov/research-centers/prints-and-photographs/researcher-resources/prints-and-photographs-online-catalog/" TargetMode="External" /><Relationship Type="http://schemas.openxmlformats.org/officeDocument/2006/relationships/hyperlink" Id="rId33" Target="https://www.moma.org/collection/" TargetMode="External" /><Relationship Type="http://schemas.openxmlformats.org/officeDocument/2006/relationships/hyperlink" Id="rId22" Target="https://www.si.edu/newsdesk/factsheets/digitization-smithsonian-collections" TargetMode="External" /><Relationship Type="http://schemas.openxmlformats.org/officeDocument/2006/relationships/hyperlink" Id="rId36" Target="https://www.si.edu/openaccess" TargetMode="External" /><Relationship Type="http://schemas.openxmlformats.org/officeDocument/2006/relationships/hyperlink" Id="rId38" Target="https://www.vam.ac.uk/info/va-websites-terms-conditions?srsltid=AfmBOooA2Qo4ruvHGvb1vrVj1Ux9pOp3qYUL6Lc6Xe7immosUo39Po9s" TargetMode="External" /></Relationships>
</file>

<file path=word/_rels/footnotes.xml.rels><?xml version="1.0" encoding="UTF-8"?><Relationships xmlns="http://schemas.openxmlformats.org/package/2006/relationships"><Relationship Type="http://schemas.openxmlformats.org/officeDocument/2006/relationships/hyperlink" Id="rId29" Target="https://europeana.atlassian.net/wiki/spaces/EF/pages/2059763713/EPF%2B-%2BPublishing%2Bguide" TargetMode="External" /><Relationship Type="http://schemas.openxmlformats.org/officeDocument/2006/relationships/hyperlink" Id="rId23" Target="https://fontsinuse.com/faq" TargetMode="External" /><Relationship Type="http://schemas.openxmlformats.org/officeDocument/2006/relationships/hyperlink" Id="rId21" Target="https://harvardartmuseums.org/collections/object/228652" TargetMode="External" /><Relationship Type="http://schemas.openxmlformats.org/officeDocument/2006/relationships/hyperlink" Id="rId32" Target="https://iiif.io/api/presentation/3.0/?utm_source=chatgpt.com" TargetMode="External" /><Relationship Type="http://schemas.openxmlformats.org/officeDocument/2006/relationships/hyperlink" Id="rId28" Target="https://labs.cooperhewitt.org/2013/albers-boxes/" TargetMode="External" /><Relationship Type="http://schemas.openxmlformats.org/officeDocument/2006/relationships/hyperlink" Id="rId37" Target="https://labs.cooperhewitt.org/2015/exporting-your-visits/" TargetMode="External" /><Relationship Type="http://schemas.openxmlformats.org/officeDocument/2006/relationships/hyperlink" Id="rId41" Target="https://letterformarchive.org/online-archive/?srsltid=AfmBOopoTzFYnn8nmUbQihSmZe-V2EFtdvBLRf5wRDSo7izU3h2E8Vqz" TargetMode="External" /><Relationship Type="http://schemas.openxmlformats.org/officeDocument/2006/relationships/hyperlink" Id="rId34" Target="https://peoplesgdarchive.org/item/10859/hatsune-miku-v2-program-box" TargetMode="External" /><Relationship Type="http://schemas.openxmlformats.org/officeDocument/2006/relationships/hyperlink" Id="rId26" Target="https://pro.europeana.eu/page/identifying-copyright-in-collection-items" TargetMode="External" /><Relationship Type="http://schemas.openxmlformats.org/officeDocument/2006/relationships/hyperlink" Id="rId24" Target="https://rightsstatements.org/en/documentation/" TargetMode="External" /><Relationship Type="http://schemas.openxmlformats.org/officeDocument/2006/relationships/hyperlink" Id="rId39" Target="https://www.cooperhewitt.org/cooper-hewitt-guidelines-for-image-description/" TargetMode="External" /><Relationship Type="http://schemas.openxmlformats.org/officeDocument/2006/relationships/hyperlink" Id="rId31" Target="https://www.loc.gov/research-centers/prints-and-photographs/researcher-resources/prints-and-photographs-online-catalog/" TargetMode="External" /><Relationship Type="http://schemas.openxmlformats.org/officeDocument/2006/relationships/hyperlink" Id="rId33" Target="https://www.moma.org/collection/" TargetMode="External" /><Relationship Type="http://schemas.openxmlformats.org/officeDocument/2006/relationships/hyperlink" Id="rId22" Target="https://www.si.edu/newsdesk/factsheets/digitization-smithsonian-collections" TargetMode="External" /><Relationship Type="http://schemas.openxmlformats.org/officeDocument/2006/relationships/hyperlink" Id="rId36" Target="https://www.si.edu/openaccess" TargetMode="External" /><Relationship Type="http://schemas.openxmlformats.org/officeDocument/2006/relationships/hyperlink" Id="rId38" Target="https://www.vam.ac.uk/info/va-websites-terms-conditions?srsltid=AfmBOooA2Qo4ruvHGvb1vrVj1Ux9pOp3qYUL6Lc6Xe7immosUo39Po9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2026-06-01T12:24:25Z</dcterms:created>
  <dcterms:modified xsi:type="dcterms:W3CDTF">2026-06-01T12:24:25Z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