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F172A"/>
          <w:sz w:val="56"/>
        </w:rPr>
        <w:t>Caldrisa Dental compliance memo</w:t>
      </w:r>
    </w:p>
    <w:p>
      <w:r>
        <w:rPr>
          <w:i/>
          <w:color w:val="4B5563"/>
          <w:sz w:val="26"/>
        </w:rPr>
        <w:t>Operational pilot controls</w:t>
      </w:r>
    </w:p>
    <w:p>
      <w:r>
        <w:rPr>
          <w:color w:val="6B7280"/>
          <w:sz w:val="20"/>
        </w:rPr>
        <w:t>Prepared by Daniel Panea Lichtig · Drafted 2026-01-01 · Internal working document</w:t>
      </w:r>
    </w:p>
    <w:p/>
    <w:p>
      <w:pPr>
        <w:pStyle w:val="Heading1"/>
      </w:pPr>
      <w:r>
        <w:rPr>
          <w:color w:val="111827"/>
        </w:rPr>
        <w:t>Situation</w:t>
      </w:r>
    </w:p>
    <w:p>
      <w:r>
        <w:t>Compliance review is resolved for a narrow operational pilot using de-identified clinic coordination artifacts.</w:t>
      </w:r>
    </w:p>
    <w:p>
      <w:r>
        <w:t>Generated answers must show source citations and must not be presented as clinical recommendations.</w:t>
      </w:r>
    </w:p>
    <w:p>
      <w:r>
        <w:t>The pilot should make deletion and retention behavior visible enough for Compliance to explain internally.</w:t>
      </w:r>
    </w:p>
    <w:p>
      <w:pPr>
        <w:pStyle w:val="Heading1"/>
      </w:pPr>
      <w:r>
        <w:rPr>
          <w:color w:val="111827"/>
        </w:rPr>
        <w:t>Working notes</w:t>
      </w:r>
    </w:p>
    <w:p>
      <w:pPr>
        <w:pStyle w:val="ListBullet"/>
      </w:pPr>
      <w:r>
        <w:t>Keep patient-level records out of scope.</w:t>
      </w:r>
    </w:p>
    <w:p>
      <w:pPr>
        <w:pStyle w:val="ListBullet"/>
      </w:pPr>
      <w:r>
        <w:t>Use access-controlled operational summaries and de-identified schedules only.</w:t>
      </w:r>
    </w:p>
    <w:p>
      <w:pPr>
        <w:pStyle w:val="ListBullet"/>
      </w:pPr>
      <w:r>
        <w:t>Include a Finance-ready milestone plan in the proposal.</w:t>
      </w:r>
    </w:p>
    <w:p>
      <w:pPr>
        <w:pStyle w:val="Heading1"/>
      </w:pPr>
      <w:r>
        <w:rPr>
          <w:color w:val="111827"/>
        </w:rPr>
        <w:t>Risks and dependencies</w:t>
      </w:r>
    </w:p>
    <w:p>
      <w:r>
        <w:t>The risks below are summarised from the latest stakeholder conversations. They are not exhaustive: anything material that comes up between this version and the next stakeholder review should be added directly so the document stays usable as a hand-over.</w:t>
      </w:r>
    </w:p>
    <w:p>
      <w:r>
        <w:t>Where a risk has an owner, the owner is named in the working notes above. Where no owner is named yet, treat that as the first thing to fix rather than waiting for a meeting to assign it.</w:t>
      </w:r>
    </w:p>
    <w:p>
      <w:pPr>
        <w:pStyle w:val="Heading1"/>
      </w:pPr>
      <w:r>
        <w:rPr>
          <w:color w:val="111827"/>
        </w:rPr>
        <w:t>Next steps</w:t>
      </w:r>
    </w:p>
    <w:p>
      <w:r>
        <w:t>The next stakeholder review should focus on the open working-note items rather than restating the situation. If the situation has changed materially since this document was drafted, update the Situation section first and only then revisit the working notes.</w:t>
      </w:r>
    </w:p>
    <w:p>
      <w:r>
        <w:t>This document is intended as a short, durable account memory. It is rewritten rather than appended to, so the version in the repository is always the current shared view between the people working the account.</w:t>
      </w:r>
    </w:p>
    <w:p>
      <w:pPr>
        <w:pStyle w:val="Heading1"/>
      </w:pPr>
      <w:r>
        <w:rPr>
          <w:color w:val="111827"/>
        </w:rPr>
        <w:t>Demo boundary</w:t>
      </w:r>
    </w:p>
    <w:p>
      <w:r>
        <w:rPr>
          <w:b/>
        </w:rPr>
        <w:t>Important: this is synthetic internal account-planning content for a public reference architecture. It must not be treated as a production engagement plan, and no information here corresponds to a real customer, contract, or commitment.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Caldrisa Dental compliance memo</dc:title>
  <dc:subject>Operational pilot controls</dc:subject>
  <dc:creator>Daniel Panea Lichtig</dc:creator>
  <cp:keywords/>
  <dc:description>generated by python-docx</dc:description>
  <cp:lastModifiedBy/>
  <cp:revision>1</cp:revision>
  <dcterms:created xsi:type="dcterms:W3CDTF">2026-01-01T00:00:00Z</dcterms:created>
  <dcterms:modified xsi:type="dcterms:W3CDTF">2026-01-01T00:00:00Z</dcterms:modified>
  <cp:category/>
</cp:coreProperties>
</file>