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color w:val="0F172A"/>
          <w:sz w:val="56"/>
        </w:rPr>
        <w:t>Brannfeld Industrial account plan</w:t>
      </w:r>
    </w:p>
    <w:p>
      <w:pPr>
        <w:pStyle w:val="Subtitle"/>
      </w:pPr>
      <w:r>
        <w:rPr>
          <w:i/>
          <w:color w:val="4B5563"/>
          <w:sz w:val="26"/>
        </w:rPr>
        <w:t>Internal handover notes</w:t>
      </w:r>
    </w:p>
    <w:p>
      <w:r>
        <w:rPr>
          <w:color w:val="6B7280"/>
          <w:sz w:val="20"/>
        </w:rPr>
        <w:t>Prepared by Daniel Panea Lichtig · Drafted 2026-01-01 · Internal working document</w:t>
      </w:r>
    </w:p>
    <w:p/>
    <w:p>
      <w:pPr>
        <w:pStyle w:val="Heading1"/>
      </w:pPr>
      <w:r>
        <w:rPr>
          <w:color w:val="111827"/>
        </w:rPr>
        <w:t>Situation</w:t>
      </w:r>
    </w:p>
    <w:p>
      <w:r>
        <w:t>Operations is the champion function. Stefan sees clear value in reducing manual context gathering before production exception meetings.</w:t>
      </w:r>
    </w:p>
    <w:p>
      <w:r>
        <w:t>IT is not blocking the concept, but Lukas needs written evidence on EU inference, audit logs, and source isolation before he supports approval.</w:t>
      </w:r>
    </w:p>
    <w:p>
      <w:r>
        <w:t>Procurement is active and waiting for commercial packaging details rather than broad architecture language.</w:t>
      </w:r>
    </w:p>
    <w:p>
      <w:pPr>
        <w:pStyle w:val="Heading1"/>
      </w:pPr>
      <w:r>
        <w:rPr>
          <w:color w:val="111827"/>
        </w:rPr>
        <w:t>Working notes</w:t>
      </w:r>
    </w:p>
    <w:p>
      <w:pPr>
        <w:pStyle w:val="ListBullet"/>
      </w:pPr>
      <w:r>
        <w:t>Send audit posture summary and procurement terms before the next decision meeting.</w:t>
      </w:r>
    </w:p>
    <w:p>
      <w:pPr>
        <w:pStyle w:val="ListBullet"/>
      </w:pPr>
      <w:r>
        <w:t>Keep pilot scope tied to one production line and approved source sets.</w:t>
      </w:r>
    </w:p>
    <w:p>
      <w:pPr>
        <w:pStyle w:val="ListBullet"/>
      </w:pPr>
      <w:r>
        <w:t>Do not imply autonomous control of production workflows.</w:t>
      </w:r>
    </w:p>
    <w:p>
      <w:pPr>
        <w:pStyle w:val="Heading1"/>
      </w:pPr>
      <w:r>
        <w:rPr>
          <w:color w:val="111827"/>
        </w:rPr>
        <w:t>Risks and dependencies</w:t>
      </w:r>
    </w:p>
    <w:p>
      <w:r>
        <w:t>The risks below are summarised from the latest stakeholder conversations. They are not exhaustive: anything material that comes up between this version and the next stakeholder review should be added directly so the document stays usable as a hand-over.</w:t>
      </w:r>
    </w:p>
    <w:p>
      <w:r>
        <w:t>Where a risk has an owner, the owner is named in the working notes above. Where no owner is named yet, treat that as the first thing to fix rather than waiting for a meeting to assign it.</w:t>
      </w:r>
    </w:p>
    <w:p>
      <w:pPr>
        <w:pStyle w:val="Heading1"/>
      </w:pPr>
      <w:r>
        <w:rPr>
          <w:color w:val="111827"/>
        </w:rPr>
        <w:t>Next steps</w:t>
      </w:r>
    </w:p>
    <w:p>
      <w:r>
        <w:t>The next stakeholder review should focus on the open working-note items rather than restating the situation. If the situation has changed materially since this document was drafted, update the Situation section first and only then revisit the working notes.</w:t>
      </w:r>
    </w:p>
    <w:p>
      <w:r>
        <w:t>This document is intended as a short, durable account memory. It is rewritten rather than appended to, so the version in the repository is always the current shared view between the people working the account.</w:t>
      </w:r>
    </w:p>
    <w:p>
      <w:pPr>
        <w:pStyle w:val="Heading1"/>
      </w:pPr>
      <w:r>
        <w:rPr>
          <w:color w:val="111827"/>
        </w:rPr>
        <w:t>Demo boundary</w:t>
      </w:r>
    </w:p>
    <w:p>
      <w:r>
        <w:rPr>
          <w:b/>
        </w:rPr>
        <w:t>Important: this is synthetic internal account-planning content for a public reference architecture. It must not be treated as a production engagement plan, and no information here corresponds to a real customer, contract, or commitment.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Brannfeld Industrial account plan</dc:title>
  <dc:subject>Internal handover notes</dc:subject>
  <dc:creator>Daniel Panea Lichtig</dc:creator>
  <cp:keywords/>
  <dc:description>generated by python-docx</dc:description>
  <cp:lastModifiedBy/>
  <cp:revision>1</cp:revision>
  <dcterms:created xsi:type="dcterms:W3CDTF">2026-01-01T00:00:00Z</dcterms:created>
  <dcterms:modified xsi:type="dcterms:W3CDTF">2026-01-01T00:00:00Z</dcterms:modified>
  <cp:category/>
</cp:coreProperties>
</file>