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b/>
          <w:color w:val="0F172A"/>
          <w:sz w:val="56"/>
        </w:rPr>
        <w:t>Rynvoss Logistics account plan</w:t>
      </w:r>
    </w:p>
    <w:p>
      <w:pPr>
        <w:pStyle w:val="Subtitle"/>
      </w:pPr>
      <w:r>
        <w:rPr>
          <w:i/>
          <w:color w:val="4B5563"/>
          <w:sz w:val="26"/>
        </w:rPr>
        <w:t>Internal stalled-account review</w:t>
      </w:r>
    </w:p>
    <w:p>
      <w:r>
        <w:rPr>
          <w:color w:val="6B7280"/>
          <w:sz w:val="20"/>
        </w:rPr>
        <w:t>Prepared by Daniel Panea Lichtig · Drafted 2026-01-01 · Internal working document</w:t>
      </w:r>
    </w:p>
    <w:p/>
    <w:p>
      <w:pPr>
        <w:pStyle w:val="Heading1"/>
      </w:pPr>
      <w:r>
        <w:rPr>
          <w:color w:val="111827"/>
        </w:rPr>
        <w:t>Situation</w:t>
      </w:r>
    </w:p>
    <w:p>
      <w:r>
        <w:t>The account showed strong early interest, especially from Operations, but momentum has stopped after Finance asked a procurement question.</w:t>
      </w:r>
    </w:p>
    <w:p>
      <w:r>
        <w:t>The close date is too near for the current engagement level. Treat the opportunity as at risk unless the procurement question is answered immediately.</w:t>
      </w:r>
    </w:p>
    <w:p>
      <w:r>
        <w:t>IT is neutral-positive but does not want to schedule more review time until the commercial ambiguity is resolved.</w:t>
      </w:r>
    </w:p>
    <w:p>
      <w:pPr>
        <w:pStyle w:val="Heading1"/>
      </w:pPr>
      <w:r>
        <w:rPr>
          <w:color w:val="111827"/>
        </w:rPr>
        <w:t>Working notes</w:t>
      </w:r>
    </w:p>
    <w:p>
      <w:pPr>
        <w:pStyle w:val="ListBullet"/>
      </w:pPr>
      <w:r>
        <w:t>Answer Femke's milestone and connector question before any next meeting.</w:t>
      </w:r>
    </w:p>
    <w:p>
      <w:pPr>
        <w:pStyle w:val="ListBullet"/>
      </w:pPr>
      <w:r>
        <w:t>Ask Niels whether the close date should move rather than pretending negotiation is active.</w:t>
      </w:r>
    </w:p>
    <w:p>
      <w:pPr>
        <w:pStyle w:val="ListBullet"/>
      </w:pPr>
      <w:r>
        <w:t>Prepare a short recovery note focused on planner time savings.</w:t>
      </w:r>
    </w:p>
    <w:p>
      <w:pPr>
        <w:pStyle w:val="Heading1"/>
      </w:pPr>
      <w:r>
        <w:rPr>
          <w:color w:val="111827"/>
        </w:rPr>
        <w:t>Risks and dependencies</w:t>
      </w:r>
    </w:p>
    <w:p>
      <w:r>
        <w:t>The risks below are summarised from the latest stakeholder conversations. They are not exhaustive: anything material that comes up between this version and the next stakeholder review should be added directly so the document stays usable as a hand-over.</w:t>
      </w:r>
    </w:p>
    <w:p>
      <w:r>
        <w:t>Where a risk has an owner, the owner is named in the working notes above. Where no owner is named yet, treat that as the first thing to fix rather than waiting for a meeting to assign it.</w:t>
      </w:r>
    </w:p>
    <w:p>
      <w:pPr>
        <w:pStyle w:val="Heading1"/>
      </w:pPr>
      <w:r>
        <w:rPr>
          <w:color w:val="111827"/>
        </w:rPr>
        <w:t>Next steps</w:t>
      </w:r>
    </w:p>
    <w:p>
      <w:r>
        <w:t>The next stakeholder review should focus on the open working-note items rather than restating the situation. If the situation has changed materially since this document was drafted, update the Situation section first and only then revisit the working notes.</w:t>
      </w:r>
    </w:p>
    <w:p>
      <w:r>
        <w:t>This document is intended as a short, durable account memory. It is rewritten rather than appended to, so the version in the repository is always the current shared view between the people working the account.</w:t>
      </w:r>
    </w:p>
    <w:p>
      <w:pPr>
        <w:pStyle w:val="Heading1"/>
      </w:pPr>
      <w:r>
        <w:rPr>
          <w:color w:val="111827"/>
        </w:rPr>
        <w:t>Demo boundary</w:t>
      </w:r>
    </w:p>
    <w:p>
      <w:r>
        <w:rPr>
          <w:b/>
        </w:rPr>
        <w:t>Important: this is synthetic internal account-planning content for a public reference architecture. It must not be treated as a production engagement plan, and no information here corresponds to a real customer, contract, or commitment.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Rynvoss Logistics account plan</dc:title>
  <dc:subject>Internal stalled-account review</dc:subject>
  <dc:creator>Daniel Panea Lichtig</dc:creator>
  <cp:keywords/>
  <dc:description>generated by python-docx</dc:description>
  <cp:lastModifiedBy/>
  <cp:revision>1</cp:revision>
  <dcterms:created xsi:type="dcterms:W3CDTF">2026-01-01T00:00:00Z</dcterms:created>
  <dcterms:modified xsi:type="dcterms:W3CDTF">2026-01-01T00:00:00Z</dcterms:modified>
  <cp:category/>
</cp:coreProperties>
</file>