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Rynvoss Logistics account plan</w:t>
      </w:r>
    </w:p>
    <w:p>
      <w:r>
        <w:t>Internal stalled-account review</w:t>
      </w:r>
    </w:p>
    <w:p>
      <w:pPr>
        <w:pStyle w:val="Heading1"/>
      </w:pPr>
      <w:r>
        <w:t>Situation</w:t>
      </w:r>
    </w:p>
    <w:p>
      <w:r>
        <w:t>The account showed strong early interest, especially from Operations, but momentum has stopped after Finance asked a procurement question.</w:t>
      </w:r>
    </w:p>
    <w:p>
      <w:r>
        <w:t>The close date is too near for the current engagement level. Treat the opportunity as at risk unless the procurement question is answered immediately.</w:t>
      </w:r>
    </w:p>
    <w:p>
      <w:r>
        <w:t>IT is neutral-positive but does not want to schedule more review time until the commercial ambiguity is resolved.</w:t>
      </w:r>
    </w:p>
    <w:p>
      <w:pPr>
        <w:pStyle w:val="Heading1"/>
      </w:pPr>
      <w:r>
        <w:t>Working notes</w:t>
      </w:r>
    </w:p>
    <w:p>
      <w:pPr>
        <w:pStyle w:val="ListBullet"/>
      </w:pPr>
      <w:r>
        <w:t>Answer Femke's milestone and connector question before any next meeting.</w:t>
      </w:r>
    </w:p>
    <w:p>
      <w:pPr>
        <w:pStyle w:val="ListBullet"/>
      </w:pPr>
      <w:r>
        <w:t>Ask Niels whether the close date should move rather than pretending negotiation is active.</w:t>
      </w:r>
    </w:p>
    <w:p>
      <w:pPr>
        <w:pStyle w:val="ListBullet"/>
      </w:pPr>
      <w:r>
        <w:t>Prepare a short recovery note focused on planner time savings.</w:t>
      </w:r>
    </w:p>
    <w:p>
      <w:pPr>
        <w:pStyle w:val="Heading1"/>
      </w:pPr>
      <w:r>
        <w:t>Demo boundary</w:t>
      </w:r>
    </w:p>
    <w:p>
      <w:r>
        <w:rPr>
          <w:b/>
        </w:rPr>
        <w:t xml:space="preserve">Important: </w:t>
      </w:r>
      <w:r>
        <w:t>This is synthetic internal account-planning content for a public reference architecture. It should not be treated as a production engagement plan.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Rynvoss Logistics account plan</dc:title>
  <dc:subject>Internal stalled-account review</dc:subject>
  <dc:creator>Daniel Panea Lichtig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