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w:t>
            </w:r>
          </w:p>
        </w:tc>
        <w:tc>
          <w:tcPr>
            <w:tcW w:type="dxa" w:w="4680"/>
            <w:tcMar>
              <w:top w:w="60" w:type="dxa"/>
              <w:bottom w:w="60" w:type="dxa"/>
              <w:left w:w="100" w:type="dxa"/>
              <w:right w:w="100" w:type="dxa"/>
            </w:tcMar>
          </w:tcPr>
          <w:p>
            <w:r>
              <w:rPr>
                <w:rFonts w:ascii="Arial" w:hAnsi="Arial"/>
                <w:color w:val="1E1E1E"/>
                <w:sz w:val="22"/>
              </w:rPr>
              <w:t>Dr. Hadas Lapid</w:t>
            </w:r>
          </w:p>
        </w:tc>
      </w:tr>
      <w:tr>
        <w:tc>
          <w:tcPr>
            <w:tcW w:type="dxa" w:w="4680"/>
            <w:tcMar>
              <w:top w:w="60" w:type="dxa"/>
              <w:bottom w:w="60" w:type="dxa"/>
              <w:left w:w="100" w:type="dxa"/>
              <w:right w:w="100" w:type="dxa"/>
            </w:tcMar>
          </w:tcPr>
          <w:p>
            <w:r>
              <w:rPr>
                <w:rFonts w:ascii="Arial" w:hAnsi="Arial"/>
                <w:b/>
                <w:color w:val="003366"/>
                <w:sz w:val="22"/>
              </w:rPr>
              <w:t>Advisors:</w:t>
            </w:r>
          </w:p>
        </w:tc>
        <w:tc>
          <w:tcPr>
            <w:tcW w:type="dxa" w:w="4680"/>
            <w:tcMar>
              <w:top w:w="60" w:type="dxa"/>
              <w:bottom w:w="60" w:type="dxa"/>
              <w:left w:w="100" w:type="dxa"/>
              <w:right w:w="100" w:type="dxa"/>
            </w:tcMar>
          </w:tcPr>
          <w:p>
            <w:r>
              <w:rPr>
                <w:rFonts w:ascii="Arial" w:hAnsi="Arial"/>
                <w:color w:val="1E1E1E"/>
                <w:sz w:val="22"/>
              </w:rP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before="160" w:after="80"/>
        <w:jc w:val="center"/>
      </w:pPr>
      <w:r>
        <w:drawing>
          <wp:inline xmlns:a="http://schemas.openxmlformats.org/drawingml/2006/main" xmlns:pic="http://schemas.openxmlformats.org/drawingml/2006/picture">
            <wp:extent cx="5303520" cy="3911346"/>
            <wp:docPr id="1" name="Picture 1"/>
            <wp:cNvGraphicFramePr>
              <a:graphicFrameLocks noChangeAspect="1"/>
            </wp:cNvGraphicFramePr>
            <a:graphic>
              <a:graphicData uri="http://schemas.openxmlformats.org/drawingml/2006/picture">
                <pic:pic>
                  <pic:nvPicPr>
                    <pic:cNvPr id="0" name="figure1_original_tissue.jpg"/>
                    <pic:cNvPicPr/>
                  </pic:nvPicPr>
                  <pic:blipFill>
                    <a:blip r:embed="rId9"/>
                    <a:stretch>
                      <a:fillRect/>
                    </a:stretch>
                  </pic:blipFill>
                  <pic:spPr>
                    <a:xfrm>
                      <a:off x="0" y="0"/>
                      <a:ext cx="5303520" cy="3911346"/>
                    </a:xfrm>
                    <a:prstGeom prst="rect"/>
                  </pic:spPr>
                </pic:pic>
              </a:graphicData>
            </a:graphic>
          </wp:inline>
        </w:drawing>
      </w:r>
    </w:p>
    <w:p>
      <w:pPr>
        <w:spacing w:after="240"/>
        <w:jc w:val="center"/>
      </w:pPr>
      <w:r>
        <w:rPr>
          <w:rFonts w:ascii="Arial" w:hAnsi="Arial"/>
          <w:i/>
          <w:color w:val="46505F"/>
          <w:sz w:val="19"/>
        </w:rPr>
        <w:t>Figure 1: Example of an original lab microscopy brain tissue slice image (e.g. JPG_VID2724_B1_3_00d07h00m.jpg) containing hundreds of microglial cells marked with cyan contours.</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advised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our institution by Presaizen (2026) established a 4-class soma-centric classification pipeline using YOLOv11 and DINOv2 on rat brain slices. While providing an initial proof-of-concept, Presaizen (2026) highlighted fundamental computational limitations: bounding-box object detectors (64x64 crops) restrict analysis to the central soma, discarding up to 70% of distal process arborization. Consequently, bounding-box models suffer from biological misclassification between Resting and Resolution states and fail to detect shattered dystrophic microglia lacking a central soma anchor. Addressing these limitations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PBM-irradiated, and LPS-challenged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Sharon Yalov-Handzel, PhD, and co-advised by Dr. Lilach Gavish, PhD, MPH.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before="160" w:after="80"/>
        <w:jc w:val="center"/>
      </w:pPr>
      <w:r>
        <w:drawing>
          <wp:inline xmlns:a="http://schemas.openxmlformats.org/drawingml/2006/main" xmlns:pic="http://schemas.openxmlformats.org/drawingml/2006/picture">
            <wp:extent cx="5486400" cy="947057"/>
            <wp:docPr id="2" name="Picture 2"/>
            <wp:cNvGraphicFramePr>
              <a:graphicFrameLocks noChangeAspect="1"/>
            </wp:cNvGraphicFramePr>
            <a:graphic>
              <a:graphicData uri="http://schemas.openxmlformats.org/drawingml/2006/picture">
                <pic:pic>
                  <pic:nvPicPr>
                    <pic:cNvPr id="0" name="figure3_cell_states_panel.jpg"/>
                    <pic:cNvPicPr/>
                  </pic:nvPicPr>
                  <pic:blipFill>
                    <a:blip r:embed="rId10"/>
                    <a:stretch>
                      <a:fillRect/>
                    </a:stretch>
                  </pic:blipFill>
                  <pic:spPr>
                    <a:xfrm>
                      <a:off x="0" y="0"/>
                      <a:ext cx="5486400" cy="947057"/>
                    </a:xfrm>
                    <a:prstGeom prst="rect"/>
                  </pic:spPr>
                </pic:pic>
              </a:graphicData>
            </a:graphic>
          </wp:inline>
        </w:drawing>
      </w:r>
    </w:p>
    <w:p>
      <w:pPr>
        <w:spacing w:after="240"/>
        <w:jc w:val="center"/>
      </w:pPr>
      <w:r>
        <w:rPr>
          <w:rFonts w:ascii="Arial" w:hAnsi="Arial"/>
          <w:i/>
          <w:color w:val="46505F"/>
          <w:sz w:val="19"/>
        </w:rPr>
        <w:t>Figure 2: Dual-crop representation panel across the 4 microglial morphological activation states: (A) Resting (Ramified), (B) Surveilling, (C) Activated (Ameboid), and (D) Resolution. Each state shows the raw RGB crop alongside its isolated binary silhouette mask.</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spacing w:before="160" w:after="80"/>
        <w:jc w:val="center"/>
      </w:pPr>
      <w:r>
        <w:drawing>
          <wp:inline xmlns:a="http://schemas.openxmlformats.org/drawingml/2006/main" xmlns:pic="http://schemas.openxmlformats.org/drawingml/2006/picture">
            <wp:extent cx="5303520" cy="1953463"/>
            <wp:docPr id="3" name="Picture 3"/>
            <wp:cNvGraphicFramePr>
              <a:graphicFrameLocks noChangeAspect="1"/>
            </wp:cNvGraphicFramePr>
            <a:graphic>
              <a:graphicData uri="http://schemas.openxmlformats.org/drawingml/2006/picture">
                <pic:pic>
                  <pic:nvPicPr>
                    <pic:cNvPr id="0" name="figure2_extraction_map.jpg"/>
                    <pic:cNvPicPr/>
                  </pic:nvPicPr>
                  <pic:blipFill>
                    <a:blip r:embed="rId11"/>
                    <a:stretch>
                      <a:fillRect/>
                    </a:stretch>
                  </pic:blipFill>
                  <pic:spPr>
                    <a:xfrm>
                      <a:off x="0" y="0"/>
                      <a:ext cx="5303520" cy="1953463"/>
                    </a:xfrm>
                    <a:prstGeom prst="rect"/>
                  </pic:spPr>
                </pic:pic>
              </a:graphicData>
            </a:graphic>
          </wp:inline>
        </w:drawing>
      </w:r>
    </w:p>
    <w:p>
      <w:pPr>
        <w:spacing w:after="240"/>
        <w:jc w:val="center"/>
      </w:pPr>
      <w:r>
        <w:rPr>
          <w:rFonts w:ascii="Arial" w:hAnsi="Arial"/>
          <w:i/>
          <w:color w:val="46505F"/>
          <w:sz w:val="19"/>
        </w:rPr>
        <w:t>Figure 3: Example of a whole-slide cell contour extraction grid map (VID2724_A3_4_00d07h00m), illustrating automated single-cell extraction and side-by-side pipeline evaluation.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[x, y, w, h], cluster IDs,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JSON metadata, spatial BBoxes ([x, y, w, h]), and active labels. Perform Macenko stain normalization on all 1,000,000+ cell crops sharded by original Image ID (IMAGE_ID_cells.h5).</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spatial coordinates ([x, y, w, h]).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BBox-driven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