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Supervisors:</w:t>
            </w:r>
          </w:p>
        </w:tc>
        <w:tc>
          <w:tcPr>
            <w:tcW w:type="dxa" w:w="4680"/>
            <w:tcMar>
              <w:top w:w="60" w:type="dxa"/>
              <w:bottom w:w="60" w:type="dxa"/>
              <w:left w:w="100" w:type="dxa"/>
              <w:right w:w="100" w:type="dxa"/>
            </w:tcMar>
          </w:tcPr>
          <w:p>
            <w:r>
              <w:rPr>
                <w:rFonts w:ascii="Arial" w:hAnsi="Arial"/>
                <w:color w:val="1E1E1E"/>
                <w:sz w:val="22"/>
              </w:rPr>
              <w:t>Dr. Hadas Lapid</w:t>
              <w:b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MongoDB</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Document-Oriented Database for JSON Metadata &amp; Label Indexing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SAM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Segment Anything Model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SSL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U-Net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Network Architecture for Biological Segmentation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and secondary neurodegenerative disorders represent a major global health crisis, affecting an estimated 69 million individuals annually and standing as a leading cause of long-term neurocognitive impairment (Dewan et al., 2018; Maas et al., 2017). Following primary neurotrauma, a progressive secondary injury cascade ensues, driven by chronic neuroinflammation, oxidative stress, and blood-brain barrier breakdown.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sentinels of the Central Nervous System (CNS)—are the central cellular orchestrators of this neuroinflammatory cascade (Salter &amp; Beggs, 2014; Wolf et al., 2017). Under physiological homeostasis,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high-throughput quantitative morphometry provides a critical, non-destructive window into post-injury tissue pathophysiology (Leyh et al., 2021).</w:t>
      </w:r>
    </w:p>
    <w:p>
      <w:pPr>
        <w:spacing w:before="160" w:after="80"/>
        <w:jc w:val="center"/>
      </w:pPr>
      <w:r>
        <w:drawing>
          <wp:inline xmlns:a="http://schemas.openxmlformats.org/drawingml/2006/main" xmlns:pic="http://schemas.openxmlformats.org/drawingml/2006/picture">
            <wp:extent cx="5303520" cy="3911346"/>
            <wp:docPr id="1" name="Picture 1"/>
            <wp:cNvGraphicFramePr>
              <a:graphicFrameLocks noChangeAspect="1"/>
            </wp:cNvGraphicFramePr>
            <a:graphic>
              <a:graphicData uri="http://schemas.openxmlformats.org/drawingml/2006/picture">
                <pic:pic>
                  <pic:nvPicPr>
                    <pic:cNvPr id="0" name="figure1_original_tissue.jpg"/>
                    <pic:cNvPicPr/>
                  </pic:nvPicPr>
                  <pic:blipFill>
                    <a:blip r:embed="rId9"/>
                    <a:stretch>
                      <a:fillRect/>
                    </a:stretch>
                  </pic:blipFill>
                  <pic:spPr>
                    <a:xfrm>
                      <a:off x="0" y="0"/>
                      <a:ext cx="5303520" cy="3911346"/>
                    </a:xfrm>
                    <a:prstGeom prst="rect"/>
                  </pic:spPr>
                </pic:pic>
              </a:graphicData>
            </a:graphic>
          </wp:inline>
        </w:drawing>
      </w:r>
    </w:p>
    <w:p>
      <w:pPr>
        <w:spacing w:after="240"/>
        <w:jc w:val="center"/>
      </w:pPr>
      <w:r>
        <w:rPr>
          <w:rFonts w:ascii="Arial" w:hAnsi="Arial"/>
          <w:i/>
          <w:color w:val="46505F"/>
          <w:sz w:val="19"/>
        </w:rPr>
        <w:t>Figure 1: Example of an original lab microscopy brain tissue slice image (e.g. JPG_VID2724_B1_3_00d07h00m.jpg) containing hundreds of microglial cells marked with cyan contours.</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directed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our institution by Presaizen (2026) established a 4-class soma-centric classification pipeline using YOLOv11 and DINOv2 on rat brain slices. While providing an initial proof-of-concept, Presaizen (2026) highlighted fundamental computational limitations: bounding-box object detectors (64x64 crops) restrict analysis to the central soma, discarding up to 70% of distal process arborization. Consequently, bounding-box models suffer from biological misclassification between Resting and Resolution states and fail to detect shattered dystrophic microglia lacking a central soma anchor. Addressing these limitations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foundation-model segmentation (e.g., Cellpose 3.0 / SAM-Microscopy)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foundation-model-based polygonal segmentation (Cellpose 3.0 / SAM-Microscopy)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(Dataset Re-annotation):</w:t>
      </w:r>
      <w:r>
        <w:rPr>
          <w:rFonts w:ascii="Arial" w:hAnsi="Arial"/>
          <w:color w:val="1E1E1E"/>
          <w:sz w:val="22"/>
        </w:rPr>
        <w:t xml:space="preserve"> Re-annotate the institutional benchmark dataset of 4,874 cells using fine polygonal masks to capture distal processes, beaded arborization, and shattered process fragments excluded by YOLO bounding boxes.</w:t>
      </w:r>
    </w:p>
    <w:p>
      <w:pPr>
        <w:pStyle w:val="ListBullet"/>
        <w:spacing w:line="276" w:lineRule="auto" w:after="80"/>
      </w:pPr>
      <w:r>
        <w:rPr>
          <w:rFonts w:ascii="Arial" w:hAnsi="Arial"/>
          <w:b/>
          <w:color w:val="1E1E1E"/>
          <w:sz w:val="22"/>
        </w:rPr>
        <w:t>Objective 2 (Foundation Segmentation):</w:t>
      </w:r>
      <w:r>
        <w:rPr>
          <w:rFonts w:ascii="Arial" w:hAnsi="Arial"/>
          <w:color w:val="1E1E1E"/>
          <w:sz w:val="22"/>
        </w:rPr>
        <w:t xml:space="preserve"> Deploy and fine-tune foundation segmentation models (Cellpose 3.0 and SAM-Microscopy) to extract full microglial silhouettes without relying on a central soma anchor.</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segmented microglial masks to separate morphologically subtle activation states.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PBM-irradiated, and LPS-challenged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Foundation Models and Image Segmentation</w:t>
      </w:r>
    </w:p>
    <w:p>
      <w:pPr>
        <w:spacing w:line="276" w:lineRule="auto" w:after="120"/>
      </w:pPr>
      <w:r>
        <w:rPr>
          <w:rFonts w:ascii="Arial" w:hAnsi="Arial"/>
          <w:color w:val="1E1E1E"/>
          <w:sz w:val="22"/>
        </w:rPr>
        <w:t>Foundation models trained on millions of biological images—such as Cellpose 3.0 (Pachitariu &amp; Stringer, 2024) and Segment Anything Model for Microscopy (SAM-Microscopy / SAM 2)—have revolutionized cellular segmentation. By predicting spatial gradient flows and vector fields, Cellpose segment zero-shot cell bodies and extended process branches without bounding-box constraints, providing the ideal input for topological analysis.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foundation-model segmentation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our institution by Tali Presaizen (Jan 2026), supervised by Dr. Sharon Yalov-Handzel and Dr. Lilach Gavish.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before="160" w:after="80"/>
        <w:jc w:val="center"/>
      </w:pPr>
      <w:r>
        <w:drawing>
          <wp:inline xmlns:a="http://schemas.openxmlformats.org/drawingml/2006/main" xmlns:pic="http://schemas.openxmlformats.org/drawingml/2006/picture">
            <wp:extent cx="5486400" cy="947057"/>
            <wp:docPr id="2" name="Picture 2"/>
            <wp:cNvGraphicFramePr>
              <a:graphicFrameLocks noChangeAspect="1"/>
            </wp:cNvGraphicFramePr>
            <a:graphic>
              <a:graphicData uri="http://schemas.openxmlformats.org/drawingml/2006/picture">
                <pic:pic>
                  <pic:nvPicPr>
                    <pic:cNvPr id="0" name="figure3_cell_states_panel.jpg"/>
                    <pic:cNvPicPr/>
                  </pic:nvPicPr>
                  <pic:blipFill>
                    <a:blip r:embed="rId10"/>
                    <a:stretch>
                      <a:fillRect/>
                    </a:stretch>
                  </pic:blipFill>
                  <pic:spPr>
                    <a:xfrm>
                      <a:off x="0" y="0"/>
                      <a:ext cx="5486400" cy="947057"/>
                    </a:xfrm>
                    <a:prstGeom prst="rect"/>
                  </pic:spPr>
                </pic:pic>
              </a:graphicData>
            </a:graphic>
          </wp:inline>
        </w:drawing>
      </w:r>
    </w:p>
    <w:p>
      <w:pPr>
        <w:spacing w:after="240"/>
        <w:jc w:val="center"/>
      </w:pPr>
      <w:r>
        <w:rPr>
          <w:rFonts w:ascii="Arial" w:hAnsi="Arial"/>
          <w:i/>
          <w:color w:val="46505F"/>
          <w:sz w:val="19"/>
        </w:rPr>
        <w:t>Figure 2: Representative single-cell crop examples across the 4 microglial morphological activation states: (A) Resting (Ramified), (B) Surveilling, (C) Activated (Ameboid), and (D) Resolution.</w:t>
      </w:r>
    </w:p>
    <w:p>
      <w:pPr>
        <w:spacing w:line="276" w:lineRule="auto" w:after="120"/>
      </w:pPr>
      <w:r>
        <w:rPr>
          <w:rFonts w:ascii="Arial" w:hAnsi="Arial"/>
          <w:color w:val="1E1E1E"/>
          <w:sz w:val="22"/>
        </w:rPr>
        <w:t>The baseline architecture utilized a YOLOv11 object detector paired with a DINOv2 Vision Transformer feature extractor for 4-class classification. While achieving respectable baseline metrics (mAP@0.5 ≈ 0.76, macro-F1 ≈ 0.69), the study revealed critical performance bottlenecks:</w:t>
      </w:r>
    </w:p>
    <w:p>
      <w:pPr>
        <w:pStyle w:val="ListBullet"/>
        <w:spacing w:line="276" w:lineRule="auto" w:after="80"/>
      </w:pPr>
      <w:r>
        <w:rPr>
          <w:rFonts w:ascii="Arial" w:hAnsi="Arial"/>
          <w:b/>
          <w:color w:val="1E1E1E"/>
          <w:sz w:val="22"/>
        </w:rPr>
        <w:t>1. Distal Information Loss:</w:t>
      </w:r>
      <w:r>
        <w:rPr>
          <w:rFonts w:ascii="Arial" w:hAnsi="Arial"/>
          <w:color w:val="1E1E1E"/>
          <w:sz w:val="22"/>
        </w:rPr>
        <w:t xml:space="preserve"> Soma-centric $64\times64$ bounding boxes cropped out distal process branches, discarding 70% of morphological information.</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The confusion matrix revealed severe misclassification between Resting and Resolution states (F1 &lt; 0.62), as both states share similar soma sizes but differ vastly in distal process topology.</w:t>
      </w:r>
    </w:p>
    <w:p>
      <w:pPr>
        <w:pStyle w:val="ListBullet"/>
        <w:spacing w:line="276" w:lineRule="auto" w:after="80"/>
      </w:pPr>
      <w:r>
        <w:rPr>
          <w:rFonts w:ascii="Arial" w:hAnsi="Arial"/>
          <w:b/>
          <w:color w:val="1E1E1E"/>
          <w:sz w:val="22"/>
        </w:rPr>
        <w:t>3. Failure on Dystrophic Microglia:</w:t>
      </w:r>
      <w:r>
        <w:rPr>
          <w:rFonts w:ascii="Arial" w:hAnsi="Arial"/>
          <w:color w:val="1E1E1E"/>
          <w:sz w:val="22"/>
        </w:rPr>
        <w:t xml:space="preserve"> Dystrophic/shattered microglia in injured brain tissue lack a central soma anchor, causing YOLO to miss up to 45% of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 &amp; Project Architecture</w:t>
      </w:r>
    </w:p>
    <w:p>
      <w:pPr>
        <w:spacing w:line="276" w:lineRule="auto" w:after="120"/>
      </w:pPr>
      <w:r>
        <w:rPr>
          <w:rFonts w:ascii="Arial" w:hAnsi="Arial"/>
          <w:color w:val="1E1E1E"/>
          <w:sz w:val="22"/>
        </w:rPr>
        <w:t>The project architecture is structured into two core operational themes, ensuring clean separation between data engineering / self-supervised representation learning and downstream model training / pharmacological evaluation:</w:t>
      </w:r>
    </w:p>
    <w:p>
      <w:pPr>
        <w:keepNext/>
        <w:spacing w:before="240" w:after="80"/>
      </w:pPr>
      <w:r>
        <w:rPr>
          <w:rFonts w:ascii="Arial" w:hAnsi="Arial"/>
          <w:b/>
          <w:color w:val="46505F"/>
          <w:sz w:val="26"/>
        </w:rPr>
        <w:t>THEME 1: Data Preparation, Cleaning, Aggregation, SSL, Storage &amp; Labeling</w:t>
      </w:r>
    </w:p>
    <w:p>
      <w:pPr>
        <w:pStyle w:val="ListBullet"/>
        <w:spacing w:line="276" w:lineRule="auto" w:after="80"/>
      </w:pPr>
      <w:r>
        <w:rPr>
          <w:rFonts w:ascii="Arial" w:hAnsi="Arial"/>
          <w:b/>
          <w:color w:val="1E1E1E"/>
          <w:sz w:val="22"/>
        </w:rPr>
        <w:t>Stage 1.1:</w:t>
      </w:r>
      <w:r>
        <w:rPr>
          <w:rFonts w:ascii="Arial" w:hAnsi="Arial"/>
          <w:color w:val="1E1E1E"/>
          <w:sz w:val="22"/>
        </w:rPr>
        <w:t xml:space="preserve"> Automated Whole-Slide Cell Extraction &amp; Cleaning (CLAHE + Scharr/Canny edge fusion + contained sub-cell IoU deduplication).</w:t>
      </w:r>
    </w:p>
    <w:p>
      <w:pPr>
        <w:spacing w:before="160" w:after="80"/>
        <w:jc w:val="center"/>
      </w:pPr>
      <w:r>
        <w:drawing>
          <wp:inline xmlns:a="http://schemas.openxmlformats.org/drawingml/2006/main" xmlns:pic="http://schemas.openxmlformats.org/drawingml/2006/picture">
            <wp:extent cx="5303520" cy="1953463"/>
            <wp:docPr id="3" name="Picture 3"/>
            <wp:cNvGraphicFramePr>
              <a:graphicFrameLocks noChangeAspect="1"/>
            </wp:cNvGraphicFramePr>
            <a:graphic>
              <a:graphicData uri="http://schemas.openxmlformats.org/drawingml/2006/picture">
                <pic:pic>
                  <pic:nvPicPr>
                    <pic:cNvPr id="0" name="figure2_extraction_map.jpg"/>
                    <pic:cNvPicPr/>
                  </pic:nvPicPr>
                  <pic:blipFill>
                    <a:blip r:embed="rId11"/>
                    <a:stretch>
                      <a:fillRect/>
                    </a:stretch>
                  </pic:blipFill>
                  <pic:spPr>
                    <a:xfrm>
                      <a:off x="0" y="0"/>
                      <a:ext cx="5303520" cy="1953463"/>
                    </a:xfrm>
                    <a:prstGeom prst="rect"/>
                  </pic:spPr>
                </pic:pic>
              </a:graphicData>
            </a:graphic>
          </wp:inline>
        </w:drawing>
      </w:r>
    </w:p>
    <w:p>
      <w:pPr>
        <w:spacing w:after="240"/>
        <w:jc w:val="center"/>
      </w:pPr>
      <w:r>
        <w:rPr>
          <w:rFonts w:ascii="Arial" w:hAnsi="Arial"/>
          <w:i/>
          <w:color w:val="46505F"/>
          <w:sz w:val="19"/>
        </w:rPr>
        <w:t>Figure 3: Example of a whole-slide cell contour extraction grid map (VID2724_A3_4_00d07h00m), illustrating automated single-cell extraction and side-by-side pipeline evaluation.</w:t>
      </w:r>
    </w:p>
    <w:p>
      <w:pPr>
        <w:pStyle w:val="ListBullet"/>
        <w:spacing w:line="276" w:lineRule="auto" w:after="80"/>
      </w:pPr>
      <w:r>
        <w:rPr>
          <w:rFonts w:ascii="Arial" w:hAnsi="Arial"/>
          <w:b/>
          <w:color w:val="1E1E1E"/>
          <w:sz w:val="22"/>
        </w:rPr>
        <w:t>Stage 1.2:</w:t>
      </w:r>
      <w:r>
        <w:rPr>
          <w:rFonts w:ascii="Arial" w:hAnsi="Arial"/>
          <w:color w:val="1E1E1E"/>
          <w:sz w:val="22"/>
        </w:rPr>
        <w:t xml:space="preserve"> Hybrid Storage Architecture (MongoDB JSON document store for metadata, spatial BBoxes [x, y, w, h], cluster IDs, and active labels + HDF5 binary containers sharded by original Image ID).</w:t>
      </w:r>
    </w:p>
    <w:p>
      <w:pPr>
        <w:pStyle w:val="ListBullet"/>
        <w:spacing w:line="276" w:lineRule="auto" w:after="80"/>
      </w:pPr>
      <w:r>
        <w:rPr>
          <w:rFonts w:ascii="Arial" w:hAnsi="Arial"/>
          <w:b/>
          <w:color w:val="1E1E1E"/>
          <w:sz w:val="22"/>
        </w:rPr>
        <w:t>Stage 1.3:</w:t>
      </w:r>
      <w:r>
        <w:rPr>
          <w:rFonts w:ascii="Arial" w:hAnsi="Arial"/>
          <w:color w:val="1E1E1E"/>
          <w:sz w:val="22"/>
        </w:rPr>
        <w:t xml:space="preserve"> Lab Stain Normalization Engine (Macenko optical density matrix factorization BEFORE SSL pre-training to eliminate IHC color shifts).</w:t>
      </w:r>
    </w:p>
    <w:p>
      <w:pPr>
        <w:pStyle w:val="ListBullet"/>
        <w:spacing w:line="276" w:lineRule="auto" w:after="80"/>
      </w:pPr>
      <w:r>
        <w:rPr>
          <w:rFonts w:ascii="Arial" w:hAnsi="Arial"/>
          <w:b/>
          <w:color w:val="1E1E1E"/>
          <w:sz w:val="22"/>
        </w:rPr>
        <w:t>Stage 1.4:</w:t>
      </w:r>
      <w:r>
        <w:rPr>
          <w:rFonts w:ascii="Arial" w:hAnsi="Arial"/>
          <w:color w:val="1E1E1E"/>
          <w:sz w:val="22"/>
        </w:rPr>
        <w:t xml:space="preserve"> In-Domain Self-Supervised Pre-Training (DINOv2 self-distillation + MAE patch reconstruction on 1M+ stain-normalized crops).</w:t>
      </w:r>
    </w:p>
    <w:p>
      <w:pPr>
        <w:pStyle w:val="ListBullet"/>
        <w:spacing w:line="276" w:lineRule="auto" w:after="80"/>
      </w:pPr>
      <w:r>
        <w:rPr>
          <w:rFonts w:ascii="Arial" w:hAnsi="Arial"/>
          <w:b/>
          <w:color w:val="1E1E1E"/>
          <w:sz w:val="22"/>
        </w:rPr>
        <w:t>Stage 1.5:</w:t>
      </w:r>
      <w:r>
        <w:rPr>
          <w:rFonts w:ascii="Arial" w:hAnsi="Arial"/>
          <w:color w:val="1E1E1E"/>
          <w:sz w:val="22"/>
        </w:rPr>
        <w:t xml:space="preserve"> Unsupervised Feature Space Pre-Clustering (UMAP + HDBSCAN partitioning embeddings into ~100 morphometric clusters).</w:t>
      </w:r>
    </w:p>
    <w:p>
      <w:pPr>
        <w:pStyle w:val="ListBullet"/>
        <w:spacing w:line="276" w:lineRule="auto" w:after="80"/>
      </w:pPr>
      <w:r>
        <w:rPr>
          <w:rFonts w:ascii="Arial" w:hAnsi="Arial"/>
          <w:b/>
          <w:color w:val="1E1E1E"/>
          <w:sz w:val="22"/>
        </w:rPr>
        <w:t>Stage 1.6:</w:t>
      </w:r>
      <w:r>
        <w:rPr>
          <w:rFonts w:ascii="Arial" w:hAnsi="Arial"/>
          <w:color w:val="1E1E1E"/>
          <w:sz w:val="22"/>
        </w:rPr>
        <w:t xml:space="preserve"> Active Bulk Labeling &amp; Uncertainty Sampling (MongoDB-indexed 1-click bulk cluster verification + top 5% entropy expert sampling).</w:t>
      </w:r>
    </w:p>
    <w:p>
      <w:pPr>
        <w:keepNext/>
        <w:spacing w:before="240" w:after="80"/>
      </w:pPr>
      <w:r>
        <w:rPr>
          <w:rFonts w:ascii="Arial" w:hAnsi="Arial"/>
          <w:b/>
          <w:color w:val="46505F"/>
          <w:sz w:val="26"/>
        </w:rPr>
        <w:t>THEME 2: Training, Classification, Counting &amp; Evaluation</w:t>
      </w:r>
    </w:p>
    <w:p>
      <w:pPr>
        <w:pStyle w:val="ListBullet"/>
        <w:spacing w:line="276" w:lineRule="auto" w:after="80"/>
      </w:pPr>
      <w:r>
        <w:rPr>
          <w:rFonts w:ascii="Arial" w:hAnsi="Arial"/>
          <w:b/>
          <w:color w:val="1E1E1E"/>
          <w:sz w:val="22"/>
        </w:rPr>
        <w:t>Stage 2.1:</w:t>
      </w:r>
      <w:r>
        <w:rPr>
          <w:rFonts w:ascii="Arial" w:hAnsi="Arial"/>
          <w:color w:val="1E1E1E"/>
          <w:sz w:val="22"/>
        </w:rPr>
        <w:t xml:space="preserve"> Deterministic Spatial Graph Construction (Connecting Soma Nodes V_soma and Fragment Nodes V_fragment via Delaunay/k-NN edges using spatial BBox coordinates).</w:t>
      </w:r>
    </w:p>
    <w:p>
      <w:pPr>
        <w:pStyle w:val="ListBullet"/>
        <w:spacing w:line="276" w:lineRule="auto" w:after="80"/>
      </w:pPr>
      <w:r>
        <w:rPr>
          <w:rFonts w:ascii="Arial" w:hAnsi="Arial"/>
          <w:b/>
          <w:color w:val="1E1E1E"/>
          <w:sz w:val="22"/>
        </w:rPr>
        <w:t>Stage 2.2:</w:t>
      </w:r>
      <w:r>
        <w:rPr>
          <w:rFonts w:ascii="Arial" w:hAnsi="Arial"/>
          <w:color w:val="1E1E1E"/>
          <w:sz w:val="22"/>
        </w:rPr>
        <w:t xml:space="preserve"> Multi-Task Joint Model Training (Pre-trained SSL DINOv2 ViT backbone + GATv2 Graph Encoder trained with Focal + Contrastive + Reconstruction loss).</w:t>
      </w:r>
    </w:p>
    <w:p>
      <w:pPr>
        <w:pStyle w:val="ListBullet"/>
        <w:spacing w:line="276" w:lineRule="auto" w:after="80"/>
      </w:pPr>
      <w:r>
        <w:rPr>
          <w:rFonts w:ascii="Arial" w:hAnsi="Arial"/>
          <w:b/>
          <w:color w:val="1E1E1E"/>
          <w:sz w:val="22"/>
        </w:rPr>
        <w:t>Stage 2.3:</w:t>
      </w:r>
      <w:r>
        <w:rPr>
          <w:rFonts w:ascii="Arial" w:hAnsi="Arial"/>
          <w:color w:val="1E1E1E"/>
          <w:sz w:val="22"/>
        </w:rPr>
        <w:t xml:space="preserve"> Whole-Slide High-Throughput Inference &amp; Seam NMS Deduplication (Parallel overlapping tile inference + border NMS).</w:t>
      </w:r>
    </w:p>
    <w:p>
      <w:pPr>
        <w:pStyle w:val="ListBullet"/>
        <w:spacing w:line="276" w:lineRule="auto" w:after="80"/>
      </w:pPr>
      <w:r>
        <w:rPr>
          <w:rFonts w:ascii="Arial" w:hAnsi="Arial"/>
          <w:b/>
          <w:color w:val="1E1E1E"/>
          <w:sz w:val="22"/>
        </w:rPr>
        <w:t>Stage 2.4:</w:t>
      </w:r>
      <w:r>
        <w:rPr>
          <w:rFonts w:ascii="Arial" w:hAnsi="Arial"/>
          <w:color w:val="1E1E1E"/>
          <w:sz w:val="22"/>
        </w:rPr>
        <w:t xml:space="preserve"> Per-State Cell Counting &amp; Continuous Activation Index Computation (Computing discrete 5-state counts and 0.00–1.00 continuous Activation Score).</w:t>
      </w:r>
    </w:p>
    <w:p>
      <w:pPr>
        <w:pStyle w:val="ListBullet"/>
        <w:spacing w:line="276" w:lineRule="auto" w:after="80"/>
      </w:pPr>
      <w:r>
        <w:rPr>
          <w:rFonts w:ascii="Arial" w:hAnsi="Arial"/>
          <w:b/>
          <w:color w:val="1E1E1E"/>
          <w:sz w:val="22"/>
        </w:rPr>
        <w:t>Stage 2.5:</w:t>
      </w:r>
      <w:r>
        <w:rPr>
          <w:rFonts w:ascii="Arial" w:hAnsi="Arial"/>
          <w:color w:val="1E1E1E"/>
          <w:sz w:val="22"/>
        </w:rPr>
        <w:t xml:space="preserve"> Pharmacological Drug &amp; PBM Response Analytics Platform (Dose-response sensitivity correlation r/rho for Dr. Lilach Gavish's screening pipeline).</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Theme 1: Dataset Extraction, MongoDB Setup &amp; Stain Normalization</w:t>
      </w:r>
    </w:p>
    <w:p>
      <w:pPr>
        <w:pStyle w:val="ListBullet"/>
        <w:spacing w:line="276" w:lineRule="auto" w:after="80"/>
      </w:pPr>
      <w:r>
        <w:rPr>
          <w:rFonts w:ascii="Arial" w:hAnsi="Arial"/>
          <w:b/>
          <w:color w:val="1E1E1E"/>
          <w:sz w:val="22"/>
        </w:rPr>
        <w:t xml:space="preserve">Task: </w:t>
      </w:r>
      <w:r>
        <w:rPr>
          <w:rFonts w:ascii="Arial" w:hAnsi="Arial"/>
          <w:color w:val="1E1E1E"/>
          <w:sz w:val="22"/>
        </w:rPr>
        <w:t>Run automated cell extraction (extract_cells.py). Set up MongoDB document store for JSON metadata, spatial BBoxes ([x, y, w, h]), and active labels. Perform Macenko stain normalization on all 1,000,000+ cell crops sharded by original Image ID (IMAGE_ID_cells.h5).</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clean, stain-normalized single-cell crop repository indexed in MongoDB.</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Theme 1: SSL Pre-Training &amp; Active Cluster Labeling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DINOv2 and MAE backbones on 1M+ stain-normalized crops. Run HDBSCAN clustering and annotate 10,000–50,000 cells using MongoDB-driven active bulk cluster verification in CVAT.</w:t>
      </w:r>
    </w:p>
    <w:p>
      <w:pPr>
        <w:pStyle w:val="ListBullet"/>
        <w:spacing w:line="276" w:lineRule="auto" w:after="80"/>
      </w:pPr>
      <w:r>
        <w:rPr>
          <w:rFonts w:ascii="Arial" w:hAnsi="Arial"/>
          <w:b/>
          <w:color w:val="1E1E1E"/>
          <w:sz w:val="22"/>
        </w:rPr>
        <w:t xml:space="preserve">Goal: </w:t>
      </w:r>
      <w:r>
        <w:rPr>
          <w:rFonts w:ascii="Arial" w:hAnsi="Arial"/>
          <w:color w:val="1E1E1E"/>
          <w:sz w:val="22"/>
        </w:rPr>
        <w:t>Deploy a domain-specific SSL feature encoder and establish a gold-standard labeled benchmark dataset.</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Theme 2: Spatial GNN Graph Construction &amp; Topology</w:t>
      </w:r>
    </w:p>
    <w:p>
      <w:pPr>
        <w:pStyle w:val="ListBullet"/>
        <w:spacing w:line="276" w:lineRule="auto" w:after="80"/>
      </w:pPr>
      <w:r>
        <w:rPr>
          <w:rFonts w:ascii="Arial" w:hAnsi="Arial"/>
          <w:b/>
          <w:color w:val="1E1E1E"/>
          <w:sz w:val="22"/>
        </w:rPr>
        <w:t xml:space="preserve">Task: </w:t>
      </w:r>
      <w:r>
        <w:rPr>
          <w:rFonts w:ascii="Arial" w:hAnsi="Arial"/>
          <w:color w:val="1E1E1E"/>
          <w:sz w:val="22"/>
        </w:rPr>
        <w:t>Construct physical spatial proximity graphs (G=(V,E)) connecting soma nodes and process fragment nodes using BBox spatial coordinates ([x, y, w, h]). Implement and train GATv2/MPNN GNN architectures.</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Theme 2: Multi-Task Joint Model Fine-Tuning</w:t>
      </w:r>
    </w:p>
    <w:p>
      <w:pPr>
        <w:pStyle w:val="ListBullet"/>
        <w:spacing w:line="276" w:lineRule="auto" w:after="80"/>
      </w:pPr>
      <w:r>
        <w:rPr>
          <w:rFonts w:ascii="Arial" w:hAnsi="Arial"/>
          <w:b/>
          <w:color w:val="1E1E1E"/>
          <w:sz w:val="22"/>
        </w:rPr>
        <w:t xml:space="preserve">Task: </w:t>
      </w:r>
      <w:r>
        <w:rPr>
          <w:rFonts w:ascii="Arial" w:hAnsi="Arial"/>
          <w:color w:val="1E1E1E"/>
          <w:sz w:val="22"/>
        </w:rPr>
        <w:t>Fine-tune the joint DINOv2 ViT + GATv2 GNN architecture on labeled data using combined Focal, Contrastive, and Dystrophic Reconstruction losses.</w:t>
      </w:r>
    </w:p>
    <w:p>
      <w:pPr>
        <w:pStyle w:val="ListBullet"/>
        <w:spacing w:line="276" w:lineRule="auto" w:after="80"/>
      </w:pPr>
      <w:r>
        <w:rPr>
          <w:rFonts w:ascii="Arial" w:hAnsi="Arial"/>
          <w:b/>
          <w:color w:val="1E1E1E"/>
          <w:sz w:val="22"/>
        </w:rPr>
        <w:t xml:space="preserve">Goal: </w:t>
      </w:r>
      <w:r>
        <w:rPr>
          <w:rFonts w:ascii="Arial" w:hAnsi="Arial"/>
          <w:color w:val="1E1E1E"/>
          <w:sz w:val="22"/>
        </w:rPr>
        <w:t>Achieve state-of-the-art per-class classification accuracy (Macro-F1 &gt; 0.94) and resolve Resting vs. Resolution state ambiguity.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Theme 2: High-Throughput Whole-Slide Inference Engine</w:t>
      </w:r>
    </w:p>
    <w:p>
      <w:pPr>
        <w:pStyle w:val="ListBullet"/>
        <w:spacing w:line="276" w:lineRule="auto" w:after="80"/>
      </w:pPr>
      <w:r>
        <w:rPr>
          <w:rFonts w:ascii="Arial" w:hAnsi="Arial"/>
          <w:b/>
          <w:color w:val="1E1E1E"/>
          <w:sz w:val="22"/>
        </w:rPr>
        <w:t xml:space="preserve">Task: </w:t>
      </w:r>
      <w:r>
        <w:rPr>
          <w:rFonts w:ascii="Arial" w:hAnsi="Arial"/>
          <w:color w:val="1E1E1E"/>
          <w:sz w:val="22"/>
        </w:rPr>
        <w:t>Build the whole-slide inference pipeline with overlapping 1024x1024 tile processing, BBox-driven Non-Maximum Suppression (NMS), per-state counting, and continuous Activation Index (0.00–1.00) computation.</w:t>
      </w:r>
    </w:p>
    <w:p>
      <w:pPr>
        <w:pStyle w:val="ListBullet"/>
        <w:spacing w:line="276" w:lineRule="auto" w:after="80"/>
      </w:pPr>
      <w:r>
        <w:rPr>
          <w:rFonts w:ascii="Arial" w:hAnsi="Arial"/>
          <w:b/>
          <w:color w:val="1E1E1E"/>
          <w:sz w:val="22"/>
        </w:rPr>
        <w:t xml:space="preserve">Goal: </w:t>
      </w:r>
      <w:r>
        <w:rPr>
          <w:rFonts w:ascii="Arial" w:hAnsi="Arial"/>
          <w:color w:val="1E1E1E"/>
          <w:sz w:val="22"/>
        </w:rPr>
        <w:t>Deliver a fast, automated whole-slide cell counting engine.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Theme 2: Pharmacological Validation, Thesis Writing &amp; Defense</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(Pearson r, Spearman rho) on drug-treated and PBM-irradiated rat brain slices with Dr. Lilach Gavish. Write final M.Sc. thesis and defend before academic committee.</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Resolution, and Dystrophic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He, K., Chen, X., Xie, S., et al. (2022). Masked autoencoders are scalable vision learners. IEEE/CVF CVPR, 16000-16009.</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Macenko, M., Niethammer, M., Marron, J. S., et al. (2009). A method for normalizing histology slides for quantitative analysis. IEEE ISBI, 1107-1110.</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