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w:t>
            </w:r>
          </w:p>
        </w:tc>
        <w:tc>
          <w:tcPr>
            <w:tcW w:type="dxa" w:w="4680"/>
            <w:tcMar>
              <w:top w:w="60" w:type="dxa"/>
              <w:bottom w:w="60" w:type="dxa"/>
              <w:left w:w="100" w:type="dxa"/>
              <w:right w:w="100" w:type="dxa"/>
            </w:tcMar>
          </w:tcPr>
          <w:p>
            <w:r>
              <w:rPr>
                <w:rFonts w:ascii="Arial" w:hAnsi="Arial"/>
                <w:color w:val="1E1E1E"/>
                <w:sz w:val="22"/>
              </w:rPr>
              <w:t>Dr. Hadas Lapid</w:t>
            </w:r>
          </w:p>
        </w:tc>
      </w:tr>
      <w:tr>
        <w:tc>
          <w:tcPr>
            <w:tcW w:type="dxa" w:w="4680"/>
            <w:tcMar>
              <w:top w:w="60" w:type="dxa"/>
              <w:bottom w:w="60" w:type="dxa"/>
              <w:left w:w="100" w:type="dxa"/>
              <w:right w:w="100" w:type="dxa"/>
            </w:tcMar>
          </w:tcPr>
          <w:p>
            <w:r>
              <w:rPr>
                <w:rFonts w:ascii="Arial" w:hAnsi="Arial"/>
                <w:b/>
                <w:color w:val="003366"/>
                <w:sz w:val="22"/>
              </w:rPr>
              <w:t>Advisors:</w:t>
            </w:r>
          </w:p>
        </w:tc>
        <w:tc>
          <w:tcPr>
            <w:tcW w:type="dxa" w:w="4680"/>
            <w:tcMar>
              <w:top w:w="60" w:type="dxa"/>
              <w:bottom w:w="60" w:type="dxa"/>
              <w:left w:w="100" w:type="dxa"/>
              <w:right w:w="100" w:type="dxa"/>
            </w:tcMar>
          </w:tcPr>
          <w:p>
            <w:r>
              <w:rPr>
                <w:rFonts w:ascii="Arial" w:hAnsi="Arial"/>
                <w:color w:val="1E1E1E"/>
                <w:sz w:val="22"/>
              </w:rP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CLAHE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Contrast Limited Adaptive Histogram Equalization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advised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Afeka Academic College of Engineering by Presaizen (2026) established a 4-class soma-centric classification pipeline using YOLOv11 object detection on microscopy brain tissue slices. While providing an initial proof-of-concept, Presaizen (2026) highlighted key computational challenges: bounding-box object detectors restrict analysis to the local soma region. Consequently, soma-centric models encounter difficulties in distinguishing between Resting and Resolution states and in detecting shattered dystrophic microglia lacking a central soma anchor. Addressing these challenges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automated cyan contour cell extraction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automated cyan contour cell extraction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(Active Bulk Dataset Labeling &amp; Benchmark Construction):</w:t>
      </w:r>
      <w:r>
        <w:rPr>
          <w:rFonts w:ascii="Arial" w:hAnsi="Arial"/>
          <w:color w:val="1E1E1E"/>
          <w:sz w:val="22"/>
        </w:rPr>
        <w:t xml:space="preserve"> Establish a gold-standard benchmark dataset of 10,000 to 50,000 single-cell crops labeled across 5 morphological activation states (Resting, Surveilling, Activated, Resolution, Dystrophic) using SSL feature space pre-clustering (HDBSCAN), 1-click bulk cluster verification, and entropy-driven uncertainty sampling H(x) indexed in MongoDB.</w:t>
      </w:r>
    </w:p>
    <w:p>
      <w:pPr>
        <w:pStyle w:val="ListBullet"/>
        <w:spacing w:line="276" w:lineRule="auto" w:after="80"/>
      </w:pPr>
      <w:r>
        <w:rPr>
          <w:rFonts w:ascii="Arial" w:hAnsi="Arial"/>
          <w:b/>
          <w:color w:val="1E1E1E"/>
          <w:sz w:val="22"/>
        </w:rPr>
        <w:t>Objective 2 (Boundary Sharpening &amp; Silhouette Extraction):</w:t>
      </w:r>
      <w:r>
        <w:rPr>
          <w:rFonts w:ascii="Arial" w:hAnsi="Arial"/>
          <w:color w:val="1E1E1E"/>
          <w:sz w:val="22"/>
        </w:rPr>
        <w:t xml:space="preserve"> Process cyan-contoured single-cell crops using automated boundary sharpening (boundary_sharpening_pipeline.py) and CLAHE edge fusion to extract clean, high-fidelity binary silhouette masks.</w:t>
      </w:r>
    </w:p>
    <w:p>
      <w:pPr>
        <w:pStyle w:val="ListBullet"/>
        <w:spacing w:line="276" w:lineRule="auto" w:after="80"/>
      </w:pPr>
      <w:r>
        <w:rPr>
          <w:rFonts w:ascii="Arial" w:hAnsi="Arial"/>
          <w:b/>
          <w:color w:val="1E1E1E"/>
          <w:sz w:val="22"/>
        </w:rPr>
        <w:t>Objective 3 (Self-Supervised Feature Space):</w:t>
      </w:r>
      <w:r>
        <w:rPr>
          <w:rFonts w:ascii="Arial" w:hAnsi="Arial"/>
          <w:color w:val="1E1E1E"/>
          <w:sz w:val="22"/>
        </w:rPr>
        <w:t xml:space="preserve"> Implement a contrastive self-supervised representation learning space (DINOv2 / Masked Autoencoders) fine-tuned on stain-normalized cell crops and masks to separate morphologically subtle activation states.</w:t>
      </w:r>
    </w:p>
    <w:p>
      <w:pPr>
        <w:pStyle w:val="ListBullet"/>
        <w:spacing w:line="276" w:lineRule="auto" w:after="80"/>
      </w:pPr>
      <w:r>
        <w:rPr>
          <w:rFonts w:ascii="Arial" w:hAnsi="Arial"/>
          <w:b/>
          <w:color w:val="1E1E1E"/>
          <w:sz w:val="22"/>
        </w:rPr>
        <w:t>Objective 4 (Graph Topology Construction):</w:t>
      </w:r>
      <w:r>
        <w:rPr>
          <w:rFonts w:ascii="Arial" w:hAnsi="Arial"/>
          <w:color w:val="1E1E1E"/>
          <w:sz w:val="22"/>
        </w:rPr>
        <w:t xml:space="preserve"> Construct spatial proximity graphs connecting soma nodes and process fragment nodes (using pre-trained SSL feature embeddings as node representations),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and PBM-irradiated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Cyan Contour Extraction &amp; Image Processing</w:t>
      </w:r>
    </w:p>
    <w:p>
      <w:pPr>
        <w:spacing w:line="276" w:lineRule="auto" w:after="120"/>
      </w:pPr>
      <w:r>
        <w:rPr>
          <w:rFonts w:ascii="Arial" w:hAnsi="Arial"/>
          <w:color w:val="1E1E1E"/>
          <w:sz w:val="22"/>
        </w:rPr>
        <w:t>Microscopy imaging protocols in our laboratory generate whole-slide tissue images where cells are marked with cyan contours. By applying multi-tile CLAHE ($8\times8$ grid), Scharr/Canny edge gradient fusion, and contained sub-cell IoU deduplication, our extraction pipeline isolates individual cell bodies and arbors directly from the raw slide without relying on bounding-box object detectors.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cyan contour cell extraction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Afeka Academic College of Engineering by Tali Presaizen (Jan 2026), supervised by Sharon Yalov-Handzel, PhD, and co-advised by Dr. Lilach Gavish, PhD, MPH.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before="160" w:after="80"/>
        <w:jc w:val="center"/>
      </w:pPr>
      <w:r>
        <w:drawing>
          <wp:inline xmlns:a="http://schemas.openxmlformats.org/drawingml/2006/main" xmlns:pic="http://schemas.openxmlformats.org/drawingml/2006/picture">
            <wp:extent cx="5486400" cy="947057"/>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947057"/>
                    </a:xfrm>
                    <a:prstGeom prst="rect"/>
                  </pic:spPr>
                </pic:pic>
              </a:graphicData>
            </a:graphic>
          </wp:inline>
        </w:drawing>
      </w:r>
    </w:p>
    <w:p>
      <w:pPr>
        <w:spacing w:after="240"/>
        <w:jc w:val="center"/>
      </w:pPr>
      <w:r>
        <w:rPr>
          <w:rFonts w:ascii="Arial" w:hAnsi="Arial"/>
          <w:i/>
          <w:color w:val="46505F"/>
          <w:sz w:val="19"/>
        </w:rPr>
        <w:t>Figure 2: Dual-crop representation panel across the 4 microglial morphological activation states: (A) Resting (Ramified), (B) Surveilling, (C) Activated (Ameboid), and (D) Resolution. Each state shows the raw RGB cell crop alongside its isolated, boundary-sharpened single-cell silhouette crop (subcell_XXX_sharpened_extracted.jpg).</w:t>
      </w:r>
    </w:p>
    <w:p>
      <w:pPr>
        <w:spacing w:line="276" w:lineRule="auto" w:after="120"/>
      </w:pPr>
      <w:r>
        <w:rPr>
          <w:rFonts w:ascii="Arial" w:hAnsi="Arial"/>
          <w:color w:val="1E1E1E"/>
          <w:sz w:val="22"/>
        </w:rPr>
        <w:t>The baseline architecture utilized a YOLOv11 object detector for 4-class classification. While achieving respectable baseline metrics (mAP@0.5 ≈ 0.76, macro-F1 ≈ 0.69), the study revealed key performance challenges:</w:t>
      </w:r>
    </w:p>
    <w:p>
      <w:pPr>
        <w:pStyle w:val="ListBullet"/>
        <w:spacing w:line="276" w:lineRule="auto" w:after="80"/>
      </w:pPr>
      <w:r>
        <w:rPr>
          <w:rFonts w:ascii="Arial" w:hAnsi="Arial"/>
          <w:b/>
          <w:color w:val="1E1E1E"/>
          <w:sz w:val="22"/>
        </w:rPr>
        <w:t>1. Soma-Centric Restriction:</w:t>
      </w:r>
      <w:r>
        <w:rPr>
          <w:rFonts w:ascii="Arial" w:hAnsi="Arial"/>
          <w:color w:val="1E1E1E"/>
          <w:sz w:val="22"/>
        </w:rPr>
        <w:t xml:space="preserve"> Bounding boxes crop out distal process branches, restricting analysis to the central soma.</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Misclassification occurred between Resting and Resolution states, as both states share similar soma sizes but differ in distal process topology.</w:t>
      </w:r>
    </w:p>
    <w:p>
      <w:pPr>
        <w:pStyle w:val="ListBullet"/>
        <w:spacing w:line="276" w:lineRule="auto" w:after="80"/>
      </w:pPr>
      <w:r>
        <w:rPr>
          <w:rFonts w:ascii="Arial" w:hAnsi="Arial"/>
          <w:b/>
          <w:color w:val="1E1E1E"/>
          <w:sz w:val="22"/>
        </w:rPr>
        <w:t>3. Challenges on Dystrophic Microglia:</w:t>
      </w:r>
      <w:r>
        <w:rPr>
          <w:rFonts w:ascii="Arial" w:hAnsi="Arial"/>
          <w:color w:val="1E1E1E"/>
          <w:sz w:val="22"/>
        </w:rPr>
        <w:t xml:space="preserve"> Dystrophic/shattered microglia in injured brain tissue lack a central soma anchor, causing object detectors to miss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