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tcPr>
          <w:p>
            <w:r>
              <w:rPr>
                <w:rFonts w:ascii="Arial" w:hAnsi="Arial"/>
                <w:b/>
                <w:color w:val="003366"/>
                <w:sz w:val="22"/>
              </w:rPr>
              <w:t>Student Name:</w:t>
            </w:r>
          </w:p>
        </w:tc>
        <w:tc>
          <w:tcPr>
            <w:tcW w:type="dxa" w:w="4680"/>
            <w:tcMar>
              <w:top w:w="80" w:type="dxa"/>
              <w:bottom w:w="80" w:type="dxa"/>
              <w:left w:w="100" w:type="dxa"/>
              <w:right w:w="100" w:type="dxa"/>
            </w:tcMar>
          </w:tcPr>
          <w:p>
            <w:r>
              <w:rPr>
                <w:rFonts w:ascii="Arial" w:hAnsi="Arial"/>
                <w:color w:val="1E1E1E"/>
                <w:sz w:val="22"/>
              </w:rPr>
              <w:t>Doron Peleg</w:t>
            </w:r>
          </w:p>
        </w:tc>
      </w:tr>
      <w:tr>
        <w:tc>
          <w:tcPr>
            <w:tcW w:type="dxa" w:w="4680"/>
            <w:tcMar>
              <w:top w:w="80" w:type="dxa"/>
              <w:bottom w:w="80" w:type="dxa"/>
              <w:left w:w="100" w:type="dxa"/>
              <w:right w:w="100" w:type="dxa"/>
            </w:tcMar>
          </w:tcPr>
          <w:p>
            <w:r>
              <w:rPr>
                <w:rFonts w:ascii="Arial" w:hAnsi="Arial"/>
                <w:b/>
                <w:color w:val="003366"/>
                <w:sz w:val="22"/>
              </w:rPr>
              <w:t>Academic Program:</w:t>
            </w:r>
          </w:p>
        </w:tc>
        <w:tc>
          <w:tcPr>
            <w:tcW w:type="dxa" w:w="4680"/>
            <w:tcMar>
              <w:top w:w="80" w:type="dxa"/>
              <w:bottom w:w="80" w:type="dxa"/>
              <w:left w:w="100" w:type="dxa"/>
              <w:right w:w="100" w:type="dxa"/>
            </w:tcMar>
          </w:tcPr>
          <w:p>
            <w:r>
              <w:rPr>
                <w:rFonts w:ascii="Arial" w:hAnsi="Arial"/>
                <w:color w:val="1E1E1E"/>
                <w:sz w:val="22"/>
              </w:rPr>
              <w:t>M.Sc. in Intelligent Systems (Machine Learning)</w:t>
            </w:r>
          </w:p>
        </w:tc>
      </w:tr>
      <w:tr>
        <w:tc>
          <w:tcPr>
            <w:tcW w:type="dxa" w:w="4680"/>
            <w:tcMar>
              <w:top w:w="80" w:type="dxa"/>
              <w:bottom w:w="80" w:type="dxa"/>
              <w:left w:w="100" w:type="dxa"/>
              <w:right w:w="100" w:type="dxa"/>
            </w:tcMar>
          </w:tcPr>
          <w:p>
            <w:r>
              <w:rPr>
                <w:rFonts w:ascii="Arial" w:hAnsi="Arial"/>
                <w:b/>
                <w:color w:val="003366"/>
                <w:sz w:val="22"/>
              </w:rPr>
              <w:t>Supervisors:</w:t>
            </w:r>
          </w:p>
        </w:tc>
        <w:tc>
          <w:tcPr>
            <w:tcW w:type="dxa" w:w="4680"/>
            <w:tcMar>
              <w:top w:w="80" w:type="dxa"/>
              <w:bottom w:w="80" w:type="dxa"/>
              <w:left w:w="100" w:type="dxa"/>
              <w:right w:w="100" w:type="dxa"/>
            </w:tcMar>
          </w:tcPr>
          <w:p>
            <w:r>
              <w:rPr>
                <w:rFonts w:ascii="Arial" w:hAnsi="Arial"/>
                <w:color w:val="1E1E1E"/>
                <w:sz w:val="22"/>
              </w:rPr>
              <w:t>Dr. Hadas Lapid</w:t>
              <w:br/>
              <w:t>Dr. Lilach Gavish, PhD, MPH</w:t>
              <w:br/>
              <w:t>Reut Zinger</w:t>
            </w:r>
          </w:p>
        </w:tc>
      </w:tr>
      <w:tr>
        <w:tc>
          <w:tcPr>
            <w:tcW w:type="dxa" w:w="4680"/>
            <w:tcMar>
              <w:top w:w="80" w:type="dxa"/>
              <w:bottom w:w="80" w:type="dxa"/>
              <w:left w:w="100" w:type="dxa"/>
              <w:right w:w="100" w:type="dxa"/>
            </w:tcMar>
          </w:tcPr>
          <w:p>
            <w:r>
              <w:rPr>
                <w:rFonts w:ascii="Arial" w:hAnsi="Arial"/>
                <w:b/>
                <w:color w:val="003366"/>
                <w:sz w:val="22"/>
              </w:rPr>
              <w:t>Submission Date:</w:t>
            </w:r>
          </w:p>
        </w:tc>
        <w:tc>
          <w:tcPr>
            <w:tcW w:type="dxa" w:w="4680"/>
            <w:tcMar>
              <w:top w:w="80" w:type="dxa"/>
              <w:bottom w:w="80" w:type="dxa"/>
              <w:left w:w="100" w:type="dxa"/>
              <w:right w:w="100" w:type="dxa"/>
            </w:tcMar>
          </w:tcPr>
          <w:p>
            <w:r>
              <w:rPr>
                <w:rFonts w:ascii="Arial" w:hAnsi="Arial"/>
                <w:color w:val="1E1E1E"/>
                <w:sz w:val="22"/>
              </w:rPr>
              <w:t>August 2026</w:t>
            </w:r>
          </w:p>
        </w:tc>
      </w:tr>
    </w:tbl>
    <w:p>
      <w:r>
        <w:br w:type="page"/>
      </w:r>
    </w:p>
    <w:p>
      <w:pPr>
        <w:keepNext/>
        <w:spacing w:before="360" w:after="16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Pr>
          <w:p>
            <w:r>
              <w:rPr>
                <w:b/>
                <w:color w:val="FFFFFF"/>
              </w:rPr>
              <w:t>Abbreviation</w:t>
            </w:r>
          </w:p>
        </w:tc>
        <w:tc>
          <w:tcPr>
            <w:tcW w:type="dxa" w:w="4680"/>
            <w:shd w:fill="003366"/>
          </w:tcPr>
          <w:p>
            <w:r>
              <w:rPr>
                <w:b/>
                <w:color w:val="FFFFFF"/>
              </w:rPr>
              <w:t>Definition</w:t>
            </w:r>
          </w:p>
        </w:tc>
      </w:tr>
      <w:tr>
        <w:tc>
          <w:tcPr>
            <w:tcW w:type="dxa" w:w="4680"/>
            <w:tcMar>
              <w:top w:w="60" w:type="dxa"/>
              <w:bottom w:w="60" w:type="dxa"/>
              <w:left w:w="100" w:type="dxa"/>
              <w:right w:w="100" w:type="dxa"/>
            </w:tcMar>
          </w:tcPr>
          <w:p>
            <w:r>
              <w:rPr>
                <w:b/>
              </w:rPr>
              <w:t>AI</w:t>
            </w:r>
          </w:p>
        </w:tc>
        <w:tc>
          <w:tcPr>
            <w:tcW w:type="dxa" w:w="4680"/>
            <w:tcMar>
              <w:top w:w="60" w:type="dxa"/>
              <w:bottom w:w="60" w:type="dxa"/>
              <w:left w:w="100" w:type="dxa"/>
              <w:right w:w="100" w:type="dxa"/>
            </w:tcMar>
          </w:tcPr>
          <w:p>
            <w:r>
              <w:t>Artificial Intelligence</w:t>
            </w:r>
          </w:p>
        </w:tc>
      </w:tr>
      <w:tr>
        <w:tc>
          <w:tcPr>
            <w:tcW w:type="dxa" w:w="4680"/>
            <w:tcMar>
              <w:top w:w="60" w:type="dxa"/>
              <w:bottom w:w="60" w:type="dxa"/>
              <w:left w:w="100" w:type="dxa"/>
              <w:right w:w="100" w:type="dxa"/>
            </w:tcMar>
          </w:tcPr>
          <w:p>
            <w:r>
              <w:rPr>
                <w:b/>
              </w:rPr>
              <w:t>AUC-ROC</w:t>
            </w:r>
          </w:p>
        </w:tc>
        <w:tc>
          <w:tcPr>
            <w:tcW w:type="dxa" w:w="4680"/>
            <w:tcMar>
              <w:top w:w="60" w:type="dxa"/>
              <w:bottom w:w="60" w:type="dxa"/>
              <w:left w:w="100" w:type="dxa"/>
              <w:right w:w="100" w:type="dxa"/>
            </w:tcMar>
          </w:tcPr>
          <w:p>
            <w:r>
              <w:t>Area Under the Receiver Operating Characteristic Curve</w:t>
            </w:r>
          </w:p>
        </w:tc>
      </w:tr>
      <w:tr>
        <w:tc>
          <w:tcPr>
            <w:tcW w:type="dxa" w:w="4680"/>
            <w:tcMar>
              <w:top w:w="60" w:type="dxa"/>
              <w:bottom w:w="60" w:type="dxa"/>
              <w:left w:w="100" w:type="dxa"/>
              <w:right w:w="100" w:type="dxa"/>
            </w:tcMar>
          </w:tcPr>
          <w:p>
            <w:r>
              <w:rPr>
                <w:b/>
              </w:rPr>
              <w:t>CNS</w:t>
            </w:r>
          </w:p>
        </w:tc>
        <w:tc>
          <w:tcPr>
            <w:tcW w:type="dxa" w:w="4680"/>
            <w:tcMar>
              <w:top w:w="60" w:type="dxa"/>
              <w:bottom w:w="60" w:type="dxa"/>
              <w:left w:w="100" w:type="dxa"/>
              <w:right w:w="100" w:type="dxa"/>
            </w:tcMar>
          </w:tcPr>
          <w:p>
            <w:r>
              <w:t>Central Nervous System</w:t>
            </w:r>
          </w:p>
        </w:tc>
      </w:tr>
      <w:tr>
        <w:tc>
          <w:tcPr>
            <w:tcW w:type="dxa" w:w="4680"/>
            <w:tcMar>
              <w:top w:w="60" w:type="dxa"/>
              <w:bottom w:w="60" w:type="dxa"/>
              <w:left w:w="100" w:type="dxa"/>
              <w:right w:w="100" w:type="dxa"/>
            </w:tcMar>
          </w:tcPr>
          <w:p>
            <w:r>
              <w:rPr>
                <w:b/>
              </w:rPr>
              <w:t>CNN</w:t>
            </w:r>
          </w:p>
        </w:tc>
        <w:tc>
          <w:tcPr>
            <w:tcW w:type="dxa" w:w="4680"/>
            <w:tcMar>
              <w:top w:w="60" w:type="dxa"/>
              <w:bottom w:w="60" w:type="dxa"/>
              <w:left w:w="100" w:type="dxa"/>
              <w:right w:w="100" w:type="dxa"/>
            </w:tcMar>
          </w:tcPr>
          <w:p>
            <w:r>
              <w:t>Convolutional Neural Network</w:t>
            </w:r>
          </w:p>
        </w:tc>
      </w:tr>
      <w:tr>
        <w:tc>
          <w:tcPr>
            <w:tcW w:type="dxa" w:w="4680"/>
            <w:tcMar>
              <w:top w:w="60" w:type="dxa"/>
              <w:bottom w:w="60" w:type="dxa"/>
              <w:left w:w="100" w:type="dxa"/>
              <w:right w:w="100" w:type="dxa"/>
            </w:tcMar>
          </w:tcPr>
          <w:p>
            <w:r>
              <w:rPr>
                <w:b/>
              </w:rPr>
              <w:t>CV</w:t>
            </w:r>
          </w:p>
        </w:tc>
        <w:tc>
          <w:tcPr>
            <w:tcW w:type="dxa" w:w="4680"/>
            <w:tcMar>
              <w:top w:w="60" w:type="dxa"/>
              <w:bottom w:w="60" w:type="dxa"/>
              <w:left w:w="100" w:type="dxa"/>
              <w:right w:w="100" w:type="dxa"/>
            </w:tcMar>
          </w:tcPr>
          <w:p>
            <w:r>
              <w:t>Computer Vision</w:t>
            </w:r>
          </w:p>
        </w:tc>
      </w:tr>
      <w:tr>
        <w:tc>
          <w:tcPr>
            <w:tcW w:type="dxa" w:w="4680"/>
            <w:tcMar>
              <w:top w:w="60" w:type="dxa"/>
              <w:bottom w:w="60" w:type="dxa"/>
              <w:left w:w="100" w:type="dxa"/>
              <w:right w:w="100" w:type="dxa"/>
            </w:tcMar>
          </w:tcPr>
          <w:p>
            <w:r>
              <w:rPr>
                <w:b/>
              </w:rPr>
              <w:t>CVAT</w:t>
            </w:r>
          </w:p>
        </w:tc>
        <w:tc>
          <w:tcPr>
            <w:tcW w:type="dxa" w:w="4680"/>
            <w:tcMar>
              <w:top w:w="60" w:type="dxa"/>
              <w:bottom w:w="60" w:type="dxa"/>
              <w:left w:w="100" w:type="dxa"/>
              <w:right w:w="100" w:type="dxa"/>
            </w:tcMar>
          </w:tcPr>
          <w:p>
            <w:r>
              <w:t>Computer Vision Annotation Tool</w:t>
            </w:r>
          </w:p>
        </w:tc>
      </w:tr>
      <w:tr>
        <w:tc>
          <w:tcPr>
            <w:tcW w:type="dxa" w:w="4680"/>
            <w:tcMar>
              <w:top w:w="60" w:type="dxa"/>
              <w:bottom w:w="60" w:type="dxa"/>
              <w:left w:w="100" w:type="dxa"/>
              <w:right w:w="100" w:type="dxa"/>
            </w:tcMar>
          </w:tcPr>
          <w:p>
            <w:r>
              <w:rPr>
                <w:b/>
              </w:rPr>
              <w:t>DINOv2</w:t>
            </w:r>
          </w:p>
        </w:tc>
        <w:tc>
          <w:tcPr>
            <w:tcW w:type="dxa" w:w="4680"/>
            <w:tcMar>
              <w:top w:w="60" w:type="dxa"/>
              <w:bottom w:w="60" w:type="dxa"/>
              <w:left w:w="100" w:type="dxa"/>
              <w:right w:w="100" w:type="dxa"/>
            </w:tcMar>
          </w:tcPr>
          <w:p>
            <w:r>
              <w:t>Self-Supervised Vision Transformer for Representation Learning</w:t>
            </w:r>
          </w:p>
        </w:tc>
      </w:tr>
      <w:tr>
        <w:tc>
          <w:tcPr>
            <w:tcW w:type="dxa" w:w="4680"/>
            <w:tcMar>
              <w:top w:w="60" w:type="dxa"/>
              <w:bottom w:w="60" w:type="dxa"/>
              <w:left w:w="100" w:type="dxa"/>
              <w:right w:w="100" w:type="dxa"/>
            </w:tcMar>
          </w:tcPr>
          <w:p>
            <w:r>
              <w:rPr>
                <w:b/>
              </w:rPr>
              <w:t>GATv2</w:t>
            </w:r>
          </w:p>
        </w:tc>
        <w:tc>
          <w:tcPr>
            <w:tcW w:type="dxa" w:w="4680"/>
            <w:tcMar>
              <w:top w:w="60" w:type="dxa"/>
              <w:bottom w:w="60" w:type="dxa"/>
              <w:left w:w="100" w:type="dxa"/>
              <w:right w:w="100" w:type="dxa"/>
            </w:tcMar>
          </w:tcPr>
          <w:p>
            <w:r>
              <w:t>Graph Attention Network (Version 2)</w:t>
            </w:r>
          </w:p>
        </w:tc>
      </w:tr>
      <w:tr>
        <w:tc>
          <w:tcPr>
            <w:tcW w:type="dxa" w:w="4680"/>
            <w:tcMar>
              <w:top w:w="60" w:type="dxa"/>
              <w:bottom w:w="60" w:type="dxa"/>
              <w:left w:w="100" w:type="dxa"/>
              <w:right w:w="100" w:type="dxa"/>
            </w:tcMar>
          </w:tcPr>
          <w:p>
            <w:r>
              <w:rPr>
                <w:b/>
              </w:rPr>
              <w:t>GNN</w:t>
            </w:r>
          </w:p>
        </w:tc>
        <w:tc>
          <w:tcPr>
            <w:tcW w:type="dxa" w:w="4680"/>
            <w:tcMar>
              <w:top w:w="60" w:type="dxa"/>
              <w:bottom w:w="60" w:type="dxa"/>
              <w:left w:w="100" w:type="dxa"/>
              <w:right w:w="100" w:type="dxa"/>
            </w:tcMar>
          </w:tcPr>
          <w:p>
            <w:r>
              <w:t>Graph Neural Network</w:t>
            </w:r>
          </w:p>
        </w:tc>
      </w:tr>
      <w:tr>
        <w:tc>
          <w:tcPr>
            <w:tcW w:type="dxa" w:w="4680"/>
            <w:tcMar>
              <w:top w:w="60" w:type="dxa"/>
              <w:bottom w:w="60" w:type="dxa"/>
              <w:left w:w="100" w:type="dxa"/>
              <w:right w:w="100" w:type="dxa"/>
            </w:tcMar>
          </w:tcPr>
          <w:p>
            <w:r>
              <w:rPr>
                <w:b/>
              </w:rPr>
              <w:t>IHC</w:t>
            </w:r>
          </w:p>
        </w:tc>
        <w:tc>
          <w:tcPr>
            <w:tcW w:type="dxa" w:w="4680"/>
            <w:tcMar>
              <w:top w:w="60" w:type="dxa"/>
              <w:bottom w:w="60" w:type="dxa"/>
              <w:left w:w="100" w:type="dxa"/>
              <w:right w:w="100" w:type="dxa"/>
            </w:tcMar>
          </w:tcPr>
          <w:p>
            <w:r>
              <w:t>Immunohistochemistry</w:t>
            </w:r>
          </w:p>
        </w:tc>
      </w:tr>
      <w:tr>
        <w:tc>
          <w:tcPr>
            <w:tcW w:type="dxa" w:w="4680"/>
            <w:tcMar>
              <w:top w:w="60" w:type="dxa"/>
              <w:bottom w:w="60" w:type="dxa"/>
              <w:left w:w="100" w:type="dxa"/>
              <w:right w:w="100" w:type="dxa"/>
            </w:tcMar>
          </w:tcPr>
          <w:p>
            <w:r>
              <w:rPr>
                <w:b/>
              </w:rPr>
              <w:t>IoU</w:t>
            </w:r>
          </w:p>
        </w:tc>
        <w:tc>
          <w:tcPr>
            <w:tcW w:type="dxa" w:w="4680"/>
            <w:tcMar>
              <w:top w:w="60" w:type="dxa"/>
              <w:bottom w:w="60" w:type="dxa"/>
              <w:left w:w="100" w:type="dxa"/>
              <w:right w:w="100" w:type="dxa"/>
            </w:tcMar>
          </w:tcPr>
          <w:p>
            <w:r>
              <w:t>Intersection over Union</w:t>
            </w:r>
          </w:p>
        </w:tc>
      </w:tr>
      <w:tr>
        <w:tc>
          <w:tcPr>
            <w:tcW w:type="dxa" w:w="4680"/>
            <w:tcMar>
              <w:top w:w="60" w:type="dxa"/>
              <w:bottom w:w="60" w:type="dxa"/>
              <w:left w:w="100" w:type="dxa"/>
              <w:right w:w="100" w:type="dxa"/>
            </w:tcMar>
          </w:tcPr>
          <w:p>
            <w:r>
              <w:rPr>
                <w:b/>
              </w:rPr>
              <w:t>MAE</w:t>
            </w:r>
          </w:p>
        </w:tc>
        <w:tc>
          <w:tcPr>
            <w:tcW w:type="dxa" w:w="4680"/>
            <w:tcMar>
              <w:top w:w="60" w:type="dxa"/>
              <w:bottom w:w="60" w:type="dxa"/>
              <w:left w:w="100" w:type="dxa"/>
              <w:right w:w="100" w:type="dxa"/>
            </w:tcMar>
          </w:tcPr>
          <w:p>
            <w:r>
              <w:t>Masked Autoencoder</w:t>
            </w:r>
          </w:p>
        </w:tc>
      </w:tr>
      <w:tr>
        <w:tc>
          <w:tcPr>
            <w:tcW w:type="dxa" w:w="4680"/>
            <w:tcMar>
              <w:top w:w="60" w:type="dxa"/>
              <w:bottom w:w="60" w:type="dxa"/>
              <w:left w:w="100" w:type="dxa"/>
              <w:right w:w="100" w:type="dxa"/>
            </w:tcMar>
          </w:tcPr>
          <w:p>
            <w:r>
              <w:rPr>
                <w:b/>
              </w:rPr>
              <w:t>mAP</w:t>
            </w:r>
          </w:p>
        </w:tc>
        <w:tc>
          <w:tcPr>
            <w:tcW w:type="dxa" w:w="4680"/>
            <w:tcMar>
              <w:top w:w="60" w:type="dxa"/>
              <w:bottom w:w="60" w:type="dxa"/>
              <w:left w:w="100" w:type="dxa"/>
              <w:right w:w="100" w:type="dxa"/>
            </w:tcMar>
          </w:tcPr>
          <w:p>
            <w:r>
              <w:t>Mean Average Precision</w:t>
            </w:r>
          </w:p>
        </w:tc>
      </w:tr>
      <w:tr>
        <w:tc>
          <w:tcPr>
            <w:tcW w:type="dxa" w:w="4680"/>
            <w:tcMar>
              <w:top w:w="60" w:type="dxa"/>
              <w:bottom w:w="60" w:type="dxa"/>
              <w:left w:w="100" w:type="dxa"/>
              <w:right w:w="100" w:type="dxa"/>
            </w:tcMar>
          </w:tcPr>
          <w:p>
            <w:r>
              <w:rPr>
                <w:b/>
              </w:rPr>
              <w:t>ML</w:t>
            </w:r>
          </w:p>
        </w:tc>
        <w:tc>
          <w:tcPr>
            <w:tcW w:type="dxa" w:w="4680"/>
            <w:tcMar>
              <w:top w:w="60" w:type="dxa"/>
              <w:bottom w:w="60" w:type="dxa"/>
              <w:left w:w="100" w:type="dxa"/>
              <w:right w:w="100" w:type="dxa"/>
            </w:tcMar>
          </w:tcPr>
          <w:p>
            <w:r>
              <w:t>Machine Learning</w:t>
            </w:r>
          </w:p>
        </w:tc>
      </w:tr>
      <w:tr>
        <w:tc>
          <w:tcPr>
            <w:tcW w:type="dxa" w:w="4680"/>
            <w:tcMar>
              <w:top w:w="60" w:type="dxa"/>
              <w:bottom w:w="60" w:type="dxa"/>
              <w:left w:w="100" w:type="dxa"/>
              <w:right w:w="100" w:type="dxa"/>
            </w:tcMar>
          </w:tcPr>
          <w:p>
            <w:r>
              <w:rPr>
                <w:b/>
              </w:rPr>
              <w:t>MPNN</w:t>
            </w:r>
          </w:p>
        </w:tc>
        <w:tc>
          <w:tcPr>
            <w:tcW w:type="dxa" w:w="4680"/>
            <w:tcMar>
              <w:top w:w="60" w:type="dxa"/>
              <w:bottom w:w="60" w:type="dxa"/>
              <w:left w:w="100" w:type="dxa"/>
              <w:right w:w="100" w:type="dxa"/>
            </w:tcMar>
          </w:tcPr>
          <w:p>
            <w:r>
              <w:t>Message Passing Neural Network</w:t>
            </w:r>
          </w:p>
        </w:tc>
      </w:tr>
      <w:tr>
        <w:tc>
          <w:tcPr>
            <w:tcW w:type="dxa" w:w="4680"/>
            <w:tcMar>
              <w:top w:w="60" w:type="dxa"/>
              <w:bottom w:w="60" w:type="dxa"/>
              <w:left w:w="100" w:type="dxa"/>
              <w:right w:w="100" w:type="dxa"/>
            </w:tcMar>
          </w:tcPr>
          <w:p>
            <w:r>
              <w:rPr>
                <w:b/>
              </w:rPr>
              <w:t>PBM</w:t>
            </w:r>
          </w:p>
        </w:tc>
        <w:tc>
          <w:tcPr>
            <w:tcW w:type="dxa" w:w="4680"/>
            <w:tcMar>
              <w:top w:w="60" w:type="dxa"/>
              <w:bottom w:w="60" w:type="dxa"/>
              <w:left w:w="100" w:type="dxa"/>
              <w:right w:w="100" w:type="dxa"/>
            </w:tcMar>
          </w:tcPr>
          <w:p>
            <w:r>
              <w:t>Photobiomodulation Therapy</w:t>
            </w:r>
          </w:p>
        </w:tc>
      </w:tr>
      <w:tr>
        <w:tc>
          <w:tcPr>
            <w:tcW w:type="dxa" w:w="4680"/>
            <w:tcMar>
              <w:top w:w="60" w:type="dxa"/>
              <w:bottom w:w="60" w:type="dxa"/>
              <w:left w:w="100" w:type="dxa"/>
              <w:right w:w="100" w:type="dxa"/>
            </w:tcMar>
          </w:tcPr>
          <w:p>
            <w:r>
              <w:rPr>
                <w:b/>
              </w:rPr>
              <w:t>ROS</w:t>
            </w:r>
          </w:p>
        </w:tc>
        <w:tc>
          <w:tcPr>
            <w:tcW w:type="dxa" w:w="4680"/>
            <w:tcMar>
              <w:top w:w="60" w:type="dxa"/>
              <w:bottom w:w="60" w:type="dxa"/>
              <w:left w:w="100" w:type="dxa"/>
              <w:right w:w="100" w:type="dxa"/>
            </w:tcMar>
          </w:tcPr>
          <w:p>
            <w:r>
              <w:t>Reactive Oxygen Species</w:t>
            </w:r>
          </w:p>
        </w:tc>
      </w:tr>
      <w:tr>
        <w:tc>
          <w:tcPr>
            <w:tcW w:type="dxa" w:w="4680"/>
            <w:tcMar>
              <w:top w:w="60" w:type="dxa"/>
              <w:bottom w:w="60" w:type="dxa"/>
              <w:left w:w="100" w:type="dxa"/>
              <w:right w:w="100" w:type="dxa"/>
            </w:tcMar>
          </w:tcPr>
          <w:p>
            <w:r>
              <w:rPr>
                <w:b/>
              </w:rPr>
              <w:t>SAM</w:t>
            </w:r>
          </w:p>
        </w:tc>
        <w:tc>
          <w:tcPr>
            <w:tcW w:type="dxa" w:w="4680"/>
            <w:tcMar>
              <w:top w:w="60" w:type="dxa"/>
              <w:bottom w:w="60" w:type="dxa"/>
              <w:left w:w="100" w:type="dxa"/>
              <w:right w:w="100" w:type="dxa"/>
            </w:tcMar>
          </w:tcPr>
          <w:p>
            <w:r>
              <w:t>Segment Anything Model</w:t>
            </w:r>
          </w:p>
        </w:tc>
      </w:tr>
      <w:tr>
        <w:tc>
          <w:tcPr>
            <w:tcW w:type="dxa" w:w="4680"/>
            <w:tcMar>
              <w:top w:w="60" w:type="dxa"/>
              <w:bottom w:w="60" w:type="dxa"/>
              <w:left w:w="100" w:type="dxa"/>
              <w:right w:w="100" w:type="dxa"/>
            </w:tcMar>
          </w:tcPr>
          <w:p>
            <w:r>
              <w:rPr>
                <w:b/>
              </w:rPr>
              <w:t>SOTA</w:t>
            </w:r>
          </w:p>
        </w:tc>
        <w:tc>
          <w:tcPr>
            <w:tcW w:type="dxa" w:w="4680"/>
            <w:tcMar>
              <w:top w:w="60" w:type="dxa"/>
              <w:bottom w:w="60" w:type="dxa"/>
              <w:left w:w="100" w:type="dxa"/>
              <w:right w:w="100" w:type="dxa"/>
            </w:tcMar>
          </w:tcPr>
          <w:p>
            <w:r>
              <w:t>State-of-the-Art</w:t>
            </w:r>
          </w:p>
        </w:tc>
      </w:tr>
      <w:tr>
        <w:tc>
          <w:tcPr>
            <w:tcW w:type="dxa" w:w="4680"/>
            <w:tcMar>
              <w:top w:w="60" w:type="dxa"/>
              <w:bottom w:w="60" w:type="dxa"/>
              <w:left w:w="100" w:type="dxa"/>
              <w:right w:w="100" w:type="dxa"/>
            </w:tcMar>
          </w:tcPr>
          <w:p>
            <w:r>
              <w:rPr>
                <w:b/>
              </w:rPr>
              <w:t>TBI</w:t>
            </w:r>
          </w:p>
        </w:tc>
        <w:tc>
          <w:tcPr>
            <w:tcW w:type="dxa" w:w="4680"/>
            <w:tcMar>
              <w:top w:w="60" w:type="dxa"/>
              <w:bottom w:w="60" w:type="dxa"/>
              <w:left w:w="100" w:type="dxa"/>
              <w:right w:w="100" w:type="dxa"/>
            </w:tcMar>
          </w:tcPr>
          <w:p>
            <w:r>
              <w:t>Traumatic Brain Injury</w:t>
            </w:r>
          </w:p>
        </w:tc>
      </w:tr>
      <w:tr>
        <w:tc>
          <w:tcPr>
            <w:tcW w:type="dxa" w:w="4680"/>
            <w:tcMar>
              <w:top w:w="60" w:type="dxa"/>
              <w:bottom w:w="60" w:type="dxa"/>
              <w:left w:w="100" w:type="dxa"/>
              <w:right w:w="100" w:type="dxa"/>
            </w:tcMar>
          </w:tcPr>
          <w:p>
            <w:r>
              <w:rPr>
                <w:b/>
              </w:rPr>
              <w:t>U-Net</w:t>
            </w:r>
          </w:p>
        </w:tc>
        <w:tc>
          <w:tcPr>
            <w:tcW w:type="dxa" w:w="4680"/>
            <w:tcMar>
              <w:top w:w="60" w:type="dxa"/>
              <w:bottom w:w="60" w:type="dxa"/>
              <w:left w:w="100" w:type="dxa"/>
              <w:right w:w="100" w:type="dxa"/>
            </w:tcMar>
          </w:tcPr>
          <w:p>
            <w:r>
              <w:t>Convolutional Network Architecture for Biological Segmentation</w:t>
            </w:r>
          </w:p>
        </w:tc>
      </w:tr>
      <w:tr>
        <w:tc>
          <w:tcPr>
            <w:tcW w:type="dxa" w:w="4680"/>
            <w:tcMar>
              <w:top w:w="60" w:type="dxa"/>
              <w:bottom w:w="60" w:type="dxa"/>
              <w:left w:w="100" w:type="dxa"/>
              <w:right w:w="100" w:type="dxa"/>
            </w:tcMar>
          </w:tcPr>
          <w:p>
            <w:r>
              <w:rPr>
                <w:b/>
              </w:rPr>
              <w:t>ViT</w:t>
            </w:r>
          </w:p>
        </w:tc>
        <w:tc>
          <w:tcPr>
            <w:tcW w:type="dxa" w:w="4680"/>
            <w:tcMar>
              <w:top w:w="60" w:type="dxa"/>
              <w:bottom w:w="60" w:type="dxa"/>
              <w:left w:w="100" w:type="dxa"/>
              <w:right w:w="100" w:type="dxa"/>
            </w:tcMar>
          </w:tcPr>
          <w:p>
            <w:r>
              <w:t>Vision Transformer</w:t>
            </w:r>
          </w:p>
        </w:tc>
      </w:tr>
      <w:tr>
        <w:tc>
          <w:tcPr>
            <w:tcW w:type="dxa" w:w="4680"/>
            <w:tcMar>
              <w:top w:w="60" w:type="dxa"/>
              <w:bottom w:w="60" w:type="dxa"/>
              <w:left w:w="100" w:type="dxa"/>
              <w:right w:w="100" w:type="dxa"/>
            </w:tcMar>
          </w:tcPr>
          <w:p>
            <w:r>
              <w:rPr>
                <w:b/>
              </w:rPr>
              <w:t>YOLO</w:t>
            </w:r>
          </w:p>
        </w:tc>
        <w:tc>
          <w:tcPr>
            <w:tcW w:type="dxa" w:w="4680"/>
            <w:tcMar>
              <w:top w:w="60" w:type="dxa"/>
              <w:bottom w:w="60" w:type="dxa"/>
              <w:left w:w="100" w:type="dxa"/>
              <w:right w:w="100" w:type="dxa"/>
            </w:tcMar>
          </w:tcPr>
          <w:p>
            <w:r>
              <w:t>You Only Look Once (Object Detection Framework)</w:t>
            </w:r>
          </w:p>
        </w:tc>
      </w:tr>
    </w:tbl>
    <w:p>
      <w:pPr>
        <w:keepNext/>
        <w:spacing w:before="360" w:after="160"/>
      </w:pPr>
      <w:r>
        <w:rPr>
          <w:rFonts w:ascii="Arial" w:hAnsi="Arial"/>
          <w:b/>
          <w:color w:val="003366"/>
          <w:sz w:val="32"/>
        </w:rPr>
        <w:t>1. Motivation</w:t>
      </w:r>
    </w:p>
    <w:p>
      <w:pPr>
        <w:spacing w:line="276" w:lineRule="auto" w:after="120"/>
      </w:pPr>
      <w:r>
        <w:rPr>
          <w:rFonts w:ascii="Arial" w:hAnsi="Arial"/>
          <w:color w:val="1E1E1E"/>
          <w:sz w:val="22"/>
        </w:rPr>
        <w:t>Traumatic Brain Injury (TBI) affects approximately 69 million individuals worldwide every year. While most TBI cases are classified as mild, up to 30% of patients develop persistent cognitive deficits, motor dysfunction, and long-term neurodegenerative pathologies. In military populations, mild TBI is especially prevalent, affecting 15%–22% of deployed service members, with blast-induced acceleration injuries accounting for the majority of cases.</w:t>
      </w:r>
    </w:p>
    <w:p>
      <w:pPr>
        <w:spacing w:line="276" w:lineRule="auto" w:after="120"/>
      </w:pPr>
      <w:r>
        <w:rPr>
          <w:rFonts w:ascii="Arial" w:hAnsi="Arial"/>
          <w:color w:val="1E1E1E"/>
          <w:sz w:val="22"/>
        </w:rPr>
        <w:t>Microglia, the resident immune sentinels of the Central Nervous System (CNS), are central to the neuroinflammatory cascade triggered by TBI. Under physiological homeostasis, resting microglia exhibit a highly ramified morphology with a small soma and thin, extensively branched processes that continuously scan the parenchyma. Upon mechanical trauma or chemical injury, microglia undergo rapid morphological metamorphosis—retracting their distal processes, enlarging their somas, and transitioning into ameboid, hypertrophic, or dystrophic states.</w:t>
      </w:r>
    </w:p>
    <w:p>
      <w:pPr>
        <w:spacing w:line="276" w:lineRule="auto" w:after="120"/>
      </w:pPr>
      <w:r>
        <w:rPr>
          <w:rFonts w:ascii="Arial" w:hAnsi="Arial"/>
          <w:color w:val="1E1E1E"/>
          <w:sz w:val="22"/>
        </w:rPr>
        <w:t>Photobiomodulation (PBM), a non-invasive therapeutic intervention utilizing red to near-infrared light (600–1000 nm), has emerged as a promising neuroprotective strategy for TBI. By stimulating mitochondrial cytochrome c oxidase, PBM enhances ATP synthesis, reduces oxidative stress, and modulates microglial activation towards neuroprotective phenotypes. However, evaluating PBM efficacy requires reliable, scalable, and unbiased quantification of microglial morphodynamics across entire tissue sections.</w:t>
      </w:r>
    </w:p>
    <w:p>
      <w:pPr>
        <w:spacing w:line="276" w:lineRule="auto" w:after="120"/>
      </w:pPr>
      <w:r>
        <w:rPr>
          <w:rFonts w:ascii="Arial" w:hAnsi="Arial"/>
          <w:color w:val="1E1E1E"/>
          <w:sz w:val="22"/>
        </w:rPr>
        <w:t>Existing automated quantification methods predominantly rely on soma-centric bounding boxes (e.g., YOLO-based object detectors). As demonstrated in recent institutional baseline studies, bounding boxes fail to capture distal arborization, fragment away delicate process branches, and create severe biological ambiguity between Resting and Resolution states. Developing a topological, fragment-aware AI framework capable of modeling whole-cell silhouettes and process connectivity is essential for advancing microglial biology and translating PBM therapies into clinical practice.</w:t>
      </w:r>
    </w:p>
    <w:p>
      <w:pPr>
        <w:keepNext/>
        <w:spacing w:before="360" w:after="160"/>
      </w:pPr>
      <w:r>
        <w:rPr>
          <w:rFonts w:ascii="Arial" w:hAnsi="Arial"/>
          <w:b/>
          <w:color w:val="003366"/>
          <w:sz w:val="32"/>
        </w:rPr>
        <w:t>2. Research Question and Hypothesis</w:t>
      </w:r>
    </w:p>
    <w:p>
      <w:pPr>
        <w:keepNext/>
        <w:spacing w:before="280" w:after="12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Photobiomodulation (PBM) therapeutic response compared to standard discrete classification?</w:t>
      </w:r>
    </w:p>
    <w:p>
      <w:pPr>
        <w:keepNext/>
        <w:spacing w:before="280" w:after="12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PBM evaluation.</w:t>
      </w:r>
    </w:p>
    <w:p>
      <w:pPr>
        <w:keepNext/>
        <w:spacing w:before="360" w:after="16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(Clinical &amp; Experimental Validation):</w:t>
      </w:r>
      <w:r>
        <w:rPr>
          <w:rFonts w:ascii="Arial" w:hAnsi="Arial"/>
          <w:color w:val="1E1E1E"/>
          <w:sz w:val="22"/>
        </w:rPr>
        <w:t xml:space="preserve"> Formulate a continuous Multi-Parametric Activation Index (0–1 scale) and validate its sensitivity against experimental PBM-treated and LPS-challenged rodent TBI brain slices.</w:t>
      </w:r>
    </w:p>
    <w:p>
      <w:pPr>
        <w:keepNext/>
        <w:spacing w:before="360" w:after="160"/>
      </w:pPr>
      <w:r>
        <w:rPr>
          <w:rFonts w:ascii="Arial" w:hAnsi="Arial"/>
          <w:b/>
          <w:color w:val="003366"/>
          <w:sz w:val="32"/>
        </w:rPr>
        <w:t>4. Literature Review</w:t>
      </w:r>
    </w:p>
    <w:p>
      <w:pPr>
        <w:keepNext/>
        <w:spacing w:before="280" w:after="12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80" w:after="120"/>
      </w:pPr>
      <w:r>
        <w:rPr>
          <w:rFonts w:ascii="Arial" w:hAnsi="Arial"/>
          <w:b/>
          <w:color w:val="46505F"/>
          <w:sz w:val="26"/>
        </w:rPr>
        <w:t>4.2 Photobiomodulation (PBM) Therapy</w:t>
      </w:r>
    </w:p>
    <w:p>
      <w:pPr>
        <w:spacing w:line="276" w:lineRule="auto" w:after="120"/>
      </w:pPr>
      <w:r>
        <w:rPr>
          <w:rFonts w:ascii="Arial" w:hAnsi="Arial"/>
          <w:color w:val="1E1E1E"/>
          <w:sz w:val="22"/>
        </w:rPr>
        <w:t>Photobiomodulation (PBM) applies low-level light in the red to near-infrared spectrum (600–1000 nm) to modulate cellular function. In TBI models, PBM photon absorption by mitochondrial cytochrome c oxidase boosts ATP synthesis, attenuates reactive oxygen species (ROS), and shifts microglial polarization from pro-inflammatory (M1-like) to pro-resolving (M2-like) phenotypes. Quantifying these morphodynamic shifts across brain slices is essential for optimizing PBM therapeutic protocols.</w:t>
      </w:r>
    </w:p>
    <w:p>
      <w:pPr>
        <w:keepNext/>
        <w:spacing w:before="280" w:after="12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80" w:after="12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80" w:after="12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80" w:after="12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80" w:after="12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60" w:after="16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Dr. Sharon Yalov-Handzel and Dr. Lilach Gavish.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60" w:after="160"/>
      </w:pPr>
      <w:r>
        <w:rPr>
          <w:rFonts w:ascii="Arial" w:hAnsi="Arial"/>
          <w:b/>
          <w:color w:val="003366"/>
          <w:sz w:val="32"/>
        </w:rPr>
        <w:t>6. Proposed Methodology</w:t>
      </w:r>
    </w:p>
    <w:p>
      <w:pPr>
        <w:keepNext/>
        <w:spacing w:before="280" w:after="120"/>
      </w:pPr>
      <w:r>
        <w:rPr>
          <w:rFonts w:ascii="Arial" w:hAnsi="Arial"/>
          <w:b/>
          <w:color w:val="46505F"/>
          <w:sz w:val="26"/>
        </w:rPr>
        <w:t>6.1 Pipeline Architecture</w:t>
      </w:r>
    </w:p>
    <w:p>
      <w:pPr>
        <w:spacing w:line="276" w:lineRule="auto" w:after="120"/>
      </w:pPr>
      <w:r>
        <w:rPr>
          <w:rFonts w:ascii="Arial" w:hAnsi="Arial"/>
          <w:color w:val="1E1E1E"/>
          <w:sz w:val="22"/>
        </w:rPr>
        <w:t>The proposed framework consists of five integrated computational stages:</w:t>
      </w:r>
    </w:p>
    <w:p>
      <w:pPr>
        <w:pStyle w:val="ListBullet"/>
        <w:spacing w:line="276" w:lineRule="auto" w:after="80"/>
      </w:pPr>
      <w:r>
        <w:rPr>
          <w:rFonts w:ascii="Arial" w:hAnsi="Arial"/>
          <w:b/>
          <w:color w:val="1E1E1E"/>
          <w:sz w:val="22"/>
        </w:rPr>
        <w:t>Stage 1 (Polygonal Re-annotation):</w:t>
      </w:r>
      <w:r>
        <w:rPr>
          <w:rFonts w:ascii="Arial" w:hAnsi="Arial"/>
          <w:color w:val="1E1E1E"/>
          <w:sz w:val="22"/>
        </w:rPr>
        <w:t xml:space="preserve"> Convert bounding boxes to pixel-wise polygonal masks capturing somas and distal process fragments.</w:t>
      </w:r>
    </w:p>
    <w:p>
      <w:pPr>
        <w:pStyle w:val="ListBullet"/>
        <w:spacing w:line="276" w:lineRule="auto" w:after="80"/>
      </w:pPr>
      <w:r>
        <w:rPr>
          <w:rFonts w:ascii="Arial" w:hAnsi="Arial"/>
          <w:b/>
          <w:color w:val="1E1E1E"/>
          <w:sz w:val="22"/>
        </w:rPr>
        <w:t>Stage 2 (Foundation Segmentation):</w:t>
      </w:r>
      <w:r>
        <w:rPr>
          <w:rFonts w:ascii="Arial" w:hAnsi="Arial"/>
          <w:color w:val="1E1E1E"/>
          <w:sz w:val="22"/>
        </w:rPr>
        <w:t xml:space="preserve"> Fine-tune Cellpose 3.0 / SAM-Microscopy for whole-cell silhouette segmentation.</w:t>
      </w:r>
    </w:p>
    <w:p>
      <w:pPr>
        <w:pStyle w:val="ListBullet"/>
        <w:spacing w:line="276" w:lineRule="auto" w:after="80"/>
      </w:pPr>
      <w:r>
        <w:rPr>
          <w:rFonts w:ascii="Arial" w:hAnsi="Arial"/>
          <w:b/>
          <w:color w:val="1E1E1E"/>
          <w:sz w:val="22"/>
        </w:rPr>
        <w:t>Stage 3 (GNN Topological Graph Construction):</w:t>
      </w:r>
      <w:r>
        <w:rPr>
          <w:rFonts w:ascii="Arial" w:hAnsi="Arial"/>
          <w:color w:val="1E1E1E"/>
          <w:sz w:val="22"/>
        </w:rPr>
        <w:t xml:space="preserve"> Construct spatial proximity k-NN graphs connecting somas and process fragment nodes.</w:t>
      </w:r>
    </w:p>
    <w:p>
      <w:pPr>
        <w:pStyle w:val="ListBullet"/>
        <w:spacing w:line="276" w:lineRule="auto" w:after="80"/>
      </w:pPr>
      <w:r>
        <w:rPr>
          <w:rFonts w:ascii="Arial" w:hAnsi="Arial"/>
          <w:b/>
          <w:color w:val="1E1E1E"/>
          <w:sz w:val="22"/>
        </w:rPr>
        <w:t>Stage 4 (Self-Supervised Feature Learning):</w:t>
      </w:r>
      <w:r>
        <w:rPr>
          <w:rFonts w:ascii="Arial" w:hAnsi="Arial"/>
          <w:color w:val="1E1E1E"/>
          <w:sz w:val="22"/>
        </w:rPr>
        <w:t xml:space="preserve"> Train DINOv2 / Masked Autoencoders (MAE) on segmented masks for self-supervised feature extraction.</w:t>
      </w:r>
    </w:p>
    <w:p>
      <w:pPr>
        <w:pStyle w:val="ListBullet"/>
        <w:spacing w:line="276" w:lineRule="auto" w:after="80"/>
      </w:pPr>
      <w:r>
        <w:rPr>
          <w:rFonts w:ascii="Arial" w:hAnsi="Arial"/>
          <w:b/>
          <w:color w:val="1E1E1E"/>
          <w:sz w:val="22"/>
        </w:rPr>
        <w:t>Stage 5 (Activation Index Computation):</w:t>
      </w:r>
      <w:r>
        <w:rPr>
          <w:rFonts w:ascii="Arial" w:hAnsi="Arial"/>
          <w:color w:val="1E1E1E"/>
          <w:sz w:val="22"/>
        </w:rPr>
        <w:t xml:space="preserve"> Aggregate graph embeddings into a continuous Multi-Parametric Activation Index (0–1 scale).</w:t>
      </w:r>
    </w:p>
    <w:p>
      <w:pPr>
        <w:keepNext/>
        <w:spacing w:before="280" w:after="120"/>
      </w:pPr>
      <w:r>
        <w:rPr>
          <w:rFonts w:ascii="Arial" w:hAnsi="Arial"/>
          <w:b/>
          <w:color w:val="46505F"/>
          <w:sz w:val="26"/>
        </w:rPr>
        <w:t>6.2 GNN Construction &amp; Topological Feature Learning</w:t>
      </w:r>
    </w:p>
    <w:p>
      <w:pPr>
        <w:spacing w:line="276" w:lineRule="auto" w:after="120"/>
      </w:pPr>
      <w:r>
        <w:rPr>
          <w:rFonts w:ascii="Arial" w:hAnsi="Arial"/>
          <w:color w:val="1E1E1E"/>
          <w:sz w:val="22"/>
        </w:rPr>
        <w:t>Segmented cell somas ($V_{\text{soma}}$) and distal process fragments ($V_{\text{fragment}}$) are represented as graph nodes $V = V_{\text{soma}} \cup V_{\text{fragment}}$. Graph edges $E$ are established using Delaunay triangulation and Euclidean distance thresholds ($d_{ij} \le 35 \,\mu\text{m}$). Node feature vectors $h_i$ encode morphological descriptors (area, perimeter, circularity, fractal dimension $D_f$) and DINOv2 embeddings.</w:t>
      </w:r>
    </w:p>
    <w:p>
      <w:pPr>
        <w:spacing w:line="276" w:lineRule="auto" w:after="120"/>
      </w:pPr>
      <w:r>
        <w:rPr>
          <w:rFonts w:ascii="Arial" w:hAnsi="Arial"/>
          <w:color w:val="1E1E1E"/>
          <w:sz w:val="22"/>
        </w:rPr>
        <w:t>A Graph Attention Network (GATv2) with multi-head attention performs message passing to aggregate process neighborhood topology into node-level and graph-level representations $h_G = \text{Readout}(\{h_i\})$.</w:t>
      </w:r>
    </w:p>
    <w:p>
      <w:pPr>
        <w:keepNext/>
        <w:spacing w:before="360" w:after="16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80" w:after="120"/>
      </w:pPr>
      <w:r>
        <w:rPr>
          <w:rFonts w:ascii="Arial" w:hAnsi="Arial"/>
          <w:b/>
          <w:color w:val="46505F"/>
          <w:sz w:val="26"/>
        </w:rPr>
        <w:t>Stage 1 – Dataset Re-annotation &amp; Preprocessing</w:t>
      </w:r>
    </w:p>
    <w:p>
      <w:pPr>
        <w:pStyle w:val="ListBullet"/>
        <w:spacing w:line="276" w:lineRule="auto" w:after="80"/>
      </w:pPr>
      <w:r>
        <w:rPr>
          <w:rFonts w:ascii="Arial" w:hAnsi="Arial"/>
          <w:b/>
          <w:color w:val="1E1E1E"/>
          <w:sz w:val="22"/>
        </w:rPr>
        <w:t xml:space="preserve">Task: </w:t>
      </w:r>
      <w:r>
        <w:rPr>
          <w:rFonts w:ascii="Arial" w:hAnsi="Arial"/>
          <w:color w:val="1E1E1E"/>
          <w:sz w:val="22"/>
        </w:rPr>
        <w:t>Re-annotate the institutional benchmark dataset of 4,874 microglial cells using fine polygonal masks in CVAT/Labelme, capturing somas, distal processes, and beaded fragments excluded by YOLO bounding boxes.</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high-quality, fragment-first annotated polygonal dataset for supervised foundation model training.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80" w:after="120"/>
      </w:pPr>
      <w:r>
        <w:rPr>
          <w:rFonts w:ascii="Arial" w:hAnsi="Arial"/>
          <w:b/>
          <w:color w:val="46505F"/>
          <w:sz w:val="26"/>
        </w:rPr>
        <w:t>Stage 2 – Foundation Model Fine-Tuning &amp; Segmentation</w:t>
      </w:r>
    </w:p>
    <w:p>
      <w:pPr>
        <w:pStyle w:val="ListBullet"/>
        <w:spacing w:line="276" w:lineRule="auto" w:after="80"/>
      </w:pPr>
      <w:r>
        <w:rPr>
          <w:rFonts w:ascii="Arial" w:hAnsi="Arial"/>
          <w:b/>
          <w:color w:val="1E1E1E"/>
          <w:sz w:val="22"/>
        </w:rPr>
        <w:t xml:space="preserve">Task: </w:t>
      </w:r>
      <w:r>
        <w:rPr>
          <w:rFonts w:ascii="Arial" w:hAnsi="Arial"/>
          <w:color w:val="1E1E1E"/>
          <w:sz w:val="22"/>
        </w:rPr>
        <w:t>Implement and fine-tune Cellpose 3.0 and SAM-Microscopy on the polygonal dataset. Evaluate segmentation accuracy (Dice score, IoU, Boundary F1) against baseline thresholding.</w:t>
      </w:r>
    </w:p>
    <w:p>
      <w:pPr>
        <w:pStyle w:val="ListBullet"/>
        <w:spacing w:line="276" w:lineRule="auto" w:after="80"/>
      </w:pPr>
      <w:r>
        <w:rPr>
          <w:rFonts w:ascii="Arial" w:hAnsi="Arial"/>
          <w:b/>
          <w:color w:val="1E1E1E"/>
          <w:sz w:val="22"/>
        </w:rPr>
        <w:t xml:space="preserve">Goal: </w:t>
      </w:r>
      <w:r>
        <w:rPr>
          <w:rFonts w:ascii="Arial" w:hAnsi="Arial"/>
          <w:color w:val="1E1E1E"/>
          <w:sz w:val="22"/>
        </w:rPr>
        <w:t>Deploy a robust zero-shot foundation segmentation pipeline that extracts complete microglial silhouettes.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80" w:after="120"/>
      </w:pPr>
      <w:r>
        <w:rPr>
          <w:rFonts w:ascii="Arial" w:hAnsi="Arial"/>
          <w:b/>
          <w:color w:val="46505F"/>
          <w:sz w:val="26"/>
        </w:rPr>
        <w:t>Stage 3 – Graph Neural Network (GNN) Construction &amp; Topological Modeling</w:t>
      </w:r>
    </w:p>
    <w:p>
      <w:pPr>
        <w:pStyle w:val="ListBullet"/>
        <w:spacing w:line="276" w:lineRule="auto" w:after="80"/>
      </w:pPr>
      <w:r>
        <w:rPr>
          <w:rFonts w:ascii="Arial" w:hAnsi="Arial"/>
          <w:b/>
          <w:color w:val="1E1E1E"/>
          <w:sz w:val="22"/>
        </w:rPr>
        <w:t xml:space="preserve">Task: </w:t>
      </w:r>
      <w:r>
        <w:rPr>
          <w:rFonts w:ascii="Arial" w:hAnsi="Arial"/>
          <w:color w:val="1E1E1E"/>
          <w:sz w:val="22"/>
        </w:rPr>
        <w:t>Construct spatial k-NN and Delaunay proximity graphs connecting somas and process fragment nodes. Implement and train GATv2/MPNN GNN architectures for topological message passing.</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80" w:after="120"/>
      </w:pPr>
      <w:r>
        <w:rPr>
          <w:rFonts w:ascii="Arial" w:hAnsi="Arial"/>
          <w:b/>
          <w:color w:val="46505F"/>
          <w:sz w:val="26"/>
        </w:rPr>
        <w:t>Stage 4 – Self-Supervised Contrastive Feature Learning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and fine-tune DINOv2 Vision Transformer and Masked Autoencoder (MAE) backbones on segmented microglial masks to build a self-supervised morphological feature space.</w:t>
      </w:r>
    </w:p>
    <w:p>
      <w:pPr>
        <w:pStyle w:val="ListBullet"/>
        <w:spacing w:line="276" w:lineRule="auto" w:after="80"/>
      </w:pPr>
      <w:r>
        <w:rPr>
          <w:rFonts w:ascii="Arial" w:hAnsi="Arial"/>
          <w:b/>
          <w:color w:val="1E1E1E"/>
          <w:sz w:val="22"/>
        </w:rPr>
        <w:t xml:space="preserve">Goal: </w:t>
      </w:r>
      <w:r>
        <w:rPr>
          <w:rFonts w:ascii="Arial" w:hAnsi="Arial"/>
          <w:color w:val="1E1E1E"/>
          <w:sz w:val="22"/>
        </w:rPr>
        <w:t>Generate rich, low-dimensional morphological embeddings robust to staining and optical variations.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80" w:after="120"/>
      </w:pPr>
      <w:r>
        <w:rPr>
          <w:rFonts w:ascii="Arial" w:hAnsi="Arial"/>
          <w:b/>
          <w:color w:val="46505F"/>
          <w:sz w:val="26"/>
        </w:rPr>
        <w:t>Stage 5 – Multi-Parametric Activation Index &amp; Model Evaluation</w:t>
      </w:r>
    </w:p>
    <w:p>
      <w:pPr>
        <w:pStyle w:val="ListBullet"/>
        <w:spacing w:line="276" w:lineRule="auto" w:after="80"/>
      </w:pPr>
      <w:r>
        <w:rPr>
          <w:rFonts w:ascii="Arial" w:hAnsi="Arial"/>
          <w:b/>
          <w:color w:val="1E1E1E"/>
          <w:sz w:val="22"/>
        </w:rPr>
        <w:t xml:space="preserve">Task: </w:t>
      </w:r>
      <w:r>
        <w:rPr>
          <w:rFonts w:ascii="Arial" w:hAnsi="Arial"/>
          <w:color w:val="1E1E1E"/>
          <w:sz w:val="22"/>
        </w:rPr>
        <w:t>Develop a continuous Multi-Parametric Activation Index (0–1 scale) aggregating graph embeddings. Perform comprehensive ablation studies comparing against YOLOv11+DINOv2 baselines.</w:t>
      </w:r>
    </w:p>
    <w:p>
      <w:pPr>
        <w:pStyle w:val="ListBullet"/>
        <w:spacing w:line="276" w:lineRule="auto" w:after="80"/>
      </w:pPr>
      <w:r>
        <w:rPr>
          <w:rFonts w:ascii="Arial" w:hAnsi="Arial"/>
          <w:b/>
          <w:color w:val="1E1E1E"/>
          <w:sz w:val="22"/>
        </w:rPr>
        <w:t xml:space="preserve">Goal: </w:t>
      </w:r>
      <w:r>
        <w:rPr>
          <w:rFonts w:ascii="Arial" w:hAnsi="Arial"/>
          <w:color w:val="1E1E1E"/>
          <w:sz w:val="22"/>
        </w:rPr>
        <w:t>Validate model performance across discrete classification (4-class F1) and continuous activation scoring.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80" w:after="120"/>
      </w:pPr>
      <w:r>
        <w:rPr>
          <w:rFonts w:ascii="Arial" w:hAnsi="Arial"/>
          <w:b/>
          <w:color w:val="46505F"/>
          <w:sz w:val="26"/>
        </w:rPr>
        <w:t>Stage 6 – Thesis Writing, Validation &amp; Defense Preparation</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on PBM-treated TBI rat brain slices, write the final M.Sc. thesis document, prepare peer-reviewed publication manuscripts, and defend the thesis.</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 before the academic committee.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60" w:after="16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and Resolution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PBM light dosage ($J/cm^2$) across TBI tissue slices.</w:t>
      </w:r>
    </w:p>
    <w:p>
      <w:pPr>
        <w:keepNext/>
        <w:spacing w:before="360" w:after="16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Neurobiology Impact:</w:t>
      </w:r>
      <w:r>
        <w:rPr>
          <w:rFonts w:ascii="Arial" w:hAnsi="Arial"/>
          <w:color w:val="1E1E1E"/>
          <w:sz w:val="22"/>
        </w:rPr>
        <w:t xml:space="preserve"> Delivers a scalable, reproducible tool for quantifying Photobiomodulation (PBM) neuroprotective efficacy in TBI.</w:t>
      </w:r>
    </w:p>
    <w:p>
      <w:pPr>
        <w:keepNext/>
        <w:spacing w:before="360" w:after="16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Brody, S., Alon, U., &amp; Yahav, E. (2022). How Attentive are Graph Attention Networks? International Conference on Learning Representations (ICLR).</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Leyh, J., Schafer, M. K., et al. (2021). Microglial morphodynamics in traumatic brain injury and recovery. Glia, 69(8), 1950-1965.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