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directed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1738265"/>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1738265"/>
                    </a:xfrm>
                    <a:prstGeom prst="rect"/>
                  </pic:spPr>
                </pic:pic>
              </a:graphicData>
            </a:graphic>
          </wp:inline>
        </w:drawing>
      </w:r>
    </w:p>
    <w:p>
      <w:pPr>
        <w:spacing w:after="240"/>
        <w:jc w:val="center"/>
      </w:pPr>
      <w:r>
        <w:rPr>
          <w:rFonts w:ascii="Arial" w:hAnsi="Arial"/>
          <w:i/>
          <w:color w:val="46505F"/>
          <w:sz w:val="19"/>
        </w:rPr>
        <w:t>Figure 2: Representative single-cell crop examples across the 4 microglial morphological activation states: (A) Resting (Ramified), (B) Surveilling, (C) Activated (Ameboid), and (D)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