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3C209B">
      <w:pPr>
        <w:pStyle w:val="Title"/>
      </w:pPr>
    </w:p>
    <w:p w:rsidR="00271317" w:rsidRPr="003C209B" w:rsidRDefault="00443525" w:rsidP="003C209B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00677" w:rsidRPr="003C209B">
        <w:t>Physical Class Specification</w:t>
      </w:r>
      <w:r>
        <w:fldChar w:fldCharType="end"/>
      </w:r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3C209B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206" w:type="dxa"/>
        <w:tblInd w:w="38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283"/>
        <w:gridCol w:w="1958"/>
        <w:gridCol w:w="241"/>
        <w:gridCol w:w="1984"/>
        <w:gridCol w:w="284"/>
        <w:gridCol w:w="1770"/>
        <w:gridCol w:w="284"/>
        <w:gridCol w:w="1701"/>
        <w:gridCol w:w="283"/>
      </w:tblGrid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3C209B">
      <w:pPr>
        <w:pStyle w:val="Heading"/>
      </w:pPr>
      <w:r w:rsidRPr="003C209B">
        <w:t>Revision</w:t>
      </w:r>
      <w:r>
        <w:t xml:space="preserve">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80"/>
        <w:gridCol w:w="2065"/>
        <w:gridCol w:w="2235"/>
        <w:gridCol w:w="2390"/>
        <w:gridCol w:w="1636"/>
      </w:tblGrid>
      <w:tr w:rsidR="004231A3" w:rsidRPr="00991F60" w:rsidTr="003C209B">
        <w:trPr>
          <w:cantSplit/>
        </w:trPr>
        <w:tc>
          <w:tcPr>
            <w:tcW w:w="18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6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</w:tblGrid>
    </w:tbl>
    <w:p w:rsidR="00271317" w:rsidRDefault="00271317" w:rsidP="003C209B">
      <w:pPr>
        <w:jc w:val="both"/>
      </w:pPr>
    </w:p>
    <w:p w:rsidR="003C209B" w:rsidRDefault="003C209B" w:rsidP="003C209B">
      <w:pPr>
        <w:jc w:val="both"/>
        <w:sectPr w:rsidR="003C209B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3C209B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206" w:type="dxa"/>
        <w:tblInd w:w="57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4962"/>
        <w:gridCol w:w="2976"/>
      </w:tblGrid>
      <w:tr w:rsidR="00E22C2C" w:rsidRPr="00991F60" w:rsidTr="003C209B">
        <w:trPr>
          <w:cantSplit/>
        </w:trPr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49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9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C74CEC">
            <w:pPr>
              <w:pStyle w:val="NormalTable"/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/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M1 Control Panel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N/A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/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S1 Control Panel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N/A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/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BFS Control Panel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N/A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mAGT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Vessel Mixer Agitator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mASL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Pressure Switch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Festo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1/2" (actuated)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mBAV2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1" (manual)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mBAV3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3/4" (actuated)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mBAV4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1-1/2" (actuated)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mBAV5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2"  (actuated)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mBAV6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1/2" (manual)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mBAV7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Ball Valve 2" (manual)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Meca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mBV6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Butterfly Valve 4" (manual)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KSB AMRI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mBV7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Butterfly Valve 4" (actuated)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KSB AMRI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mCOUP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Hansen Couplings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Eaton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mCV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Pneumatic Control Valve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Samson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1 inch pipe, triclamp, normally-open stainless steel actuator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1 inch pipe, triclamp, normally-closed plastic actuator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mDV14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Provided by Rieckermann Thailand (Manual Valve)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/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mDV2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1.5 inch pipe, triclamp, normally-closed plastic actuator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mDV3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2 inch pipe, triclamp, normally-closed plastic actuator (EPDM seat)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mDV4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Tank outlet valve for 2 inch, buttweld, normally-closed plastic actuator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mDV5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Provided by Rieckermann Thailand (Actuated Valve)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/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mDV6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2 inch pipe, triclamp, normally-closed plastic actuator (PTFE seat)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mDV7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Shutoff valve for 1 inch pipe, triclamp, manual valve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mESTOP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Emergency Stop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IDEC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mESTOP1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Emergency Stop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IDEC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Vent Filter Housing</w:t>
              <w:br/>
              <w:t xml:space="preserve">Vent Filter Element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Compressed Air Filter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mFILT2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Filter Press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TBA by RT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mFILT3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Pre-Filter Housing</w:t>
              <w:br/>
              <w:t xml:space="preserve">Pre-Filter Element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mFILT4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Sterile Filter Housing</w:t>
              <w:br/>
              <w:t>Sterile Filter Element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mFILT5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Vacuum Pump Moisture Trap - not ordered yet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/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mFXH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2" Flexible Hose for PW/WFI/PS Vessel Inlet (Hansen Coupling)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Dockweiler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mFXH1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2" Flexible Hose for Mixing Vessel Outlet (Ferrule Clamp)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Dockweiler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mFXH2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1" Flexible Hose (Ferrule Clamp)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Dockweiler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mGV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Gate Valve 4" (manual)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VMXZ4 (Dancomech)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mHE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 xml:space="preserve">Vent Filter Heating Element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mHEX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Heat Exchanger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Allegheny Bradford Corporation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mHMI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 xml:space="preserve">TP1900 Comfort INOX Touch Screen HMI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Siemens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mLAF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Laminar Flow Cabinet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Esco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mLC1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Load Cells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Mettler Toledo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mMx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Mixing Vessel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Pharmafood Engineering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mPB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Push Button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Schneider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mPC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Batch PC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HP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mPG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Pressure gauge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Milipore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mPROX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Proximity sensor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ifm electronic gmbh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mPROX1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Proximity sensor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ifm electronic gmbh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mPRT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Batch Report Printer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HP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mPRV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 xml:space="preserve">Pressure Regulating Valve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Parker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mPT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 xml:space="preserve">Pressure Indicating Transmitter 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mRD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Bursting disc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Fike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mSB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Spray ball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Aerre Inox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mSG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Sight Glass Vessel Luminare - w Light fitting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Max Muller AG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mSOL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SMS1 remote solenoid valve and digital input station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Festo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mSSP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Signal splitter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Amelec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 xml:space="preserve"> Steam trap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Spirax Sarco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mSy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Storage Vessel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Pharmafood Engineering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probe c/w transmitter (with 35 mm neck)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probe c/w transmitter (with 35 mm neck)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mT2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probe c/w transmitter (with 35 mm neck)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mTI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probe with Thermowell (Thermowell fabricated by JJK)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mTT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Transmitter of Heating Jacket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 xml:space="preserve">Milipore 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mTT1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Temperature Transmitter with Hygienic Thermowell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Endress+Hauser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mUPS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Un-interruptible Power Supply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APC by Schneider Electric</w:t>
            </w:r>
          </w:p>
        </w:tc>
      </w:tr>
      <w:tr>
        <w:tc>
          <w:tcPr>
            <w:tcW w:type="dxa" w:w="2268"/>
          </w:tcPr>
          <w:p>
            <w:pPr>
              <w:pStyle w:val="NormalTable"/>
            </w:pPr>
            <w:r/>
            <w:r>
              <w:t>mVP</w:t>
            </w:r>
          </w:p>
        </w:tc>
        <w:tc>
          <w:tcPr>
            <w:tcW w:type="dxa" w:w="4962"/>
          </w:tcPr>
          <w:p>
            <w:pPr>
              <w:pStyle w:val="NormalTable"/>
            </w:pPr>
            <w:r/>
            <w:r>
              <w:t>Vacuum pump</w:t>
            </w:r>
          </w:p>
        </w:tc>
        <w:tc>
          <w:tcPr>
            <w:tcW w:type="dxa" w:w="2976"/>
          </w:tcPr>
          <w:p>
            <w:pPr>
              <w:pStyle w:val="NormalTable"/>
            </w:pPr>
            <w:r/>
            <w:r>
              <w:t>Elmo Rietschle</w:t>
            </w:r>
          </w:p>
        </w:tc>
      </w:tr>
    </w:tbl>
    <w:p w:rsidR="00271317" w:rsidRDefault="00271317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bookmarkStart w:id="0" w:name="_GoBack"/>
      <w:bookmarkEnd w:id="0"/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02" w:rsidRDefault="00E23A02">
      <w:pPr>
        <w:spacing w:after="0" w:line="240" w:lineRule="auto"/>
      </w:pPr>
      <w:r>
        <w:separator/>
      </w:r>
    </w:p>
  </w:endnote>
  <w:endnote w:type="continuationSeparator" w:id="0">
    <w:p w:rsidR="00E23A02" w:rsidRDefault="00E2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443525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443525">
      <w:rPr>
        <w:noProof/>
        <w:sz w:val="14"/>
        <w:szCs w:val="14"/>
      </w:rPr>
      <w:t>2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02" w:rsidRDefault="00E23A02">
      <w:pPr>
        <w:spacing w:after="0" w:line="240" w:lineRule="auto"/>
      </w:pPr>
      <w:r>
        <w:separator/>
      </w:r>
    </w:p>
  </w:footnote>
  <w:footnote w:type="continuationSeparator" w:id="0">
    <w:p w:rsidR="00E23A02" w:rsidRDefault="00E2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78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166"/>
      <w:gridCol w:w="1532"/>
    </w:tblGrid>
    <w:tr w:rsidR="00E55412" w:rsidTr="003C209B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3C209B">
          <w:pPr>
            <w:pStyle w:val="Title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23D35"/>
    <w:rsid w:val="00042352"/>
    <w:rsid w:val="000733C8"/>
    <w:rsid w:val="000E325A"/>
    <w:rsid w:val="001154D1"/>
    <w:rsid w:val="00161F88"/>
    <w:rsid w:val="001B2C30"/>
    <w:rsid w:val="001C3FEE"/>
    <w:rsid w:val="001D0518"/>
    <w:rsid w:val="001D4E0D"/>
    <w:rsid w:val="001E43D8"/>
    <w:rsid w:val="0023769B"/>
    <w:rsid w:val="00271317"/>
    <w:rsid w:val="0029118E"/>
    <w:rsid w:val="0029323A"/>
    <w:rsid w:val="00295B42"/>
    <w:rsid w:val="002A5A50"/>
    <w:rsid w:val="002F314F"/>
    <w:rsid w:val="00301AAC"/>
    <w:rsid w:val="003343E8"/>
    <w:rsid w:val="003674F3"/>
    <w:rsid w:val="003C209B"/>
    <w:rsid w:val="003F765D"/>
    <w:rsid w:val="004231A3"/>
    <w:rsid w:val="00430CAF"/>
    <w:rsid w:val="004338EF"/>
    <w:rsid w:val="00443525"/>
    <w:rsid w:val="004B02C5"/>
    <w:rsid w:val="004B3F48"/>
    <w:rsid w:val="004B7B6E"/>
    <w:rsid w:val="00562AA4"/>
    <w:rsid w:val="0058367C"/>
    <w:rsid w:val="005D6403"/>
    <w:rsid w:val="005F0F63"/>
    <w:rsid w:val="00643DA2"/>
    <w:rsid w:val="00662473"/>
    <w:rsid w:val="006728AB"/>
    <w:rsid w:val="007151B5"/>
    <w:rsid w:val="007953E8"/>
    <w:rsid w:val="007A749F"/>
    <w:rsid w:val="007C5AC1"/>
    <w:rsid w:val="007C6C69"/>
    <w:rsid w:val="007F7248"/>
    <w:rsid w:val="00827720"/>
    <w:rsid w:val="008C6C2F"/>
    <w:rsid w:val="00900677"/>
    <w:rsid w:val="009168C1"/>
    <w:rsid w:val="00961992"/>
    <w:rsid w:val="00972026"/>
    <w:rsid w:val="00991F60"/>
    <w:rsid w:val="009B30CF"/>
    <w:rsid w:val="00A031FC"/>
    <w:rsid w:val="00A206A0"/>
    <w:rsid w:val="00AD162C"/>
    <w:rsid w:val="00AE5034"/>
    <w:rsid w:val="00C25F15"/>
    <w:rsid w:val="00C35A7F"/>
    <w:rsid w:val="00D10D76"/>
    <w:rsid w:val="00D265FE"/>
    <w:rsid w:val="00DC190D"/>
    <w:rsid w:val="00DD26DC"/>
    <w:rsid w:val="00E0127D"/>
    <w:rsid w:val="00E15916"/>
    <w:rsid w:val="00E22C2C"/>
    <w:rsid w:val="00E23A02"/>
    <w:rsid w:val="00E252CB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919A744"/>
  <w15:docId w15:val="{F66672F1-38B8-4313-88BB-D941EDC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3C209B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C209B"/>
    <w:pPr>
      <w:keepNext/>
      <w:spacing w:before="120" w:after="0" w:line="240" w:lineRule="auto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C209B"/>
    <w:pPr>
      <w:keepNext/>
      <w:spacing w:after="0" w:line="240" w:lineRule="auto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B0003-426A-41B1-9F55-DA482FA6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>A180710-DS-SMS-001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SPECIFICATIONCLASSPHYSICAL</dc:subject>
  <dc:creator>dg</dc:creator>
  <cp:keywords>19-Apr-2018</cp:keywords>
  <dc:description>MS</dc:description>
  <cp:lastModifiedBy>David Paspa</cp:lastModifiedBy>
  <cp:revision>84</cp:revision>
  <dcterms:created xsi:type="dcterms:W3CDTF">2018-04-10T16:17:00Z</dcterms:created>
  <dcterms:modified xsi:type="dcterms:W3CDTF">2018-04-19T22:57:00Z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