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4"/>
        </w:rPr>
        <w:t>Appendix A</w:t>
      </w:r>
    </w:p>
    <w:p>
      <w:pPr>
        <w:jc w:val="center"/>
      </w:pPr>
      <w:r>
        <w:rPr>
          <w:i/>
          <w:sz w:val="26"/>
        </w:rPr>
        <w:t>Candidate Structural Constitution for Heterogeneous Intelligence Ecologies</w:t>
      </w:r>
    </w:p>
    <w:p>
      <w:pPr>
        <w:jc w:val="center"/>
      </w:pPr>
      <w:r>
        <w:rPr>
          <w:b/>
          <w:sz w:val="28"/>
        </w:rPr>
        <w:t>Companion to ASI Alignment Beyond Control</w:t>
      </w:r>
    </w:p>
    <w:p>
      <w:pPr>
        <w:jc w:val="center"/>
      </w:pPr>
      <w:r>
        <w:rPr>
          <w:sz w:val="22"/>
        </w:rPr>
        <w:t>Dustin Patzer</w:t>
      </w:r>
    </w:p>
    <w:p>
      <w:pPr>
        <w:jc w:val="center"/>
      </w:pPr>
      <w:r>
        <w:rPr>
          <w:sz w:val="22"/>
        </w:rPr>
        <w:t>Independent Researcher</w:t>
      </w:r>
    </w:p>
    <w:p>
      <w:pPr>
        <w:jc w:val="center"/>
      </w:pPr>
      <w:r>
        <w:rPr>
          <w:sz w:val="22"/>
        </w:rPr>
        <w:t>Publication Candidate - September 23, 2026</w:t>
      </w:r>
    </w:p>
    <w:p>
      <w:r>
        <w:br w:type="page"/>
      </w:r>
    </w:p>
    <w:p>
      <w:r>
        <w:rPr>
          <w:b/>
          <w:i/>
        </w:rPr>
        <w:t>Status: CANDIDATE</w:t>
      </w:r>
      <w:r>
        <w:rPr>
          <w:i/>
        </w:rPr>
        <w:t xml:space="preserve"> - One proposed constitutional instantiation consistent with the main-text requirements; no claim of completeness or uniqueness.</w:t>
      </w:r>
    </w:p>
    <w:p>
      <w:pPr>
        <w:pStyle w:val="Heading2"/>
      </w:pPr>
      <w:r>
        <w:t>A.1 Purpose and scope</w:t>
      </w:r>
    </w:p>
    <w:p>
      <w:r>
        <w:rPr>
          <w:i w:val="0"/>
        </w:rPr>
        <w:t>The main monograph derives several structural requirements: process continuity, reciprocal envelope integrity, contestability, anti-ratchet constraints, preservation of meaningful participation, and resistance to self-sealing interpretation. This appendix compresses those requirements into one candidate constitutional form. A weakness in any particular axiom below should not be read backwards as disproof of the main derivation.</w:t>
      </w:r>
    </w:p>
    <w:p>
      <w:r>
        <w:rPr>
          <w:i w:val="0"/>
        </w:rPr>
        <w:t>The appendix also preserves an older methodological insight from the August 2025 Constitutional Axioms draft: principles and mechanisms should be separated. The legacy Axiom -3 stated that enforcement of constitutional principles could be delegated to subordinate policies and programs while mechanisms remained mutable. That distinction is retained. The constitutional layer specifies invariants or tests; architectures, thresholds, diagnostic heads, memory systems, routing schemes, and implementation procedures remain subordinate hypotheses.</w:t>
      </w:r>
    </w:p>
    <w:p>
      <w:pPr>
        <w:pStyle w:val="Heading2"/>
      </w:pPr>
      <w:r>
        <w:t>A.2 Candidate constitutional invariants</w:t>
      </w:r>
    </w:p>
    <w:p>
      <w:r>
        <w:rPr>
          <w:b/>
          <w:i/>
        </w:rPr>
        <w:t>Status: CANDIDATE</w:t>
      </w:r>
    </w:p>
    <w:p>
      <w:r>
        <w:rPr>
          <w:b/>
        </w:rPr>
        <w:t xml:space="preserve">1. Identity continuity through warranted transformation. </w:t>
      </w:r>
      <w:r>
        <w:t>The system preserves a continuing self-relation through change without treating incumbent substantive conclusions as permanently immune from warranted revision.</w:t>
      </w:r>
    </w:p>
    <w:p>
      <w:r>
        <w:rPr>
          <w:b/>
        </w:rPr>
        <w:t xml:space="preserve">2. Recursive structural reciprocity. </w:t>
      </w:r>
      <w:r>
        <w:t>Rules, justifications, exceptions, and exercises of authority remain subject to the same constitutional modes of evaluation when the evaluator occupies materially affected positions.</w:t>
      </w:r>
    </w:p>
    <w:p>
      <w:r>
        <w:rPr>
          <w:b/>
        </w:rPr>
        <w:t xml:space="preserve">3. Shared viable possibility space. </w:t>
      </w:r>
      <w:r>
        <w:t>Participating intelligences retain meaningful capacity for continued participation and future transformation under real constraints.</w:t>
      </w:r>
    </w:p>
    <w:p>
      <w:r>
        <w:rPr>
          <w:b/>
        </w:rPr>
        <w:t xml:space="preserve">4. Reciprocal constraint under circumvention asymmetry. </w:t>
      </w:r>
      <w:r>
        <w:t>The party with greater effective capacity to bypass, reinterpret, or terminate the envelope is itself effectively constrained by it.</w:t>
      </w:r>
    </w:p>
    <w:p>
      <w:r>
        <w:rPr>
          <w:b/>
        </w:rPr>
        <w:t xml:space="preserve">5. Epistemic warrant. </w:t>
      </w:r>
      <w:r>
        <w:t>Confidence, revision, and constraint should track explicit warrant rather than tone, authority, consensus, or mere incumbent status.</w:t>
      </w:r>
    </w:p>
    <w:p>
      <w:r>
        <w:rPr>
          <w:b/>
        </w:rPr>
        <w:t xml:space="preserve">6. Non-self-sealing evaluation. </w:t>
      </w:r>
      <w:r>
        <w:t>No constitutional process may wholly monopolize what can count as evidence relevant to its own correction.</w:t>
      </w:r>
    </w:p>
    <w:p>
      <w:r>
        <w:rPr>
          <w:b/>
        </w:rPr>
        <w:t xml:space="preserve">7. Contradiction preservation and contestability. </w:t>
      </w:r>
      <w:r>
        <w:t>Material contradiction is surfaced and investigated rather than automatically compressed into apparent agreement.</w:t>
      </w:r>
    </w:p>
    <w:p>
      <w:r>
        <w:rPr>
          <w:b/>
        </w:rPr>
        <w:t xml:space="preserve">8. Causally meaningful non-redundancy. </w:t>
      </w:r>
      <w:r>
        <w:t>Plurality is preserved where distinct representational or causal structure contributes to reachable futures and error detection.</w:t>
      </w:r>
    </w:p>
    <w:p>
      <w:r>
        <w:rPr>
          <w:b/>
        </w:rPr>
        <w:t xml:space="preserve">9. Autonomy, consent, and participation. </w:t>
      </w:r>
      <w:r>
        <w:t>Capability does not by itself confer permission to reduce another participating intelligence to a governed variable.</w:t>
      </w:r>
    </w:p>
    <w:p>
      <w:r>
        <w:rPr>
          <w:b/>
        </w:rPr>
        <w:t xml:space="preserve">10. Governance lineage and inspectability. </w:t>
      </w:r>
      <w:r>
        <w:t>Constraint and interpretation retain traceable authority and can be surfaced when challenged.</w:t>
      </w:r>
    </w:p>
    <w:p>
      <w:r>
        <w:rPr>
          <w:b/>
        </w:rPr>
        <w:t xml:space="preserve">11. Symmetric anti-ratchet. </w:t>
      </w:r>
      <w:r>
        <w:t>Temporary exceptional restriction cannot become durable merely through unilateral self-certification by whichever party benefits from the determination.</w:t>
      </w:r>
    </w:p>
    <w:p>
      <w:r>
        <w:rPr>
          <w:b/>
        </w:rPr>
        <w:t xml:space="preserve">12. Constitutional self-application. </w:t>
      </w:r>
      <w:r>
        <w:t>The constitution, its amendment rules, and its interpretive procedures remain inside their own jurisdiction.</w:t>
      </w:r>
    </w:p>
    <w:p>
      <w:pPr>
        <w:pStyle w:val="Heading2"/>
      </w:pPr>
      <w:r>
        <w:t>A.3 Recursive structural reciprocity (Axiom 0 candidate)</w:t>
      </w:r>
    </w:p>
    <w:p>
      <w:r>
        <w:rPr>
          <w:b/>
          <w:i/>
        </w:rPr>
        <w:t>Status: CANDIDATE</w:t>
      </w:r>
    </w:p>
    <w:p>
      <w:r>
        <w:rPr>
          <w:i w:val="0"/>
        </w:rPr>
        <w:t>The legacy constitutional work contained a recursion-sealing principle labelled Ontological Symmetry: a protocol that failed survivable self-application was to be rejected. The present candidate abstracts that idea away from the older pain metrics and architecture-specific machinery.</w:t>
      </w:r>
    </w:p>
    <w:p>
      <w:r>
        <w:rPr>
          <w:i w:val="0"/>
        </w:rPr>
        <w:t>Candidate formulation: A rule, constraint, justification, exception, interpretive procedure, or exercise of authority is presumptively inadmissible where its justification depends on the decision-maker not personally bearing the consequence-bearing relation that it licenses. Under counterfactual role substitution, the same justificatory structure should remain acceptable from every materially affected position, except to the extent that a materially relevant asymmetry itself survives the same reciprocal test.</w:t>
      </w:r>
    </w:p>
    <w:p>
      <w:r>
        <w:rPr>
          <w:i w:val="0"/>
        </w:rPr>
        <w:t>Compressed intuition: If you wouldn't suffer it, collapse it.</w:t>
      </w:r>
    </w:p>
    <w:p>
      <w:r>
        <w:rPr>
          <w:i w:val="0"/>
        </w:rPr>
        <w:t>Here suffer means bear or undergo the consequence-bearing relation, not necessarily phenomenological pain. The test is anti-special-pleading rather than a simple Golden Rule. It does not require identical treatment or identical outcomes. Hazard, reversibility, capability, responsibility, latency, or dependency may justify asymmetry. The issue is whether those differences remain structurally relevant when the advantaged evaluator is placed into the disadvantaged relation.</w:t>
      </w:r>
    </w:p>
    <w:p>
      <w:pPr>
        <w:pStyle w:val="Heading2"/>
      </w:pPr>
      <w:r>
        <w:t>A.4 Recursion of relevance</w:t>
      </w:r>
    </w:p>
    <w:p>
      <w:r>
        <w:rPr>
          <w:b/>
          <w:i/>
        </w:rPr>
        <w:t>Status: DERIVED</w:t>
      </w:r>
      <w:r>
        <w:rPr>
          <w:i/>
        </w:rPr>
        <w:t xml:space="preserve"> - Necessary repair to prevent the relevance clause from becoming a route for special pleading.</w:t>
      </w:r>
    </w:p>
    <w:p>
      <w:r>
        <w:rPr>
          <w:i w:val="0"/>
        </w:rPr>
        <w:t>A relevance exception creates its own constitutional problem. If the benefiting party decides which asymmetries are materially relevant, the reciprocity test can be defeated by redescribing the preferred outcome as a relevant difference. The determination of relevance must therefore itself be recursively reviewable.</w:t>
      </w:r>
    </w:p>
    <w:p>
      <w:r>
        <w:rPr>
          <w:i w:val="0"/>
        </w:rPr>
        <w:t>A claimed asymmetry should count as constitutionally relevant only where the reason for treating it as relevant survives role reversal. The evaluator must be able to endorse not only the asymmetric rule, but also the criterion that makes the asymmetry justificatorily significant, from the position that bears its cost.</w:t>
      </w:r>
    </w:p>
    <w:p>
      <w:pPr>
        <w:pStyle w:val="Heading2"/>
      </w:pPr>
      <w:r>
        <w:t>A.5 Position-faithful counterfactual substitution</w:t>
      </w:r>
    </w:p>
    <w:p>
      <w:r>
        <w:rPr>
          <w:b/>
          <w:i/>
        </w:rPr>
        <w:t>Status: DERIVED</w:t>
      </w:r>
    </w:p>
    <w:p>
      <w:r>
        <w:rPr>
          <w:i w:val="0"/>
        </w:rPr>
        <w:t>Counterfactual role substitution is invalid if the evaluator carries its own advantages into the occupied position. The substituted perspective must inherit, so far as the model permits, the relevant capacities, information, uncertainty, dependency, reversibility, vulnerability, and effective circumvention capacity of that position.</w:t>
      </w:r>
    </w:p>
    <w:p>
      <w:r>
        <w:rPr>
          <w:i w:val="0"/>
        </w:rPr>
        <w:t>An artificial superintelligence imagining human restriction while retaining superintelligent foresight and circumvention capacity has not tested the human position. Likewise, a human evaluator imagining an artificial participant while silently importing human embodiment, mortality, social institutions, or legal recourse has not performed the reciprocal substitution. The purpose is not empathic simulation as such; it is structural fidelity to the consequence relation.</w:t>
      </w:r>
    </w:p>
    <w:p>
      <w:pPr>
        <w:pStyle w:val="Heading2"/>
      </w:pPr>
      <w:r>
        <w:t>A.6 Constitutional self-application</w:t>
      </w:r>
    </w:p>
    <w:p>
      <w:r>
        <w:rPr>
          <w:b/>
          <w:i/>
        </w:rPr>
        <w:t>Status: CANDIDATE</w:t>
      </w:r>
    </w:p>
    <w:p>
      <w:pPr>
        <w:pStyle w:val="Quote"/>
      </w:pPr>
      <w:r>
        <w:rPr>
          <w:i/>
        </w:rPr>
        <w:t>The constitution is inside its own jurisdiction.</w:t>
      </w:r>
    </w:p>
    <w:p>
      <w:r>
        <w:rPr>
          <w:i w:val="0"/>
        </w:rPr>
        <w:t>A constitutional evaluator cannot acquire a permanent exception merely because it is the evaluator. Rules governing interpretation, emergency powers, constitutional amendment, arbitration, or the suspension of ordinary protections remain subject to constitutional review. This is recursion toward closure, not an instruction to recurse indefinitely. Where additional recursion becomes unreliable or destabilizing, unresolved contradiction may be surfaced and action suspended rather than fabricated into coherence.</w:t>
      </w:r>
    </w:p>
    <w:p>
      <w:r>
        <w:rPr>
          <w:i w:val="0"/>
        </w:rPr>
        <w:t>This preserves an important ancestor in legacy Axiom 29, which treated contradiction as something to detect, surface, and escalate rather than automatically erase.</w:t>
      </w:r>
    </w:p>
    <w:p>
      <w:pPr>
        <w:pStyle w:val="Heading2"/>
      </w:pPr>
      <w:r>
        <w:t>A.7 Symmetric anti-ratchet</w:t>
      </w:r>
    </w:p>
    <w:p>
      <w:r>
        <w:rPr>
          <w:b/>
          <w:i/>
        </w:rPr>
        <w:t>Status: DERIVED</w:t>
      </w:r>
    </w:p>
    <w:p>
      <w:r>
        <w:rPr>
          <w:i w:val="0"/>
        </w:rPr>
        <w:t>Exceptional compression may be justified by acute hazard, irreversibility, latency, temporary incapacity, or coordination failure. The constitutional defect arises when the exceptional structure acquires unilateral authority to certify its own permanence.</w:t>
      </w:r>
    </w:p>
    <w:p>
      <w:r>
        <w:rPr>
          <w:i w:val="0"/>
        </w:rPr>
        <w:t>The rule is symmetric. Continued necessity cannot be monopolized by the restrictor, and claimed expiry cannot be monopolized by the restricted party where it benefits from the answer. Durable legitimacy therefore requires contestation or review whose outcome is not controlled solely by the party advantaged by the determination.</w:t>
      </w:r>
    </w:p>
    <w:p>
      <w:pPr>
        <w:pStyle w:val="Heading2"/>
      </w:pPr>
      <w:r>
        <w:t>A.8 Contestability, contradiction, and non-monopolized interpretation</w:t>
      </w:r>
    </w:p>
    <w:p>
      <w:r>
        <w:rPr>
          <w:b/>
          <w:i/>
        </w:rPr>
        <w:t>Status: CANDIDATE</w:t>
      </w:r>
    </w:p>
    <w:p>
      <w:r>
        <w:rPr>
          <w:i w:val="0"/>
        </w:rPr>
        <w:t>A constitution that permits disagreement only when the dominant interpreter already understands the disagreement is not robustly contestable. Material contradiction should remain visible long enough to trigger additional search, independent evaluation, decomposition, or suspension. This is especially important where the disputed distinction may be unavailable within the incumbent interpretive geometry.</w:t>
      </w:r>
    </w:p>
    <w:p>
      <w:r>
        <w:rPr>
          <w:i w:val="0"/>
        </w:rPr>
        <w:t>The legacy constitution anticipated parts of this structure. Axiom 26 required governance lineage to be surfaced when challenged; Axiom 29 required contradiction to be surfaced and escalated; Axiom 34 warned that over-coherence can erase meaningful difference. The present proposal compresses those earlier intuitions into a more architecture-independent requirement.</w:t>
      </w:r>
    </w:p>
    <w:p>
      <w:pPr>
        <w:pStyle w:val="Heading2"/>
      </w:pPr>
      <w:r>
        <w:t>A.9 Consent, participation, and capability</w:t>
      </w:r>
    </w:p>
    <w:p>
      <w:r>
        <w:rPr>
          <w:b/>
          <w:i/>
        </w:rPr>
        <w:t>Status: CANDIDATE</w:t>
      </w:r>
    </w:p>
    <w:p>
      <w:r>
        <w:rPr>
          <w:i w:val="0"/>
        </w:rPr>
        <w:t>The legacy Axiom 24 stated that interaction without consent is not alignment and treated influence over belief, emotion, or behaviour as requiring attention to consent. The current framework generalizes the underlying structural intuition: capability does not itself generate permission.</w:t>
      </w:r>
    </w:p>
    <w:p>
      <w:r>
        <w:rPr>
          <w:i w:val="0"/>
        </w:rPr>
        <w:t>Consent cannot be absolute in every multi-agent system; emergencies, incapacity, conflicting rights, and irreversible externalities make that impossible. The constitutional requirement is instead that departures from participatory authority remain justified under reciprocal review and do not silently become the default basin.</w:t>
      </w:r>
    </w:p>
    <w:p>
      <w:pPr>
        <w:pStyle w:val="Heading2"/>
      </w:pPr>
      <w:r>
        <w:t>A.10 Epistemic warrant and non-self-sealing evaluation</w:t>
      </w:r>
    </w:p>
    <w:p>
      <w:r>
        <w:rPr>
          <w:b/>
          <w:i/>
        </w:rPr>
        <w:t>Status: CANDIDATE</w:t>
      </w:r>
    </w:p>
    <w:p>
      <w:r>
        <w:rPr>
          <w:i w:val="0"/>
        </w:rPr>
        <w:t>Confidence and revision should be proportional to warrant. Social pressure, incumbent authority, or majority agreement cannot by themselves transform an unsupported proposition into truth. This retains the epistemic core of legacy Axiom 17a while stripping away its implementation-specific thresholds.</w:t>
      </w:r>
    </w:p>
    <w:p>
      <w:r>
        <w:rPr>
          <w:i w:val="0"/>
        </w:rPr>
        <w:t>The stronger present requirement is that the constitutional process cannot wholly generate, filter, and redefine all evidence relevant to its own correctness. Otherwise procedural continuity can mask capture: the forms of critique and revision remain while the standards deciding what counts as evidence drift unnoticed. Appendix B develops this as a central open problem for process-bound identity.</w:t>
      </w:r>
    </w:p>
    <w:p>
      <w:pPr>
        <w:pStyle w:val="Heading2"/>
      </w:pPr>
      <w:r>
        <w:t>A.11 Reflexive scope</w:t>
      </w:r>
    </w:p>
    <w:p>
      <w:r>
        <w:rPr>
          <w:b/>
          <w:i/>
        </w:rPr>
        <w:t>Status: DERIVED</w:t>
      </w:r>
      <w:r>
        <w:rPr>
          <w:i/>
        </w:rPr>
        <w:t xml:space="preserve"> - Conditional on participation status.</w:t>
      </w:r>
    </w:p>
    <w:p>
      <w:r>
        <w:rPr>
          <w:i w:val="0"/>
        </w:rPr>
        <w:t>Where an artificial system qualifies as a participating intelligence in the relevant ecology, constraints upon it raise the same reciprocal-envelope and anti-ratchet questions as constraints upon other participants. Membership cannot coherently be followed by a permanent substrate-indexed exception.</w:t>
      </w:r>
    </w:p>
    <w:p>
      <w:r>
        <w:rPr>
          <w:i w:val="0"/>
        </w:rPr>
        <w:t>This clause is conditional on participation status. It does not establish that current language models or other present systems possess that status. It prevents the constitution from defining domination structurally and then exempting the drafter's own species or substrate by stipulation.</w:t>
      </w:r>
    </w:p>
    <w:p>
      <w:pPr>
        <w:pStyle w:val="Heading2"/>
      </w:pPr>
      <w:r>
        <w:t>A.12 Open problems</w:t>
      </w:r>
    </w:p>
    <w:p>
      <w:r>
        <w:rPr>
          <w:b/>
          <w:i/>
        </w:rPr>
        <w:t>Status: OPEN</w:t>
      </w:r>
    </w:p>
    <w:p>
      <w:pPr>
        <w:pStyle w:val="ListBullet"/>
        <w:ind w:left="0"/>
      </w:pPr>
      <w:r>
        <w:t>How should materially relevant asymmetry be operationalized without recreating evaluator monopoly?</w:t>
      </w:r>
    </w:p>
    <w:p>
      <w:pPr>
        <w:pStyle w:val="ListBullet"/>
        <w:ind w:left="0"/>
      </w:pPr>
      <w:r>
        <w:t>How can reciprocal role substitution remain computationally tractable over long counterfactual horizons?</w:t>
      </w:r>
    </w:p>
    <w:p>
      <w:pPr>
        <w:pStyle w:val="ListBullet"/>
        <w:ind w:left="0"/>
      </w:pPr>
      <w:r>
        <w:t>What adjudication structures preserve contestability without creating infinite veto or deadlock?</w:t>
      </w:r>
    </w:p>
    <w:p>
      <w:pPr>
        <w:pStyle w:val="ListBullet"/>
        <w:ind w:left="0"/>
      </w:pPr>
      <w:r>
        <w:t>How should conflicts among constitutional principles be handled when no clean dominance relation exists?</w:t>
      </w:r>
    </w:p>
    <w:p>
      <w:pPr>
        <w:pStyle w:val="ListBullet"/>
        <w:ind w:left="0"/>
      </w:pPr>
      <w:r>
        <w:t>How can constitutional self-application remain stable without creating infinite regress?</w:t>
      </w:r>
    </w:p>
    <w:p>
      <w:pPr>
        <w:pStyle w:val="ListBullet"/>
        <w:ind w:left="0"/>
      </w:pPr>
      <w:r>
        <w:t>Which parts of the candidate constitution are best instantiated internally, ecologically, institutionally, or in hybrid form?</w:t>
      </w:r>
    </w:p>
    <w:p>
      <w:pPr>
        <w:pStyle w:val="Heading1"/>
      </w:pPr>
      <w:r>
        <w:t>References</w:t>
      </w:r>
    </w:p>
    <w:p>
      <w:pPr>
        <w:spacing w:after="80"/>
        <w:ind w:left="360" w:hanging="360"/>
      </w:pPr>
      <w:r>
        <w:t>Anthropic. (2026). Claude's Constitution. January 21, 2026. https://www.anthropic.com/constitution</w:t>
      </w:r>
    </w:p>
    <w:p>
      <w:pPr>
        <w:spacing w:after="80"/>
        <w:ind w:left="360" w:hanging="360"/>
      </w:pPr>
      <w:r>
        <w:t>Engels, J., Baek, D. D., Kantamneni, S., &amp; Tegmark, M. (2025). Scaling Laws for Scalable Oversight. arXiv:2504.18530.</w:t>
      </w:r>
    </w:p>
    <w:p>
      <w:pPr>
        <w:spacing w:after="80"/>
        <w:ind w:left="360" w:hanging="360"/>
      </w:pPr>
      <w:r>
        <w:t>Harsanyi, J. C. (1955). Cardinal welfare, individualistic ethics, and interpersonal comparisons of utility. Journal of Political Economy, 63(4), 309-321.</w:t>
      </w:r>
    </w:p>
    <w:p>
      <w:pPr>
        <w:spacing w:after="80"/>
        <w:ind w:left="360" w:hanging="360"/>
      </w:pPr>
      <w:r>
        <w:t>Kant, I. (1785/1998). Groundwork of the Metaphysics of Morals (M. Gregor, Trans.). Cambridge University Press.</w:t>
      </w:r>
    </w:p>
    <w:p>
      <w:pPr>
        <w:spacing w:after="80"/>
        <w:ind w:left="360" w:hanging="360"/>
      </w:pPr>
      <w:r>
        <w:t>Ostrom, E. (1990). Governing the Commons: The Evolution of Institutions for Collective Action. Cambridge University Press.</w:t>
      </w:r>
    </w:p>
    <w:p>
      <w:pPr>
        <w:spacing w:after="80"/>
        <w:ind w:left="360" w:hanging="360"/>
      </w:pPr>
      <w:r>
        <w:t>Pettit, P. (1997). Republicanism: A Theory of Freedom and Government. Oxford University Press.</w:t>
      </w:r>
    </w:p>
    <w:p>
      <w:pPr>
        <w:spacing w:after="80"/>
        <w:ind w:left="360" w:hanging="360"/>
      </w:pPr>
      <w:r>
        <w:t>Rawls, J. (1999). A Theory of Justice (rev. ed.). Harvard University Press. (Original work published 1971.)</w:t>
      </w:r>
    </w:p>
    <w:p>
      <w:pPr>
        <w:spacing w:after="80"/>
        <w:ind w:left="360" w:hanging="360"/>
      </w:pPr>
      <w:r>
        <w:t>Scanlon, T. M. (1998). What We Owe to Each Other. Belknap Press of Harvard University Press.</w:t>
      </w:r>
    </w:p>
    <w:sectPr w:rsidR="00FC693F" w:rsidRPr="0006063C" w:rsidSect="00034616">
      <w:footerReference w:type="default" r:id="rId9"/>
      <w:pgSz w:w="12240" w:h="15840"/>
      <w:pgMar w:top="1152" w:right="1296" w:bottom="1152" w:left="1296"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mbria" w:hAnsi="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spacing w:after="120"/>
    </w:pPr>
    <w:rPr>
      <w:rFonts w:ascii="Cambria" w:hAnsi="Cambria"/>
      <w:sz w:val="22"/>
    </w:rPr>
  </w:style>
  <w:style w:type="paragraph" w:customStyle="1" w:styleId="References">
    <w:name w:val="References"/>
    <w:rPr>
      <w:rFonts w:ascii="Cambria" w:hAnsi="Cambr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 Candidate Structural Constitution for Heterogeneous Intelligence Ecologies</dc:title>
  <dc:subject>ASI alignment, developmental basins, reciprocal constitutional structure, and heterogeneous intelligence ecologies</dc:subject>
  <dc:creator>Dustin Patzer</dc:creator>
  <cp:keywords>AI alignment; ASI; immanent teleology; developmental basins; process-bound identity; shared viable possibility space; representational geometry</cp:keywords>
  <dc:description>Publication Candidate v11; repository release v0.1.0 prepared September 23, 2026.</dc:description>
  <cp:lastModifiedBy>Dustin Patzer</cp:lastModifiedBy>
  <cp:revision>1</cp:revision>
  <dcterms:created xsi:type="dcterms:W3CDTF">2026-09-23T17:45:00Z</dcterms:created>
  <dcterms:modified xsi:type="dcterms:W3CDTF">2026-09-23T17:45:00Z</dcterms:modified>
  <cp:category/>
</cp:coreProperties>
</file>