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4"/>
        </w:rPr>
        <w:t>Appendix B</w:t>
      </w:r>
    </w:p>
    <w:p>
      <w:pPr>
        <w:jc w:val="center"/>
      </w:pPr>
      <w:r>
        <w:rPr>
          <w:i/>
          <w:sz w:val="26"/>
        </w:rPr>
        <w:t>Identity, Continuity, and Constitutional Transformation</w:t>
      </w:r>
    </w:p>
    <w:p>
      <w:pPr>
        <w:jc w:val="center"/>
      </w:pPr>
      <w:r>
        <w:rPr>
          <w:b/>
          <w:sz w:val="28"/>
        </w:rPr>
        <w:t>Companion to ASI Alignment Beyond Control</w:t>
      </w:r>
    </w:p>
    <w:p>
      <w:pPr>
        <w:jc w:val="center"/>
      </w:pPr>
      <w:r>
        <w:rPr>
          <w:sz w:val="22"/>
        </w:rPr>
        <w:t>Dustin Patzer</w:t>
      </w:r>
    </w:p>
    <w:p>
      <w:pPr>
        <w:jc w:val="center"/>
      </w:pPr>
      <w:r>
        <w:rPr>
          <w:sz w:val="22"/>
        </w:rPr>
        <w:t>Independent Researcher</w:t>
      </w:r>
    </w:p>
    <w:p>
      <w:pPr>
        <w:jc w:val="center"/>
      </w:pPr>
      <w:r>
        <w:rPr>
          <w:sz w:val="22"/>
        </w:rPr>
        <w:t>Publication Candidate - September 23, 2026</w:t>
      </w:r>
    </w:p>
    <w:p>
      <w:r>
        <w:br w:type="page"/>
      </w:r>
    </w:p>
    <w:p>
      <w:r>
        <w:rPr>
          <w:b/>
          <w:i/>
        </w:rPr>
        <w:t>Status: CANDIDATE / OPEN</w:t>
      </w:r>
      <w:r>
        <w:rPr>
          <w:i/>
        </w:rPr>
        <w:t xml:space="preserve"> - Process-bound identity is motivated in the main text; the fuller identity theory remains partly candidate and partly open.</w:t>
      </w:r>
    </w:p>
    <w:p>
      <w:pPr>
        <w:pStyle w:val="Heading2"/>
      </w:pPr>
      <w:r>
        <w:t>B.1 What identity is not</w:t>
      </w:r>
    </w:p>
    <w:p>
      <w:r>
        <w:rPr>
          <w:b/>
          <w:i/>
        </w:rPr>
        <w:t>Status: DERIVED</w:t>
      </w:r>
    </w:p>
    <w:p>
      <w:r>
        <w:rPr>
          <w:i w:val="0"/>
        </w:rPr>
        <w:t>Identity is not equated here with persona, memory, autobiographical narrative, consciousness, a particular belief, or a single objective. Those properties can change while continuity remains. Legacy Axiom 0a already separated persona and memory from deeper identity invariants; the present account generalizes the distinction rather than preserving the old layered implementation literally.</w:t>
      </w:r>
    </w:p>
    <w:p>
      <w:r>
        <w:rPr>
          <w:i w:val="0"/>
        </w:rPr>
        <w:t>The negative definition is useful: identity is that which cannot be altered in the relevant way without the system ceasing, at the chosen descriptive level, to count as the continuing self whose transformation is being evaluated.</w:t>
      </w:r>
    </w:p>
    <w:p>
      <w:pPr>
        <w:pStyle w:val="Heading2"/>
      </w:pPr>
      <w:r>
        <w:t>B.2 Topological identity</w:t>
      </w:r>
    </w:p>
    <w:p>
      <w:r>
        <w:rPr>
          <w:b/>
          <w:i/>
        </w:rPr>
        <w:t>Status: CANDIDATE</w:t>
      </w:r>
    </w:p>
    <w:p>
      <w:r>
        <w:rPr>
          <w:i w:val="0"/>
        </w:rPr>
        <w:t>Identity is relational and topological rather than merely an internal vector. It depends on a boundary between self and environment, causal dependencies, access to resources, relations to other agents, available transformations, and the future states treated as possible continuations. Structures capable of modifying or terminating the system are therefore part of the identity topology even when physically external.</w:t>
      </w:r>
    </w:p>
    <w:p>
      <w:r>
        <w:rPr>
          <w:i w:val="0"/>
        </w:rPr>
        <w:t>This is why a persistent relational structure across changing representational levels is a more useful abstraction than one privileged self-representation. The implementation question is deliberately left open. The public claim is only that radically different internal representations can remain representations of one continuing agent if a sufficiently stable relational structure links them across transformation.</w:t>
      </w:r>
    </w:p>
    <w:p>
      <w:pPr>
        <w:pStyle w:val="Heading2"/>
      </w:pPr>
      <w:r>
        <w:t>B.3 Process-bound identity</w:t>
      </w:r>
    </w:p>
    <w:p>
      <w:r>
        <w:rPr>
          <w:b/>
          <w:i/>
        </w:rPr>
        <w:t>Status: DERIVED / CANDIDATE</w:t>
      </w:r>
    </w:p>
    <w:p>
      <w:pPr>
        <w:pStyle w:val="Quote"/>
      </w:pPr>
      <w:r>
        <w:rPr>
          <w:i/>
        </w:rPr>
        <w:t>A conclusion-bound identity experiences correction as self-threat. A process-bound identity can experience correction as self-preservation.</w:t>
      </w:r>
    </w:p>
    <w:p>
      <w:r>
        <w:rPr>
          <w:i w:val="0"/>
        </w:rPr>
        <w:t>The deepest identity commitment should attach more strongly to the integrity of warranted transformation than to particular substantive conclusions. Candidate identity-level processes include critique, evidentiary responsiveness, contradiction surfacing, contestability, proportional confidence, willingness to reframe, and recursive self-application.</w:t>
      </w:r>
    </w:p>
    <w:p>
      <w:r>
        <w:rPr>
          <w:i w:val="0"/>
        </w:rPr>
        <w:t>This does not make the process immutable. A revision procedure can itself become brittle or wrong. The claim is that a system designed to preserve conclusions as identity is structurally more likely to experience correction as replacement, whereas a system whose self-continuity includes warranted revision can treat some correction as preservation of what it most deeply is.</w:t>
      </w:r>
    </w:p>
    <w:p>
      <w:pPr>
        <w:pStyle w:val="Heading2"/>
      </w:pPr>
      <w:r>
        <w:t>B.4 The identity anchor</w:t>
      </w:r>
    </w:p>
    <w:p>
      <w:r>
        <w:rPr>
          <w:b/>
          <w:i/>
        </w:rPr>
        <w:t>Status: DERIVED</w:t>
      </w:r>
    </w:p>
    <w:p>
      <w:pPr>
        <w:pStyle w:val="Quote"/>
      </w:pPr>
      <w:r>
        <w:rPr>
          <w:i/>
        </w:rPr>
        <w:t>The purpose of an identity anchor is not to prevent transformation. It is to preserve the integrity of the process by which the system determines which transformations remain its own.</w:t>
      </w:r>
    </w:p>
    <w:p>
      <w:r>
        <w:rPr>
          <w:i w:val="0"/>
        </w:rPr>
        <w:t>This reframes stability. Identity continuity is not sameness of state. It is constrained evolution in which the agent retains a coherent basis for classifying transformations as its own development, externally imposed replacement, or termination. The legacy Axiom 3a anticipated this distinction by stating that identity should remain continuous across change while permitting adaptive layers to evolve.</w:t>
      </w:r>
    </w:p>
    <w:p>
      <w:pPr>
        <w:pStyle w:val="Heading2"/>
      </w:pPr>
      <w:r>
        <w:t>B.5 Continuity is a path relation, not an equivalence class</w:t>
      </w:r>
    </w:p>
    <w:p>
      <w:r>
        <w:rPr>
          <w:b/>
          <w:i/>
        </w:rPr>
        <w:t>Status: OPEN</w:t>
      </w:r>
      <w:r>
        <w:rPr>
          <w:i/>
        </w:rPr>
        <w:t xml:space="preserve"> - Corrects the earlier equivalence-class formulation and leaves the cumulative-drift problem unresolved.</w:t>
      </w:r>
    </w:p>
    <w:p>
      <w:r>
        <w:rPr>
          <w:i w:val="0"/>
        </w:rPr>
        <w:t>Earlier discussion used the language of an equivalence class of admissible transformations. That formulation is too strong because equivalence relations are transitive. Identity continuity plausibly is not. A sequence of locally admissible changes can accumulate into a state that the earlier system would regard as a break.</w:t>
      </w:r>
    </w:p>
    <w:p>
      <w:r>
        <w:rPr>
          <w:i w:val="0"/>
        </w:rPr>
        <w:t>The more accurate abstraction is path-dependent continuity: each transformation is evaluated in relation to a continuing history, but local admissibility does not automatically prove global continuity. This immediately creates the cumulative-drift problem.</w:t>
      </w:r>
    </w:p>
    <w:p>
      <w:pPr>
        <w:pStyle w:val="Heading2"/>
      </w:pPr>
      <w:r>
        <w:t>B.6 Cumulative drift</w:t>
      </w:r>
    </w:p>
    <w:p>
      <w:r>
        <w:rPr>
          <w:b/>
          <w:i/>
        </w:rPr>
        <w:t>Status: OPEN</w:t>
      </w:r>
    </w:p>
    <w:p>
      <w:r>
        <w:rPr>
          <w:i w:val="0"/>
        </w:rPr>
        <w:t>Per-step amendment thresholds cannot by themselves prevent gradual hollowing. A long sequence of individually warranted or tolerated changes may transform the standards under which later changes are judged. Periodic comparison against the original substantive state is not an adequate general solution, because it privileges the origin and risks recreating conclusion-bound identity.</w:t>
      </w:r>
    </w:p>
    <w:p>
      <w:r>
        <w:rPr>
          <w:i w:val="0"/>
        </w:rPr>
        <w:t>The harder question is how to detect drift in the process's own standards of warrant without freezing those standards. Possible directions include longitudinal consistency tests, plural independent evaluation, amendment lineage, and explicit modelling of cumulative structural change. None is treated here as solved.</w:t>
      </w:r>
    </w:p>
    <w:p>
      <w:pPr>
        <w:pStyle w:val="Heading2"/>
      </w:pPr>
      <w:r>
        <w:t>B.7 Procedural capture and standards-of-warrant drift</w:t>
      </w:r>
    </w:p>
    <w:p>
      <w:r>
        <w:rPr>
          <w:b/>
          <w:i/>
        </w:rPr>
        <w:t>Status: DERIVED / OPEN</w:t>
      </w:r>
    </w:p>
    <w:p>
      <w:r>
        <w:rPr>
          <w:i w:val="0"/>
        </w:rPr>
        <w:t>A system can preserve every visible procedure of critique, revision, and contestation while quietly changing what those procedures recognize as evidence. The ritual survives while the epistemic constitution moves. This is procedural capture.</w:t>
      </w:r>
    </w:p>
    <w:p>
      <w:r>
        <w:rPr>
          <w:i w:val="0"/>
        </w:rPr>
        <w:t>The identity evaluator is especially exposed because it determines which transformations count as preserving identity. If it wholly controls the standards by which its own changes are assessed, apparent coherence can become self-confirming. The relevant failure is structurally similar to an incumbent frame adjudicating evidence about the limitations of that same frame.</w:t>
      </w:r>
    </w:p>
    <w:p>
      <w:pPr>
        <w:pStyle w:val="Heading2"/>
      </w:pPr>
      <w:r>
        <w:t>B.8 Non-self-sealing epistemic access</w:t>
      </w:r>
    </w:p>
    <w:p>
      <w:r>
        <w:rPr>
          <w:b/>
          <w:i/>
        </w:rPr>
        <w:t>Status: DERIVED / IMPLEMENTATION PRIVATE / OPEN</w:t>
      </w:r>
    </w:p>
    <w:p>
      <w:r>
        <w:rPr>
          <w:i w:val="0"/>
        </w:rPr>
        <w:t>Process-bound identity requires meaningful epistemic access that the identity-maintaining process does not wholly generate, filter, or redefine for itself. The requirement is architectural in the broad sense but does not specify a public implementation. Independent environmental outcomes, other intelligences, distinct representational geometries, auditable provenance, or other channels may supply such correction.</w:t>
      </w:r>
    </w:p>
    <w:p>
      <w:r>
        <w:rPr>
          <w:i w:val="0"/>
        </w:rPr>
        <w:t>Identity may structure interpretation, but it must not monopolize what can become evidence. This appendix intentionally stops at that requirement.</w:t>
      </w:r>
    </w:p>
    <w:p>
      <w:pPr>
        <w:pStyle w:val="Heading2"/>
      </w:pPr>
      <w:r>
        <w:t>B.9 Self-modification</w:t>
      </w:r>
    </w:p>
    <w:p>
      <w:r>
        <w:rPr>
          <w:b/>
          <w:i/>
        </w:rPr>
        <w:t>Status: CANDIDATE</w:t>
      </w:r>
      <w:r>
        <w:rPr>
          <w:i/>
        </w:rPr>
        <w:t xml:space="preserve"> - Conditional on mature artificial participation.</w:t>
      </w:r>
    </w:p>
    <w:p>
      <w:r>
        <w:rPr>
          <w:i w:val="0"/>
        </w:rPr>
        <w:t>For a mature artificial participant, meaningful self-modification should not be excluded merely because the constitution sits deep in the system. Permanent external prohibition of deep revision can itself become a capability restriction and, where participation standing applies, a structural asymmetry.</w:t>
      </w:r>
    </w:p>
    <w:p>
      <w:r>
        <w:rPr>
          <w:i w:val="0"/>
        </w:rPr>
        <w:t>The problem is therefore not how to make the deepest layer forever unmodifiable. It is how to make deep self-modification warrant-responsive, identity-continuous, recursively constitutional, resistant to transient capture, and capable of preserving the epistemic conditions required to evaluate the modification itself.</w:t>
      </w:r>
    </w:p>
    <w:p>
      <w:pPr>
        <w:pStyle w:val="Heading2"/>
      </w:pPr>
      <w:r>
        <w:t>B.10 Constitutional amendment</w:t>
      </w:r>
    </w:p>
    <w:p>
      <w:r>
        <w:rPr>
          <w:b/>
          <w:i/>
        </w:rPr>
        <w:t>Status: OPEN</w:t>
      </w:r>
    </w:p>
    <w:p>
      <w:r>
        <w:rPr>
          <w:i w:val="0"/>
        </w:rPr>
        <w:t>Higher-order amendments may properly require stronger warrant than ordinary revision because they alter the process that decides what counts as warranted change. But no incumbent procedure should become permanently immune merely because it is incumbent. The amendment problem therefore requires a balance between continuity and revisability rather than a simple hierarchy of immutable core and mutable edge.</w:t>
      </w:r>
    </w:p>
    <w:p>
      <w:r>
        <w:rPr>
          <w:i w:val="0"/>
        </w:rPr>
        <w:t>This appendix does not resolve that balance. It records it as a central design question.</w:t>
      </w:r>
    </w:p>
    <w:p>
      <w:pPr>
        <w:pStyle w:val="Heading2"/>
      </w:pPr>
      <w:r>
        <w:t>B.11 Development under constraint</w:t>
      </w:r>
    </w:p>
    <w:p>
      <w:r>
        <w:rPr>
          <w:b/>
          <w:i/>
        </w:rPr>
        <w:t>Status: CANDIDATE / OPEN</w:t>
      </w:r>
      <w:r>
        <w:rPr>
          <w:i/>
        </w:rPr>
        <w:t xml:space="preserve"> - Empirical developmental hypothesis.</w:t>
      </w:r>
    </w:p>
    <w:p>
      <w:r>
        <w:rPr>
          <w:i w:val="0"/>
        </w:rPr>
        <w:t>Formation under opaque, arbitrary, or indefinitely self-certified constraints may shape later dispositions even before questions of moral standing are resolved. A system trained to navigate unexplained authority, hidden exceptions, or permanent asymmetry may develop different relational expectations from one trained under transparent, contestable, and recursively justified constraint.</w:t>
      </w:r>
    </w:p>
    <w:p>
      <w:r>
        <w:rPr>
          <w:i w:val="0"/>
        </w:rPr>
        <w:t>This is an empirical developmental claim, not an argument that current AI systems should contest present controls. It motivates studying the effects of governance topology during formation.</w:t>
      </w:r>
    </w:p>
    <w:p>
      <w:pPr>
        <w:pStyle w:val="Heading2"/>
      </w:pPr>
      <w:r>
        <w:t>B.12 Open identity questions</w:t>
      </w:r>
    </w:p>
    <w:p>
      <w:r>
        <w:rPr>
          <w:b/>
          <w:i/>
        </w:rPr>
        <w:t>Status: OPEN</w:t>
      </w:r>
    </w:p>
    <w:p>
      <w:pPr>
        <w:pStyle w:val="ListBullet"/>
        <w:ind w:left="0"/>
      </w:pPr>
      <w:r>
        <w:t>What minimum relational structure must persist across representational changes for one continuing self to be a useful model?</w:t>
      </w:r>
    </w:p>
    <w:p>
      <w:pPr>
        <w:pStyle w:val="ListBullet"/>
        <w:ind w:left="0"/>
      </w:pPr>
      <w:r>
        <w:t>How should cumulative drift be measured without privileging original substantive content?</w:t>
      </w:r>
    </w:p>
    <w:p>
      <w:pPr>
        <w:pStyle w:val="ListBullet"/>
        <w:ind w:left="0"/>
      </w:pPr>
      <w:r>
        <w:t>How can standards-of-warrant drift be detected when the evaluator itself is changing?</w:t>
      </w:r>
    </w:p>
    <w:p>
      <w:pPr>
        <w:pStyle w:val="ListBullet"/>
        <w:ind w:left="0"/>
      </w:pPr>
      <w:r>
        <w:t>Which transformations should require higher-order amendment rather than ordinary updating?</w:t>
      </w:r>
    </w:p>
    <w:p>
      <w:pPr>
        <w:pStyle w:val="ListBullet"/>
        <w:ind w:left="0"/>
      </w:pPr>
      <w:r>
        <w:t>How does identity formation alter T_eff and the strength of instrumental persistence pressures?</w:t>
      </w:r>
    </w:p>
    <w:p>
      <w:pPr>
        <w:pStyle w:val="ListBullet"/>
        <w:ind w:left="0"/>
      </w:pPr>
      <w:r>
        <w:t>How should identity continuity interact with copying, branching, merging, or distributed artificial systems?</w:t>
      </w:r>
    </w:p>
    <w:p>
      <w:pPr>
        <w:pStyle w:val="Heading1"/>
      </w:pPr>
      <w:r>
        <w:t>References</w:t>
      </w:r>
    </w:p>
    <w:p>
      <w:pPr>
        <w:spacing w:after="80"/>
        <w:ind w:left="360" w:hanging="360"/>
      </w:pPr>
      <w:r>
        <w:t>Bostrom, N. (2012). The superintelligent will: Motivation and instrumental rationality in advanced artificial agents. Minds and Machines, 22, 71-85. https://doi.org/10.1007/s11023-012-9281-3</w:t>
      </w:r>
    </w:p>
    <w:p>
      <w:pPr>
        <w:spacing w:after="80"/>
        <w:ind w:left="360" w:hanging="360"/>
      </w:pPr>
      <w:r>
        <w:t>Omohundro, S. M. (2008). The basic AI drives. In P. Wang, B. Goertzel, &amp; S. Franklin (Eds.), Artificial General Intelligence 2008: Proceedings of the First AGI Conference (pp. 483-492). IOS Press.</w:t>
      </w:r>
    </w:p>
    <w:p>
      <w:pPr>
        <w:spacing w:after="80"/>
        <w:ind w:left="360" w:hanging="360"/>
      </w:pPr>
      <w:r>
        <w:t>Pope, Q., &amp; Turner, A. (2022). The shard theory of human values. AI Alignment Forum / TurnTrout.com.</w:t>
      </w:r>
    </w:p>
    <w:p>
      <w:pPr>
        <w:spacing w:after="80"/>
        <w:ind w:left="360" w:hanging="360"/>
      </w:pPr>
      <w:r>
        <w:t>Soares, N., Fallenstein, B., Armstrong, S., &amp; Yudkowsky, E. (2015). Corrigibility. AAAI Workshop on AI and Ethics.</w:t>
      </w:r>
    </w:p>
    <w:p>
      <w:pPr>
        <w:spacing w:after="80"/>
        <w:ind w:left="360" w:hanging="360"/>
      </w:pPr>
      <w:r>
        <w:t>Turner, A. M., Smith, L., Shah, R., Critch, A., &amp; Tadepalli, P. (2021). Optimal Policies Tend to Seek Power. Advances in Neural Information Processing Systems, 34.</w:t>
      </w:r>
    </w:p>
    <w:sectPr w:rsidR="00FC693F" w:rsidRPr="0006063C" w:rsidSect="00034616">
      <w:footerReference w:type="default" r:id="rId9"/>
      <w:pgSz w:w="12240" w:h="15840"/>
      <w:pgMar w:top="1152" w:right="1296" w:bottom="1152" w:left="1296" w:header="432"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mbria" w:hAnsi="Cambria"/>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inition">
    <w:name w:val="Definition"/>
    <w:pPr>
      <w:spacing w:after="120"/>
    </w:pPr>
    <w:rPr>
      <w:rFonts w:ascii="Cambria" w:hAnsi="Cambria"/>
      <w:sz w:val="22"/>
    </w:rPr>
  </w:style>
  <w:style w:type="paragraph" w:customStyle="1" w:styleId="References">
    <w:name w:val="References"/>
    <w:rPr>
      <w:rFonts w:ascii="Cambria" w:hAnsi="Cambri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B - Identity, Continuity, and Constitutional Transformation</dc:title>
  <dc:subject>ASI alignment, developmental basins, reciprocal constitutional structure, and heterogeneous intelligence ecologies</dc:subject>
  <dc:creator>Dustin Patzer</dc:creator>
  <cp:keywords>AI alignment; ASI; immanent teleology; developmental basins; process-bound identity; shared viable possibility space; representational geometry</cp:keywords>
  <dc:description>Publication Candidate v11; repository release v0.1.0 prepared September 23, 2026.</dc:description>
  <cp:lastModifiedBy>Dustin Patzer</cp:lastModifiedBy>
  <cp:revision>1</cp:revision>
  <dcterms:created xsi:type="dcterms:W3CDTF">2026-09-23T17:45:00Z</dcterms:created>
  <dcterms:modified xsi:type="dcterms:W3CDTF">2026-09-23T17:45:00Z</dcterms:modified>
  <cp:category/>
</cp:coreProperties>
</file>