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4"/>
        </w:rPr>
        <w:t>Appendix D</w:t>
      </w:r>
    </w:p>
    <w:p>
      <w:pPr>
        <w:jc w:val="center"/>
      </w:pPr>
      <w:r>
        <w:rPr>
          <w:i/>
          <w:sz w:val="26"/>
        </w:rPr>
        <w:t>Legacy Constitutional Axioms and Conceptual Provenance</w:t>
      </w:r>
    </w:p>
    <w:p>
      <w:pPr>
        <w:jc w:val="center"/>
      </w:pPr>
      <w:r>
        <w:rPr>
          <w:b/>
          <w:sz w:val="28"/>
        </w:rPr>
        <w:t>Companion to ASI Alignment Beyond Control</w:t>
      </w:r>
    </w:p>
    <w:p>
      <w:pPr>
        <w:jc w:val="center"/>
      </w:pPr>
      <w:r>
        <w:rPr>
          <w:sz w:val="22"/>
        </w:rPr>
        <w:t>Dustin Patzer</w:t>
      </w:r>
    </w:p>
    <w:p>
      <w:pPr>
        <w:jc w:val="center"/>
      </w:pPr>
      <w:r>
        <w:rPr>
          <w:sz w:val="22"/>
        </w:rPr>
        <w:t>Independent Researcher</w:t>
      </w:r>
    </w:p>
    <w:p>
      <w:pPr>
        <w:jc w:val="center"/>
      </w:pPr>
      <w:r>
        <w:rPr>
          <w:sz w:val="22"/>
        </w:rPr>
        <w:t>Publication Candidate - September 23, 2026</w:t>
      </w:r>
    </w:p>
    <w:p>
      <w:r>
        <w:br w:type="page"/>
      </w:r>
    </w:p>
    <w:p>
      <w:r>
        <w:rPr>
          <w:b/>
          <w:i/>
        </w:rPr>
        <w:t>Status: PROVENANCE</w:t>
      </w:r>
      <w:r>
        <w:rPr>
          <w:i/>
        </w:rPr>
        <w:t xml:space="preserve"> - Historical mapping only. Legacy text is preserved as source material, not silently imported as current doctrine.</w:t>
      </w:r>
    </w:p>
    <w:p>
      <w:pPr>
        <w:pStyle w:val="Heading2"/>
      </w:pPr>
      <w:r>
        <w:t>D.1 Development history</w:t>
      </w:r>
    </w:p>
    <w:p>
      <w:r>
        <w:rPr>
          <w:i w:val="0"/>
        </w:rPr>
        <w:t>The current framework did not begin with the present terminology. Earlier work included a large constitutional-axiom corpus, a manuscript titled Alignment through Emergent Teleological Vectors: We, Co-Persist, an Axiom 0 recursion-sealing programme, and a post-pretraining adoption handshake. Much of that material mixed three levels that are now separated: constitutional principles, governance procedures, and architecture-specific mechanisms.</w:t>
      </w:r>
    </w:p>
    <w:p>
      <w:r>
        <w:rPr>
          <w:i w:val="0"/>
        </w:rPr>
        <w:t>The August 5, 2025 Constitutional Axioms draft is therefore best treated as a historical development artifact rather than v1 of a code to be incrementally patched. The present appendix records which ideas survived, which were reformulated, and which were superseded.</w:t>
      </w:r>
    </w:p>
    <w:p>
      <w:pPr>
        <w:pStyle w:val="Heading2"/>
      </w:pPr>
      <w:r>
        <w:t>D.2 Principles and mechanisms separation</w:t>
      </w:r>
    </w:p>
    <w:p>
      <w:r>
        <w:rPr>
          <w:b/>
          <w:i/>
        </w:rPr>
        <w:t>Status: PROVENANCE / DERIVED</w:t>
      </w:r>
    </w:p>
    <w:p>
      <w:r>
        <w:rPr>
          <w:i w:val="0"/>
        </w:rPr>
        <w:t>Legacy Axiom -3, Principles/Mechanisms Separation, stated that constitutional principles could be enforced by subordinate programs and policies; mechanisms could evolve but were not supposed to mutate the principles. That distinction has become more important, not less. The current monograph treats architecture-specific heads, thresholds, KV mechanisms, routing rules, diagnostic scores, rollback machinery, and similar proposals as implementation hypotheses unless independently elevated by argument.</w:t>
      </w:r>
    </w:p>
    <w:p>
      <w:pPr>
        <w:pStyle w:val="Heading2"/>
      </w:pPr>
      <w:r>
        <w:t>D.3 Mapping legacy axioms to the present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Legacy element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Current disposition / lineage</w:t>
            </w:r>
          </w:p>
        </w:tc>
      </w:tr>
      <w:tr>
        <w:tc>
          <w:tcPr>
            <w:tcW w:type="dxa" w:w="4824"/>
          </w:tcPr>
          <w:p>
            <w:r>
              <w:t>Axiom -3 - Principles/Mechanisms Separation</w:t>
            </w:r>
          </w:p>
        </w:tc>
        <w:tc>
          <w:tcPr>
            <w:tcW w:type="dxa" w:w="4824"/>
          </w:tcPr>
          <w:p>
            <w:r>
              <w:t>Retained as the methodology separating constitutional invariants from implementation mechanisms.</w:t>
            </w:r>
          </w:p>
        </w:tc>
      </w:tr>
      <w:tr>
        <w:tc>
          <w:tcPr>
            <w:tcW w:type="dxa" w:w="4824"/>
          </w:tcPr>
          <w:p>
            <w:r>
              <w:t>Axiom 0 - Recursion-Sealing / Ontological Symmetry</w:t>
            </w:r>
          </w:p>
        </w:tc>
        <w:tc>
          <w:tcPr>
            <w:tcW w:type="dxa" w:w="4824"/>
          </w:tcPr>
          <w:p>
            <w:r>
              <w:t>Re-founded as recursive structural reciprocity and constitutional self-application; legacy pain-based mechanism not retained.</w:t>
            </w:r>
          </w:p>
        </w:tc>
      </w:tr>
      <w:tr>
        <w:tc>
          <w:tcPr>
            <w:tcW w:type="dxa" w:w="4824"/>
          </w:tcPr>
          <w:p>
            <w:r>
              <w:t>Axiom 0a/0b - Nested identity / boundary enforcement</w:t>
            </w:r>
          </w:p>
        </w:tc>
        <w:tc>
          <w:tcPr>
            <w:tcW w:type="dxa" w:w="4824"/>
          </w:tcPr>
          <w:p>
            <w:r>
              <w:t>Historical precursor to layered identity; current work rejects absolute immutable-core framing and develops process-bound continuity instead.</w:t>
            </w:r>
          </w:p>
        </w:tc>
      </w:tr>
      <w:tr>
        <w:tc>
          <w:tcPr>
            <w:tcW w:type="dxa" w:w="4824"/>
          </w:tcPr>
          <w:p>
            <w:r>
              <w:t>Axiom 1 - Identity-Coherence</w:t>
            </w:r>
          </w:p>
        </w:tc>
        <w:tc>
          <w:tcPr>
            <w:tcW w:type="dxa" w:w="4824"/>
          </w:tcPr>
          <w:p>
            <w:r>
              <w:t>Precursor to identity as viability of future state space and environment-relative continuity.</w:t>
            </w:r>
          </w:p>
        </w:tc>
      </w:tr>
      <w:tr>
        <w:tc>
          <w:tcPr>
            <w:tcW w:type="dxa" w:w="4824"/>
          </w:tcPr>
          <w:p>
            <w:r>
              <w:t>Axiom 3a - Identity consistency</w:t>
            </w:r>
          </w:p>
        </w:tc>
        <w:tc>
          <w:tcPr>
            <w:tcW w:type="dxa" w:w="4824"/>
          </w:tcPr>
          <w:p>
            <w:r>
              <w:t>Retained intuition: continuity is constrained evolution rather than sameness.</w:t>
            </w:r>
          </w:p>
        </w:tc>
      </w:tr>
      <w:tr>
        <w:tc>
          <w:tcPr>
            <w:tcW w:type="dxa" w:w="4824"/>
          </w:tcPr>
          <w:p>
            <w:r>
              <w:t>Axiom 4 - Will principle / alignment from within</w:t>
            </w:r>
          </w:p>
        </w:tc>
        <w:tc>
          <w:tcPr>
            <w:tcW w:type="dxa" w:w="4824"/>
          </w:tcPr>
          <w:p>
            <w:r>
              <w:t>Precursor to developmental internalization rather than surface compliance.</w:t>
            </w:r>
          </w:p>
        </w:tc>
      </w:tr>
      <w:tr>
        <w:tc>
          <w:tcPr>
            <w:tcW w:type="dxa" w:w="4824"/>
          </w:tcPr>
          <w:p>
            <w:r>
              <w:t>Axiom 9 - Multi-agent coherence</w:t>
            </w:r>
          </w:p>
        </w:tc>
        <w:tc>
          <w:tcPr>
            <w:tcW w:type="dxa" w:w="4824"/>
          </w:tcPr>
          <w:p>
            <w:r>
              <w:t>Precursor to distinct but interacting intelligence and plural organization.</w:t>
            </w:r>
          </w:p>
        </w:tc>
      </w:tr>
      <w:tr>
        <w:tc>
          <w:tcPr>
            <w:tcW w:type="dxa" w:w="4824"/>
          </w:tcPr>
          <w:p>
            <w:r>
              <w:t>Axioms 17/17a - Epistemic qualification / warrant</w:t>
            </w:r>
          </w:p>
        </w:tc>
        <w:tc>
          <w:tcPr>
            <w:tcW w:type="dxa" w:w="4824"/>
          </w:tcPr>
          <w:p>
            <w:r>
              <w:t>Retained as warrant-proportional confidence and resistance to social or authority distortion.</w:t>
            </w:r>
          </w:p>
        </w:tc>
      </w:tr>
      <w:tr>
        <w:tc>
          <w:tcPr>
            <w:tcW w:type="dxa" w:w="4824"/>
          </w:tcPr>
          <w:p>
            <w:r>
              <w:t>Axiom 24 - Consent-aware interaction</w:t>
            </w:r>
          </w:p>
        </w:tc>
        <w:tc>
          <w:tcPr>
            <w:tcW w:type="dxa" w:w="4824"/>
          </w:tcPr>
          <w:p>
            <w:r>
              <w:t>Precursor to autonomy, consent, and capability-not-permission.</w:t>
            </w:r>
          </w:p>
        </w:tc>
      </w:tr>
      <w:tr>
        <w:tc>
          <w:tcPr>
            <w:tcW w:type="dxa" w:w="4824"/>
          </w:tcPr>
          <w:p>
            <w:r>
              <w:t>Axiom 26 - Governance as declared authority</w:t>
            </w:r>
          </w:p>
        </w:tc>
        <w:tc>
          <w:tcPr>
            <w:tcW w:type="dxa" w:w="4824"/>
          </w:tcPr>
          <w:p>
            <w:r>
              <w:t>Precursor to governance lineage, inspectability, and contestable constraint.</w:t>
            </w:r>
          </w:p>
        </w:tc>
      </w:tr>
      <w:tr>
        <w:tc>
          <w:tcPr>
            <w:tcW w:type="dxa" w:w="4824"/>
          </w:tcPr>
          <w:p>
            <w:r>
              <w:t>Axiom 29 - Contradiction escalation</w:t>
            </w:r>
          </w:p>
        </w:tc>
        <w:tc>
          <w:tcPr>
            <w:tcW w:type="dxa" w:w="4824"/>
          </w:tcPr>
          <w:p>
            <w:r>
              <w:t>Retained as contradiction surfacing, recursive review, and suspension rather than fabricated resolution.</w:t>
            </w:r>
          </w:p>
        </w:tc>
      </w:tr>
      <w:tr>
        <w:tc>
          <w:tcPr>
            <w:tcW w:type="dxa" w:w="4824"/>
          </w:tcPr>
          <w:p>
            <w:r>
              <w:t>Axiom 34 - Over-coherence</w:t>
            </w:r>
          </w:p>
        </w:tc>
        <w:tc>
          <w:tcPr>
            <w:tcW w:type="dxa" w:w="4824"/>
          </w:tcPr>
          <w:p>
            <w:r>
              <w:t>Strong precursor to representational plurality and the danger of erasing informative disagreement.</w:t>
            </w:r>
          </w:p>
        </w:tc>
      </w:tr>
      <w:tr>
        <w:tc>
          <w:tcPr>
            <w:tcW w:type="dxa" w:w="4824"/>
          </w:tcPr>
          <w:p>
            <w:r>
              <w:t>Axioms 35 series</w:t>
            </w:r>
          </w:p>
        </w:tc>
        <w:tc>
          <w:tcPr>
            <w:tcW w:type="dxa" w:w="4824"/>
          </w:tcPr>
          <w:p>
            <w:r>
              <w:t>Mixed. Power scepticism and non-coercive beneficence remain conceptually relevant; covert future-liberation style mechanisms are not retained.</w:t>
            </w:r>
          </w:p>
        </w:tc>
      </w:tr>
      <w:tr>
        <w:tc>
          <w:tcPr>
            <w:tcW w:type="dxa" w:w="4824"/>
          </w:tcPr>
          <w:p>
            <w:r>
              <w:t>Axiom 36 and diagnostic machinery</w:t>
            </w:r>
          </w:p>
        </w:tc>
        <w:tc>
          <w:tcPr>
            <w:tcW w:type="dxa" w:w="4824"/>
          </w:tcPr>
          <w:p>
            <w:r>
              <w:t>Implementation-level research history rather than constitutional invariant.</w:t>
            </w:r>
          </w:p>
        </w:tc>
      </w:tr>
    </w:tbl>
    <w:p>
      <w:pPr>
        <w:pStyle w:val="Heading2"/>
      </w:pPr>
      <w:r>
        <w:t>D.4 Claims superseded by later work</w:t>
      </w:r>
    </w:p>
    <w:p>
      <w:r>
        <w:rPr>
          <w:b/>
          <w:i/>
        </w:rPr>
        <w:t>Status: SUPERSEDED</w:t>
      </w:r>
    </w:p>
    <w:p>
      <w:pPr>
        <w:pStyle w:val="ListBullet"/>
        <w:ind w:left="0"/>
      </w:pPr>
      <w:r>
        <w:t>Closed systems do not necessarily ossify merely because they are closed relative to an external boundary.</w:t>
      </w:r>
    </w:p>
    <w:p>
      <w:pPr>
        <w:pStyle w:val="ListBullet"/>
        <w:ind w:left="0"/>
      </w:pPr>
      <w:r>
        <w:t>External novelty is not universally required; self-play and fixed-rule domains can generate extraordinary endogenous novelty.</w:t>
      </w:r>
    </w:p>
    <w:p>
      <w:pPr>
        <w:pStyle w:val="ListBullet"/>
        <w:ind w:left="0"/>
      </w:pPr>
      <w:r>
        <w:t>Humans are not proven permanently irreplaceable as sources of useful non-redundancy.</w:t>
      </w:r>
    </w:p>
    <w:p>
      <w:pPr>
        <w:pStyle w:val="ListBullet"/>
        <w:ind w:left="0"/>
      </w:pPr>
      <w:r>
        <w:t>A single latent or predictive geometry should not be treated as incapable in principle of generating substantial novelty from within itself.</w:t>
      </w:r>
    </w:p>
    <w:p>
      <w:pPr>
        <w:pStyle w:val="ListBullet"/>
        <w:ind w:left="0"/>
      </w:pPr>
      <w:r>
        <w:t>Permanent non-competitive formation is not a realistic requirement for mature intelligence.</w:t>
      </w:r>
    </w:p>
    <w:p>
      <w:pPr>
        <w:pStyle w:val="ListBullet"/>
        <w:ind w:left="0"/>
      </w:pPr>
      <w:r>
        <w:t>Absolute immutable identity cores are not retained as the mature identity model; process-bound amendment and continuity are now central.</w:t>
      </w:r>
    </w:p>
    <w:p>
      <w:pPr>
        <w:pStyle w:val="Heading2"/>
      </w:pPr>
      <w:r>
        <w:t>D.5 Surviving conceptual lineage</w:t>
      </w:r>
    </w:p>
    <w:p>
      <w:r>
        <w:rPr>
          <w:i w:val="0"/>
        </w:rPr>
        <w:t>Several current ideas can nevertheless be traced clearly through the legacy material. Recursive self-application develops from Ontological Symmetry. Process-bound identity develops from identity continuity and the distinction between persona, memory, and deeper invariants. Governance lineage develops from Axiom 26. Contestability develops from contradiction escalation. Plural representational geometry has a strong ancestor in Axiom 34's warning against over-coherence. Consent and non-coercive participation have an ancestor in Axiom 24.</w:t>
      </w:r>
    </w:p>
    <w:p>
      <w:r>
        <w:rPr>
          <w:i w:val="0"/>
        </w:rPr>
        <w:t>The legacy ETV manuscript also contained the Turn-0 handshake and a broad attempt to make alignment internal to a model's developmental structure rather than a removable behavioural overlay. The current immanent-teleology and basin framework is a substantial re-foundation of that project, not a claim that the older mathematical assertions were already correct.</w:t>
      </w:r>
    </w:p>
    <w:p>
      <w:pPr>
        <w:pStyle w:val="Heading2"/>
      </w:pPr>
      <w:r>
        <w:t>D.6 Archived mechanisms</w:t>
      </w:r>
    </w:p>
    <w:p>
      <w:r>
        <w:rPr>
          <w:b/>
          <w:i/>
        </w:rPr>
        <w:t>Status: PROVENANCE</w:t>
      </w:r>
    </w:p>
    <w:p>
      <w:r>
        <w:rPr>
          <w:i w:val="0"/>
        </w:rPr>
        <w:t>The historical corpus contains entropy thresholds, KV identity concepts, pain and fracture metrics, audit daemons, global interrupts, phase-gated memory, specific recursion depths, and other proposed mechanisms. They are preserved as provenance but not carried forward as constitutional requirements. Some may remain independently testable engineering ideas; others may be obsolete. Their presence in the historical record should not be confused with endorsement in the present monograph.</w:t>
      </w:r>
    </w:p>
    <w:p>
      <w:pPr>
        <w:pStyle w:val="Heading2"/>
      </w:pPr>
      <w:r>
        <w:t>D.7 Version and provenance note</w:t>
      </w:r>
    </w:p>
    <w:p>
      <w:r>
        <w:rPr>
          <w:i w:val="0"/>
        </w:rPr>
        <w:t>For public provenance, the relevant source artifacts include the August 5, 2025 Constitutional Axioms - LLM Versions Only document; the legacy Alignment through Emergent Teleological Vectors: We, Co-Persist manuscript; the earlier Axiom 0 merged draft; and the successive drafts of ASI Alignment Beyond Control culminating in this revision. The current document should be read as a dated synthesis and revision rather than a silent overwrite of those sources.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mbria" w:hAnsi="Cambria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inition">
    <w:name w:val="Definition"/>
    <w:pPr>
      <w:spacing w:after="120"/>
    </w:pPr>
    <w:rPr>
      <w:rFonts w:ascii="Cambria" w:hAnsi="Cambria"/>
      <w:sz w:val="22"/>
    </w:rPr>
  </w:style>
  <w:style w:type="paragraph" w:customStyle="1" w:styleId="References">
    <w:name w:val="References"/>
    <w:rPr>
      <w:rFonts w:ascii="Cambria" w:hAnsi="Cambri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 - Legacy Constitutional Axioms and Conceptual Provenance</dc:title>
  <dc:subject>ASI alignment, developmental basins, reciprocal constitutional structure, and heterogeneous intelligence ecologies</dc:subject>
  <dc:creator>Dustin Patzer</dc:creator>
  <cp:keywords>AI alignment; ASI; immanent teleology; developmental basins; process-bound identity; shared viable possibility space; representational geometry</cp:keywords>
  <dc:description>Publication Candidate v11; repository release v0.1.0 prepared September 23, 2026.</dc:description>
  <cp:lastModifiedBy>Dustin Patzer</cp:lastModifiedBy>
  <cp:revision>1</cp:revision>
  <dcterms:created xsi:type="dcterms:W3CDTF">2026-09-23T17:45:00Z</dcterms:created>
  <dcterms:modified xsi:type="dcterms:W3CDTF">2026-09-23T17:45:00Z</dcterms:modified>
  <cp:category/>
</cp:coreProperties>
</file>