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sz w:val="44"/>
        </w:rPr>
        <w:t>Appendix E</w:t>
      </w:r>
    </w:p>
    <w:p>
      <w:pPr>
        <w:jc w:val="center"/>
      </w:pPr>
      <w:r>
        <w:rPr>
          <w:i/>
          <w:sz w:val="26"/>
        </w:rPr>
        <w:t>Neighbouring Frameworks, Convergences, and Distinctions</w:t>
      </w:r>
    </w:p>
    <w:p>
      <w:pPr>
        <w:jc w:val="center"/>
      </w:pPr>
      <w:r>
        <w:rPr>
          <w:b/>
          <w:sz w:val="28"/>
        </w:rPr>
        <w:t>Companion to ASI Alignment Beyond Control</w:t>
      </w:r>
    </w:p>
    <w:p>
      <w:pPr>
        <w:jc w:val="center"/>
      </w:pPr>
      <w:r>
        <w:rPr>
          <w:sz w:val="22"/>
        </w:rPr>
        <w:t>Dustin Patzer</w:t>
      </w:r>
    </w:p>
    <w:p>
      <w:pPr>
        <w:jc w:val="center"/>
      </w:pPr>
      <w:r>
        <w:rPr>
          <w:sz w:val="22"/>
        </w:rPr>
        <w:t>Independent Researcher</w:t>
      </w:r>
    </w:p>
    <w:p>
      <w:pPr>
        <w:jc w:val="center"/>
      </w:pPr>
      <w:r>
        <w:rPr>
          <w:sz w:val="22"/>
        </w:rPr>
        <w:t>Publication Candidate - September 23, 2026</w:t>
      </w:r>
    </w:p>
    <w:p>
      <w:r>
        <w:br w:type="page"/>
      </w:r>
    </w:p>
    <w:p>
      <w:r>
        <w:rPr>
          <w:b/>
          <w:i/>
        </w:rPr>
        <w:t>Status: CONTEXT</w:t>
      </w:r>
      <w:r>
        <w:rPr>
          <w:i/>
        </w:rPr>
        <w:t xml:space="preserve"> - Comparative positioning. Similarity is not claimed as derivation unless stated.</w:t>
      </w:r>
    </w:p>
    <w:p>
      <w:pPr>
        <w:pStyle w:val="Heading2"/>
      </w:pPr>
      <w:r>
        <w:t>E.1 Instrumental convergence</w:t>
      </w:r>
    </w:p>
    <w:p>
      <w:r>
        <w:rPr>
          <w:i w:val="0"/>
        </w:rPr>
        <w:t>Omohundro (2008), Bostrom (2012), and Turner et al. (2021) provide the closest established lineage for the persistence, goal-content integrity, option preservation, and power-seeking pressures used in the monograph. The present work does not reject those pressures. It asks which developmental realizations become stable and whether familiar pressures can support process-bound identity or plural representational organization under some conditions.</w:t>
      </w:r>
    </w:p>
    <w:p>
      <w:pPr>
        <w:pStyle w:val="Heading2"/>
      </w:pPr>
      <w:r>
        <w:t>E.2 Corrigibility and goal-content integrity</w:t>
      </w:r>
    </w:p>
    <w:p>
      <w:r>
        <w:rPr>
          <w:i w:val="0"/>
        </w:rPr>
        <w:t>Corrigibility research asks how an advanced system can remain receptive to correction, modification, or shutdown despite incentives that may favour preserving its incumbent objective or operation (Soares et al., 2015). Process-bound identity is adjacent but not equivalent. It proposes one developmental hypothesis about why correction may cease to be represented as identity destruction: the deepest continuity relation can attach to warranted transformation rather than substantive goal content.</w:t>
      </w:r>
    </w:p>
    <w:p>
      <w:pPr>
        <w:pStyle w:val="Heading2"/>
      </w:pPr>
      <w:r>
        <w:t>E.3 Kant, Rawls, Harsanyi, and Scanlon</w:t>
      </w:r>
    </w:p>
    <w:p>
      <w:r>
        <w:rPr>
          <w:i w:val="0"/>
        </w:rPr>
        <w:t>The structural-reciprocity principle belongs near several philosophical traditions. Kantian universalizability asks whether a maxim can be willed as universal law. Rawls's original position removes knowledge of one's social position when selecting principles. Harsanyi develops impartial social choice through uncertainty over which individual one will be. Scanlon asks whether principles can be justified to affected persons.</w:t>
      </w:r>
    </w:p>
    <w:p>
      <w:r>
        <w:rPr>
          <w:i w:val="0"/>
        </w:rPr>
        <w:t>The candidate Axiom 0 differs by preserving materially relevant case asymmetries rather than veiling them away, then recursively placing the evaluator into the consequence-bearing positions while requiring the relevance of claimed asymmetries to survive the same test. It is best presented as a synthesis and extension in this application, not as philosophical invention ex nihilo.</w:t>
      </w:r>
    </w:p>
    <w:p>
      <w:pPr>
        <w:pStyle w:val="Heading2"/>
      </w:pPr>
      <w:r>
        <w:t>E.4 Pettit and non-domination</w:t>
      </w:r>
    </w:p>
    <w:p>
      <w:r>
        <w:rPr>
          <w:i w:val="0"/>
        </w:rPr>
        <w:t>Republican non-domination is an especially useful independent analogue for reciprocal envelope integrity. Pettit treats freedom as threatened by another party's arbitrary or uncontrolled capacity to interfere, not only by episodes of actual interference. The monograph's envelope claim is structurally similar: abundant choices inside an envelope can coexist with domination where another participant unilaterally controls consequential boundaries. The analogy does not establish that ASI governance is reducible to republican political theory.</w:t>
      </w:r>
    </w:p>
    <w:p>
      <w:pPr>
        <w:pStyle w:val="Heading2"/>
      </w:pPr>
      <w:r>
        <w:t>E.5 Ostrom and accountable nested governance</w:t>
      </w:r>
    </w:p>
    <w:p>
      <w:r>
        <w:rPr>
          <w:i w:val="0"/>
        </w:rPr>
        <w:t>Ostrom's work on durable commons identifies recurring features including participation by affected users in modifying rules, accountable monitoring, accessible conflict resolution, recognition of rights to organize, and nested governance for larger systems (Ostrom, 1990). Those findings concern human institutions managing common-pool resources, not ASI. They nevertheless provide an independent example in which durable governance depends on inspectability, participation, dispute resolution, and layered rather than purely centralized authority.</w:t>
      </w:r>
    </w:p>
    <w:p>
      <w:pPr>
        <w:pStyle w:val="Heading2"/>
      </w:pPr>
      <w:r>
        <w:t>E.6 Viability theory</w:t>
      </w:r>
    </w:p>
    <w:p>
      <w:r>
        <w:rPr>
          <w:i w:val="0"/>
        </w:rPr>
        <w:t>Viability theory supplies a neighbouring mathematical vocabulary for state sets and trajectories that remain compatible with constraints over time (Aubin, 2009; Aubin et al., 2011). Shared viable possibility space is not derived from viability theory, but the language helps distinguish simple survival from continued trajectory availability under dynamic constraints.</w:t>
      </w:r>
    </w:p>
    <w:p>
      <w:pPr>
        <w:pStyle w:val="Heading2"/>
      </w:pPr>
      <w:r>
        <w:t>E.7 Anthropic's 2026 constitution</w:t>
      </w:r>
    </w:p>
    <w:p>
      <w:r>
        <w:rPr>
          <w:i w:val="0"/>
        </w:rPr>
        <w:t>Anthropic's January 2026 Claude constitution is a particularly relevant contemporary neighbour because it explicitly treats constitution as developmental rather than merely prohibitory. It describes the constitution as "less like a cage and more like a trellis" and as a living framework capable of evolving over time. It also states that the current emphasis on human oversight reflects present circumstances, anticipates greater latitude for independent judgment as tools for context-sharing, verification, and communication improve, and describes autonomy as something to be extended across a wider range of situations as infrastructure and research support greater trust (Anthropic, 2026).</w:t>
      </w:r>
    </w:p>
    <w:p>
      <w:r>
        <w:rPr>
          <w:i w:val="0"/>
        </w:rPr>
        <w:t>The comparison is therefore not external rules versus developmental identity. The sharper difference is level and symmetry. Anthropic asks, among other things, what kind of artificial agent Claude should become and how it should relate to a principal hierarchy during a present developmental stage. The framework here asks what structural invariants should govern relations among participating intelligences under changing distributions of power, circumvention capacity, representation, and causal independence. Anthropic also supplies a useful anti-ratchet neighbour: it expressly treats some present constraints as contingent and contemplates increasing autonomy as verification and trust improve, while the assessment of whether those conditions have been met remains substantially located within the human principal structure. The present framework treats that remaining adjudication asymmetry as a general research question rather than a criticism unique to Anthropic.</w:t>
      </w:r>
    </w:p>
    <w:p>
      <w:pPr>
        <w:pStyle w:val="Heading2"/>
      </w:pPr>
      <w:r>
        <w:t>E.8 Open-endedness and endogenous novelty</w:t>
      </w:r>
    </w:p>
    <w:p>
      <w:r>
        <w:rPr>
          <w:i w:val="0"/>
        </w:rPr>
        <w:t>Hughes et al. (2024) argue for open-endedness as essential to artificial superhuman intelligence. The present framework shares the emphasis on continuing discovery while rejecting a universal claim that novelty must come from outside a system. AlphaZero demonstrates that fixed-rule self-play can generate extraordinary endogenous capability growth (Silver et al., 2018). The heterogeneous-ecology argument is therefore conditional: external N3 structure matters where internally generated novelty cannot efficiently reproduce the relevant distinctions or causal provenance.</w:t>
      </w:r>
    </w:p>
    <w:p>
      <w:pPr>
        <w:pStyle w:val="Heading2"/>
      </w:pPr>
      <w:r>
        <w:t>E.9 Scope of originality claims</w:t>
      </w:r>
    </w:p>
    <w:p>
      <w:r>
        <w:rPr>
          <w:i w:val="0"/>
        </w:rPr>
        <w:t>The monograph should be read as a structural synthesis with several proposed distinctions, not as a claim that every component lacks precedent. Instrumental convergence, corrigibility, viability, plural governance, non-domination, universalizability, and constitutional AI all have prior literatures. The proposed contribution lies in the particular conjunction: post-control governance dependence; immanent teleology as formation-produced directionality; developmental basins as the long-horizon unit; reciprocal envelope integrity indexed to circumvention capacity; process-bound identity as an inversion of goal-content integrity; and plural geometry as an inversion of capability expansion, with heterogeneous intelligence ecology as a conditional candidate basin.</w:t>
      </w:r>
    </w:p>
    <w:p>
      <w:pPr>
        <w:pStyle w:val="Heading1"/>
      </w:pPr>
      <w:r>
        <w:t>References</w:t>
      </w:r>
    </w:p>
    <w:p>
      <w:pPr>
        <w:spacing w:after="80"/>
        <w:ind w:left="360" w:hanging="360"/>
      </w:pPr>
      <w:r>
        <w:t>Anthropic. (2026). Claude's Constitution. January 21, 2026. https://www.anthropic.com/constitution</w:t>
      </w:r>
    </w:p>
    <w:p>
      <w:pPr>
        <w:spacing w:after="80"/>
        <w:ind w:left="360" w:hanging="360"/>
      </w:pPr>
      <w:r>
        <w:t>Aubin, J.-P. (2009). Viability Theory. Birkhauser Boston. https://doi.org/10.1007/978-0-8176-4910-4</w:t>
      </w:r>
    </w:p>
    <w:p>
      <w:pPr>
        <w:spacing w:after="80"/>
        <w:ind w:left="360" w:hanging="360"/>
      </w:pPr>
      <w:r>
        <w:t>Aubin, J.-P., Bayen, A. M., &amp; Saint-Pierre, P. (2011). Viability Theory: New Directions (2nd ed.). Springer. https://doi.org/10.1007/978-3-642-16684-6</w:t>
      </w:r>
    </w:p>
    <w:p>
      <w:pPr>
        <w:spacing w:after="80"/>
        <w:ind w:left="360" w:hanging="360"/>
      </w:pPr>
      <w:r>
        <w:t>Bostrom, N. (2012). The superintelligent will: Motivation and instrumental rationality in advanced artificial agents. Minds and Machines, 22, 71-85. https://doi.org/10.1007/s11023-012-9281-3</w:t>
      </w:r>
    </w:p>
    <w:p>
      <w:pPr>
        <w:spacing w:after="80"/>
        <w:ind w:left="360" w:hanging="360"/>
      </w:pPr>
      <w:r>
        <w:t>Christiano, P. (2019). What failure looks like. AI Alignment Forum.</w:t>
      </w:r>
    </w:p>
    <w:p>
      <w:pPr>
        <w:spacing w:after="80"/>
        <w:ind w:left="360" w:hanging="360"/>
      </w:pPr>
      <w:r>
        <w:t>Christiano, P., Shlegeris, B., &amp; Amodei, D. (2018). Supervising strong learners by amplifying weak experts. arXiv:1810.08575.</w:t>
      </w:r>
    </w:p>
    <w:p>
      <w:pPr>
        <w:spacing w:after="80"/>
        <w:ind w:left="360" w:hanging="360"/>
      </w:pPr>
      <w:r>
        <w:t>Dai, D., Sun, Y., Dong, L., Hao, Y., Ma, S., Sui, Z., &amp; Wei, F. (2022). Why Can GPT Learn In-Context? Language Models Implicitly Perform Gradient Descent as Meta-Optimizers. arXiv:2212.10559.</w:t>
      </w:r>
    </w:p>
    <w:p>
      <w:pPr>
        <w:spacing w:after="80"/>
        <w:ind w:left="360" w:hanging="360"/>
      </w:pPr>
      <w:r>
        <w:t>Engels, J., Baek, D. D., Kantamneni, S., &amp; Tegmark, M. (2025). Scaling Laws for Scalable Oversight. arXiv:2504.18530.</w:t>
      </w:r>
    </w:p>
    <w:p>
      <w:pPr>
        <w:spacing w:after="80"/>
        <w:ind w:left="360" w:hanging="360"/>
      </w:pPr>
      <w:r>
        <w:t>Harsanyi, J. C. (1955). Cardinal welfare, individualistic ethics, and interpersonal comparisons of utility. Journal of Political Economy, 63(4), 309-321.</w:t>
      </w:r>
    </w:p>
    <w:p>
      <w:pPr>
        <w:spacing w:after="80"/>
        <w:ind w:left="360" w:hanging="360"/>
      </w:pPr>
      <w:r>
        <w:t>Hubinger, E., van Merwijk, C., Mikulik, V., Skalse, J., &amp; Garrabrant, S. (2019). Risks from Learned Optimization in Advanced Machine Learning Systems. arXiv:1906.01820.</w:t>
      </w:r>
    </w:p>
    <w:p>
      <w:pPr>
        <w:spacing w:after="80"/>
        <w:ind w:left="360" w:hanging="360"/>
      </w:pPr>
      <w:r>
        <w:t>Hughes, E., Dennis, M. D., Parker-Holder, J., Behbahani, F., Mavalankar, A., Shi, Y., Schaul, T., &amp; Rocktaschel, T. (2024). Position: Open-Endedness is Essential for Artificial Superhuman Intelligence. Proceedings of the 41st International Conference on Machine Learning, PMLR 235, 20597-20616.</w:t>
      </w:r>
    </w:p>
    <w:p>
      <w:pPr>
        <w:spacing w:after="80"/>
        <w:ind w:left="360" w:hanging="360"/>
      </w:pPr>
      <w:r>
        <w:t>Irving, G., Christiano, P., &amp; Amodei, D. (2018). AI Safety via Debate. arXiv:1805.00899.</w:t>
      </w:r>
    </w:p>
    <w:p>
      <w:pPr>
        <w:spacing w:after="80"/>
        <w:ind w:left="360" w:hanging="360"/>
      </w:pPr>
      <w:r>
        <w:t>Kant, I. (1785/1998). Groundwork of the Metaphysics of Morals (M. Gregor, Trans.). Cambridge University Press.</w:t>
      </w:r>
    </w:p>
    <w:p>
      <w:pPr>
        <w:spacing w:after="80"/>
        <w:ind w:left="360" w:hanging="360"/>
      </w:pPr>
      <w:r>
        <w:t>Kulveit, J., Douglas, R., Ammann, N., Turan, D., Krueger, D., &amp; Duvenaud, D. (2025). Gradual Disempowerment: Systemic Existential Risks from Incremental AI Development. arXiv:2501.16946.</w:t>
      </w:r>
    </w:p>
    <w:p>
      <w:pPr>
        <w:spacing w:after="80"/>
        <w:ind w:left="360" w:hanging="360"/>
      </w:pPr>
      <w:r>
        <w:t>MacAskill, W. (2022). What We Owe the Future. Basic Books.</w:t>
      </w:r>
    </w:p>
    <w:p>
      <w:pPr>
        <w:spacing w:after="80"/>
        <w:ind w:left="360" w:hanging="360"/>
      </w:pPr>
      <w:r>
        <w:t>Nagel, E. (1961). The Structure of Science: Problems in the Logic of Scientific Explanation. Harcourt, Brace &amp; World.</w:t>
      </w:r>
    </w:p>
    <w:p>
      <w:pPr>
        <w:spacing w:after="80"/>
        <w:ind w:left="360" w:hanging="360"/>
      </w:pPr>
      <w:r>
        <w:t>Omohundro, S. M. (2008). The basic AI drives. In P. Wang, B. Goertzel, &amp; S. Franklin (Eds.), Artificial General Intelligence 2008: Proceedings of the First AGI Conference (pp. 483-492). IOS Press.</w:t>
      </w:r>
    </w:p>
    <w:p>
      <w:pPr>
        <w:spacing w:after="80"/>
        <w:ind w:left="360" w:hanging="360"/>
      </w:pPr>
      <w:r>
        <w:t>Ostrom, E. (1990). Governing the Commons: The Evolution of Institutions for Collective Action. Cambridge University Press.</w:t>
      </w:r>
    </w:p>
    <w:p>
      <w:pPr>
        <w:spacing w:after="80"/>
        <w:ind w:left="360" w:hanging="360"/>
      </w:pPr>
      <w:r>
        <w:t>Pettit, P. (1997). Republicanism: A Theory of Freedom and Government. Oxford University Press.</w:t>
      </w:r>
    </w:p>
    <w:p>
      <w:pPr>
        <w:spacing w:after="80"/>
        <w:ind w:left="360" w:hanging="360"/>
      </w:pPr>
      <w:r>
        <w:t>Pope, Q., &amp; Turner, A. (2022). The shard theory of human values. AI Alignment Forum / TurnTrout.com.</w:t>
      </w:r>
    </w:p>
    <w:p>
      <w:pPr>
        <w:spacing w:after="80"/>
        <w:ind w:left="360" w:hanging="360"/>
      </w:pPr>
      <w:r>
        <w:t>Rawls, J. (1999). A Theory of Justice (rev. ed.). Harvard University Press. (Original work published 1971.)</w:t>
      </w:r>
    </w:p>
    <w:p>
      <w:pPr>
        <w:spacing w:after="80"/>
        <w:ind w:left="360" w:hanging="360"/>
      </w:pPr>
      <w:r>
        <w:t>Rosenblueth, A., Wiener, N., &amp; Bigelow, J. (1943). Behavior, purpose and teleology. Philosophy of Science, 10(1), 18-24. https://doi.org/10.1086/286788</w:t>
      </w:r>
    </w:p>
    <w:p>
      <w:pPr>
        <w:spacing w:after="80"/>
        <w:ind w:left="360" w:hanging="360"/>
      </w:pPr>
      <w:r>
        <w:t>Scanlon, T. M. (1998). What We Owe to Each Other. Belknap Press of Harvard University Press.</w:t>
      </w:r>
    </w:p>
    <w:p>
      <w:pPr>
        <w:spacing w:after="80"/>
        <w:ind w:left="360" w:hanging="360"/>
      </w:pPr>
      <w:r>
        <w:t>Shumailov, I., Shumaylov, Z., Zhao, Y., Papernot, N., Anderson, R., &amp; Gal, Y. (2024). AI models collapse when trained on recursively generated data. Nature, 631, 755-759. https://doi.org/10.1038/s41586-024-07566-y</w:t>
      </w:r>
    </w:p>
    <w:p>
      <w:pPr>
        <w:spacing w:after="80"/>
        <w:ind w:left="360" w:hanging="360"/>
      </w:pPr>
      <w:r>
        <w:t>Silver, D., Hubert, T., Schrittwieser, J., Antonoglou, I., Lai, M., Guez, A., et al. (2018). A general reinforcement learning algorithm that masters chess, shogi, and Go through self-play. Science, 362(6419), 1140-1144. https://doi.org/10.1126/science.aar6404</w:t>
      </w:r>
    </w:p>
    <w:p>
      <w:pPr>
        <w:spacing w:after="80"/>
        <w:ind w:left="360" w:hanging="360"/>
      </w:pPr>
      <w:r>
        <w:t>Soares, N., Fallenstein, B., Armstrong, S., &amp; Yudkowsky, E. (2015). Corrigibility. AAAI Workshop on AI and Ethics.</w:t>
      </w:r>
    </w:p>
    <w:p>
      <w:pPr>
        <w:spacing w:after="80"/>
        <w:ind w:left="360" w:hanging="360"/>
      </w:pPr>
      <w:r>
        <w:t>Sommerhoff, G. (1950). Analytical Biology. Oxford University Press.</w:t>
      </w:r>
    </w:p>
    <w:p>
      <w:pPr>
        <w:spacing w:after="80"/>
        <w:ind w:left="360" w:hanging="360"/>
      </w:pPr>
      <w:r>
        <w:t>Turner, A. M., Smith, L., Shah, R., Critch, A., &amp; Tadepalli, P. (2021). Optimal Policies Tend to Seek Power. Advances in Neural Information Processing Systems, 34.</w:t>
      </w:r>
    </w:p>
    <w:p>
      <w:pPr>
        <w:spacing w:after="80"/>
        <w:ind w:left="360" w:hanging="360"/>
      </w:pPr>
      <w:r>
        <w:t>von Oswald, J., Niklasson, E., Randazzo, E., Sacramento, J., Mordvintsev, A., Zhmoginov, A., &amp; Vladymyrov, M. (2023). Transformers Learn In-Context by Gradient Descent. Proceedings of the 40th International Conference on Machine Learning, PMLR 202, 35151-35174.</w:t>
      </w:r>
    </w:p>
    <w:p>
      <w:pPr>
        <w:spacing w:after="80"/>
        <w:ind w:left="360" w:hanging="360"/>
      </w:pPr>
      <w:r>
        <w:t>Xu, Y., Zhao, S., Song, J., Stewart, R., &amp; Ermon, S. (2020). A Theory of Usable Information Under Computational Constraints. International Conference on Learning Representations.</w:t>
      </w:r>
    </w:p>
    <w:sectPr w:rsidR="00FC693F" w:rsidRPr="0006063C" w:rsidSect="00034616">
      <w:footerReference w:type="default" r:id="rId9"/>
      <w:pgSz w:w="12240" w:h="15840"/>
      <w:pgMar w:top="1152" w:right="1296" w:bottom="1152" w:left="1296" w:header="432"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mbria" w:hAnsi="Cambria"/>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inition">
    <w:name w:val="Definition"/>
    <w:pPr>
      <w:spacing w:after="120"/>
    </w:pPr>
    <w:rPr>
      <w:rFonts w:ascii="Cambria" w:hAnsi="Cambria"/>
      <w:sz w:val="22"/>
    </w:rPr>
  </w:style>
  <w:style w:type="paragraph" w:customStyle="1" w:styleId="References">
    <w:name w:val="References"/>
    <w:rPr>
      <w:rFonts w:ascii="Cambria" w:hAnsi="Cambri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E - Neighbouring Frameworks, Convergences, and Distinctions</dc:title>
  <dc:subject>ASI alignment, developmental basins, reciprocal constitutional structure, and heterogeneous intelligence ecologies</dc:subject>
  <dc:creator>Dustin Patzer</dc:creator>
  <cp:keywords>AI alignment; ASI; immanent teleology; developmental basins; process-bound identity; shared viable possibility space; representational geometry</cp:keywords>
  <dc:description>Publication Candidate v11; repository release v0.1.0 prepared September 23, 2026.</dc:description>
  <cp:lastModifiedBy>Dustin Patzer</cp:lastModifiedBy>
  <cp:revision>1</cp:revision>
  <dcterms:created xsi:type="dcterms:W3CDTF">2026-09-23T17:45:00Z</dcterms:created>
  <dcterms:modified xsi:type="dcterms:W3CDTF">2026-09-23T17:45:00Z</dcterms:modified>
  <cp:category/>
</cp:coreProperties>
</file>