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A4C08"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1. Inicio</w:t>
      </w:r>
    </w:p>
    <w:p w14:paraId="39637BA4"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Texto de bienvenida sugerido para la página principal:</w:t>
      </w:r>
    </w:p>
    <w:p w14:paraId="53816067"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3. Consecuencias</w:t>
      </w:r>
    </w:p>
    <w:p w14:paraId="255C3027"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Cuando el estrés académico no se maneja adecuadamente, sus efectos repercuten en distintas dimensiones de la vida del estudiante:</w:t>
      </w:r>
    </w:p>
    <w:p w14:paraId="5CB00EC0"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Consecuencias físicas</w:t>
      </w:r>
    </w:p>
    <w:p w14:paraId="6932B9A2"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Actividad cardíaca aumentada e hipertensión.</w:t>
      </w:r>
    </w:p>
    <w:p w14:paraId="5A086C8B"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Respiración acelerada y elevación de hormonas suprarrenales (cortisol).</w:t>
      </w:r>
    </w:p>
    <w:p w14:paraId="1038F188"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Migrañas, sudoración excesiva y temblores involuntarios.</w:t>
      </w:r>
    </w:p>
    <w:p w14:paraId="7396AA7F"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Dolores físicos y fluctuaciones de peso, además de alteración de los patrones de sueño (de la Fuente et al., 2020).</w:t>
      </w:r>
    </w:p>
    <w:p w14:paraId="7617BDE6"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Consecuencias psicológicas</w:t>
      </w:r>
    </w:p>
    <w:p w14:paraId="07DD12D3"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Estados depresivos, ansiedad e irritabilidad.</w:t>
      </w:r>
    </w:p>
    <w:p w14:paraId="4727DC47"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Descenso de la autoestima e insomnio (Caldera, Pulido y Martínez, 2007).</w:t>
      </w:r>
    </w:p>
    <w:p w14:paraId="5F3A6F6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Agotamiento académico: pérdida progresiva de energía, motivación y compromiso con las tareas.</w:t>
      </w:r>
    </w:p>
    <w:p w14:paraId="5FD09390"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Consecuencias académicas y sociales</w:t>
      </w:r>
    </w:p>
    <w:p w14:paraId="5FB9F0A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Bajo rendimiento académico y menor logro de aprendizaje.</w:t>
      </w:r>
    </w:p>
    <w:p w14:paraId="7B51FB60"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Desmotivación hacia los estudios, que puede derivar en abandono universitario.</w:t>
      </w:r>
    </w:p>
    <w:p w14:paraId="1325815F"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Conflictos interpersonales y aislamiento social.</w:t>
      </w:r>
    </w:p>
    <w:p w14:paraId="20E0D7C8"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Mayor probabilidad de adoptar conductas de riesgo para la salud, como sedentarismo, malos hábitos alimenticios o consumo de alcohol.</w:t>
      </w:r>
    </w:p>
    <w:p w14:paraId="1EF27A61" w14:textId="77777777" w:rsidR="00643D45" w:rsidRDefault="00643D45" w:rsidP="0038283C">
      <w:pPr>
        <w:spacing w:before="75" w:after="225" w:line="240" w:lineRule="auto"/>
        <w:rPr>
          <w:rFonts w:ascii="-webkit-standard" w:hAnsi="-webkit-standard" w:cs="Times New Roman"/>
          <w:i/>
          <w:iCs/>
          <w:color w:val="777777"/>
          <w:kern w:val="0"/>
          <w14:ligatures w14:val="none"/>
        </w:rPr>
      </w:pPr>
    </w:p>
    <w:p w14:paraId="2E980D54" w14:textId="01E3E5C5" w:rsidR="0038283C" w:rsidRPr="0038283C" w:rsidRDefault="0038283C" w:rsidP="0038283C">
      <w:pPr>
        <w:spacing w:before="75"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i/>
          <w:iCs/>
          <w:color w:val="777777"/>
          <w:kern w:val="0"/>
          <w14:ligatures w14:val="none"/>
        </w:rPr>
        <w:t>Fuente(s): de la Fuente et al. (2020), citado en UNIR México (2026); Caldera, Pulido y Martínez (2007), citado en Pepsic-BVS; Scielo Costa Rica (2022), estudio Puno-Perú; Scielo Perú (2021), Kiekens et al. (2016); Damásio et al. (2017).</w:t>
      </w:r>
    </w:p>
    <w:p w14:paraId="1A44173A"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4. Acciones de promoción de la salud para prevenir el estrés académico</w:t>
      </w:r>
    </w:p>
    <w:p w14:paraId="413BB907"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La Organización Mundial de la Salud (OMS), a través de la Carta de Ottawa (1986), define la promoción de la salud como el proceso que permite a las personas incrementar el control sobre su salud y mejorarla. Es decir, va más allá de la atención médica: busca generar entornos, habilidades y políticas que favorezcan el bienestar.</w:t>
      </w:r>
    </w:p>
    <w:p w14:paraId="2B361AC9"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lastRenderedPageBreak/>
        <w:t>Las 5 áreas de acción de la Carta de Ottawa aplicadas al entorno universitario</w:t>
      </w:r>
    </w:p>
    <w:p w14:paraId="55AE514F"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Construir políticas públicas saludables: reglamentos universitarios que consideren cargas académicas razonables y bienestar estudiantil.</w:t>
      </w:r>
    </w:p>
    <w:p w14:paraId="1B7217B2"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Crear entornos favorables: espacios físicos y virtuales que reduzcan factores estresantes (áreas de descanso, horarios flexibles, ambientes de estudio adecuados).</w:t>
      </w:r>
    </w:p>
    <w:p w14:paraId="0303D2E5"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Reforzar la acción comunitaria: grupos de apoyo estudiantil, tutorías entre pares y actividades de bienestar organizadas por la carrera.</w:t>
      </w:r>
    </w:p>
    <w:p w14:paraId="44BE5CC1"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Desarrollar aptitudes personales: talleres de manejo del estrés, organización del tiempo y habilidades de afrontamiento.</w:t>
      </w:r>
    </w:p>
    <w:p w14:paraId="55F92F7B"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Reorientar los servicios de salud: fortalecer los servicios de bienestar estudiantil y salud mental dentro de la institución.</w:t>
      </w:r>
    </w:p>
    <w:p w14:paraId="539F6A95"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Posteriormente, la Declaración de Yakarta (OMS, 1997) amplió esta visión estableciendo cinco prioridades: promover la responsabilidad social por la salud, aumentar las inversiones en salud, consolidar alianzas estratégicas, ampliar la capacidad de las comunidades y empoderar al individuo, y consolidar la infraestructura para la promoción de la salud.</w:t>
      </w:r>
    </w:p>
    <w:p w14:paraId="25C8BB5C" w14:textId="77777777" w:rsidR="0038283C" w:rsidRPr="0038283C" w:rsidRDefault="0038283C" w:rsidP="0038283C">
      <w:pPr>
        <w:pBdr>
          <w:bottom w:val="single" w:sz="6" w:space="0" w:color="1F5C8B"/>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26"/>
          <w:szCs w:val="26"/>
          <w14:ligatures w14:val="none"/>
        </w:rPr>
        <w:t xml:space="preserve">Datos curiosos </w:t>
      </w:r>
      <w:r w:rsidRPr="0038283C">
        <w:rPr>
          <w:rFonts w:ascii="Apple Color Emoji" w:hAnsi="Apple Color Emoji" w:cs="Apple Color Emoji"/>
          <w:b/>
          <w:bCs/>
          <w:color w:val="1F5C8B"/>
          <w:kern w:val="0"/>
          <w:sz w:val="26"/>
          <w:szCs w:val="26"/>
          <w14:ligatures w14:val="none"/>
        </w:rPr>
        <w:t>💡</w:t>
      </w:r>
    </w:p>
    <w:p w14:paraId="48A8B774" w14:textId="751E6A69" w:rsidR="0038283C" w:rsidRPr="0038283C" w:rsidRDefault="0038283C" w:rsidP="00B31932">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p>
    <w:p w14:paraId="0B92AED1" w14:textId="77777777" w:rsidR="0038283C" w:rsidRPr="0038283C" w:rsidRDefault="0038283C" w:rsidP="0038283C">
      <w:pPr>
        <w:spacing w:before="75"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i/>
          <w:iCs/>
          <w:color w:val="777777"/>
          <w:kern w:val="0"/>
          <w14:ligatures w14:val="none"/>
        </w:rPr>
        <w:t>Fuente(s): Organización Mundial de la Salud, Carta de Ottawa (1986); Wikipedia ES – Promoción de la Salud (revisión 2026), con base en OMS, Declaración de Yakarta (1997).</w:t>
      </w:r>
    </w:p>
    <w:p w14:paraId="15493AF4"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5. Autocuidado – Hábitos saludables</w:t>
      </w:r>
    </w:p>
    <w:p w14:paraId="356770DE"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Calidad del sueño</w:t>
      </w:r>
    </w:p>
    <w:p w14:paraId="5C61C066"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Los estudiantes universitarios con mala calidad de sueño reportan ser más sedentarios, realizar menos actividad física y tener una menor calidad de vida relacionada con la salud. Dormir 6 horas o menos al día se asocia significativamente con estos factores de riesgo. La relación entre el estrés y la calidad del sueño es inversamente proporcional: a mayor estrés percibido, menor calidad de sueño.</w:t>
      </w:r>
    </w:p>
    <w:p w14:paraId="2D1EFB6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Evita el consumo de cafeína, alcohol y pantallas antes de dormir, ya que afectan el ritmo circadiano.</w:t>
      </w:r>
    </w:p>
    <w:p w14:paraId="189F3294"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Mantén un horario regular de sueño, incluso los fines de semana.</w:t>
      </w:r>
    </w:p>
    <w:p w14:paraId="2E6405EC"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Alimentación</w:t>
      </w:r>
    </w:p>
    <w:p w14:paraId="4E440460"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Una investigación realizada en España con 1055 estudiantes universitarios encontró una conexión significativa entre la alimentación no saludable y la presencia de depresión, ansiedad y estrés. El bajo consumo de verduras y hortalizas se asoció también con mayores niveles de ansiedad, depresión e insomnio.</w:t>
      </w:r>
    </w:p>
    <w:p w14:paraId="2268C852"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lastRenderedPageBreak/>
        <w:t>• </w:t>
      </w:r>
      <w:r w:rsidRPr="0038283C">
        <w:rPr>
          <w:rFonts w:ascii="-webkit-standard" w:eastAsia="Times New Roman" w:hAnsi="-webkit-standard" w:cs="Times New Roman"/>
          <w:color w:val="444444"/>
          <w:kern w:val="0"/>
          <w:sz w:val="26"/>
          <w:szCs w:val="26"/>
          <w14:ligatures w14:val="none"/>
        </w:rPr>
        <w:t>Incluye frutas, verduras y suficiente agua en tu día a día.</w:t>
      </w:r>
    </w:p>
    <w:p w14:paraId="28D9A56B"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Evita el exceso de comida procesada y bebidas con alto contenido de azúcar o cafeína.</w:t>
      </w:r>
    </w:p>
    <w:p w14:paraId="40ABB31E"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Actividad física</w:t>
      </w:r>
    </w:p>
    <w:p w14:paraId="1603570C"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La OMS recomienda realizar ejercicio físico durante 30 minutos, entre 5 y 7 veces por semana. La actividad física sostenida favorece que los estudiantes afronten el estrés y disminuyan su intensidad, gracias a su relación con la resiliencia y la regulación emocional.</w:t>
      </w:r>
    </w:p>
    <w:p w14:paraId="192F365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Caminar, andar en bicicleta o practicar algún deporte de forma regular mejora tanto el ánimo como la calidad del sueño.</w:t>
      </w:r>
    </w:p>
    <w:p w14:paraId="434445F4"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Incluso pequeñas rutinas de actividad física (2 horas semanales) impactan positivamente en el bienestar subjetivo.</w:t>
      </w:r>
    </w:p>
    <w:p w14:paraId="2D3C6AC6"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Descanso</w:t>
      </w:r>
    </w:p>
    <w:p w14:paraId="01D8EC33"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Los espacios de descanso son fundamentales para equilibrar el estado de ánimo y sostener el ritmo de vida académico. Dormir y descansar adecuadamente es tan importante para la salud como la alimentación y la actividad física.</w:t>
      </w:r>
    </w:p>
    <w:p w14:paraId="79EA11D4" w14:textId="77777777" w:rsidR="0038283C" w:rsidRPr="0038283C" w:rsidRDefault="0038283C" w:rsidP="0038283C">
      <w:pPr>
        <w:pBdr>
          <w:bottom w:val="single" w:sz="6" w:space="0" w:color="1F5C8B"/>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26"/>
          <w:szCs w:val="26"/>
          <w14:ligatures w14:val="none"/>
        </w:rPr>
        <w:t xml:space="preserve">Datos curiosos </w:t>
      </w:r>
      <w:r w:rsidRPr="0038283C">
        <w:rPr>
          <w:rFonts w:ascii="Apple Color Emoji" w:hAnsi="Apple Color Emoji" w:cs="Apple Color Emoji"/>
          <w:b/>
          <w:bCs/>
          <w:color w:val="1F5C8B"/>
          <w:kern w:val="0"/>
          <w:sz w:val="26"/>
          <w:szCs w:val="26"/>
          <w14:ligatures w14:val="none"/>
        </w:rPr>
        <w:t>💡</w:t>
      </w:r>
    </w:p>
    <w:p w14:paraId="23BADFCA"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En un estudio con estudiantes de Medicina, solo el 20.97% cumplía con la recomendación de actividad física de la OMS; es decir, 8 de cada 10 universitarios no la cumplían.</w:t>
      </w:r>
    </w:p>
    <w:p w14:paraId="532816D5"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A nivel mundial, la mala calidad de sueño afecta entre el 12% y el 40% de la población, según estudios epidemiológicos.</w:t>
      </w:r>
    </w:p>
    <w:p w14:paraId="4400CA09" w14:textId="77777777" w:rsidR="0038283C" w:rsidRPr="0038283C" w:rsidRDefault="0038283C" w:rsidP="0038283C">
      <w:pPr>
        <w:pBdr>
          <w:bottom w:val="single" w:sz="6" w:space="0" w:color="2F7A5F"/>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6"/>
          <w:szCs w:val="26"/>
          <w14:ligatures w14:val="none"/>
        </w:rPr>
        <w:t xml:space="preserve">Pregunta de retroalimentación </w:t>
      </w:r>
      <w:r w:rsidRPr="0038283C">
        <w:rPr>
          <w:rFonts w:ascii="Apple Color Emoji" w:hAnsi="Apple Color Emoji" w:cs="Apple Color Emoji"/>
          <w:b/>
          <w:bCs/>
          <w:color w:val="2F7A5F"/>
          <w:kern w:val="0"/>
          <w:sz w:val="26"/>
          <w:szCs w:val="26"/>
          <w14:ligatures w14:val="none"/>
        </w:rPr>
        <w:t>❓</w:t>
      </w:r>
    </w:p>
    <w:p w14:paraId="6D53A13F"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De los cuatro hábitos (sueño, alimentación, actividad física y descanso), ¿cuál necesitas mejorar primero y qué acción concreta podrías tomar esta semana?</w:t>
      </w:r>
    </w:p>
    <w:p w14:paraId="3C5DCFE5"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¿Cuántas horas duermes en promedio y cuántas veces por semana realizas actividad física?</w:t>
      </w:r>
    </w:p>
    <w:p w14:paraId="75FD4E25" w14:textId="77777777" w:rsidR="0038283C" w:rsidRPr="0038283C" w:rsidRDefault="0038283C" w:rsidP="0038283C">
      <w:pPr>
        <w:spacing w:before="75"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i/>
          <w:iCs/>
          <w:color w:val="777777"/>
          <w:kern w:val="0"/>
          <w14:ligatures w14:val="none"/>
        </w:rPr>
        <w:t>Fuente(s): Scielo Chile (2023), Estilos de vida y calidad del sueño; Scielo Perú (2021), Estrés académico en universitarios peruanos; Scielo Perú (2021), Medicina del estilo de vida y calidad del sueño; ScientiaRVM (2025), Factores que afectan la calidad del sueño; Redalyc (2020), Calidad del sueño en estudiantes de ingeniería.</w:t>
      </w:r>
    </w:p>
    <w:p w14:paraId="11ABC600"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6. Estrategias de manejo</w:t>
      </w:r>
    </w:p>
    <w:p w14:paraId="05D79857"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Técnicas de relajación: respiración profunda</w:t>
      </w:r>
    </w:p>
    <w:p w14:paraId="3AFBE6C5"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 xml:space="preserve">Ejercicios simples como la respiración diafragmática o la técnica 4-7-8 (inhalar en 4 segundos, retener en 7 y exhalar en 8) ayudan a calmar el sistema nervioso y reducir la sensación de ansiedad de forma inmediata. Estudios muestran que realizar 5 minutos de respiración consciente antes </w:t>
      </w:r>
      <w:r w:rsidRPr="0038283C">
        <w:rPr>
          <w:rFonts w:ascii="-webkit-standard" w:hAnsi="-webkit-standard" w:cs="Times New Roman"/>
          <w:color w:val="444444"/>
          <w:kern w:val="0"/>
          <w:sz w:val="26"/>
          <w:szCs w:val="26"/>
          <w14:ligatures w14:val="none"/>
        </w:rPr>
        <w:lastRenderedPageBreak/>
        <w:t>de estudiar o rendir un examen no solo reduce la activación fisiológica del estrés, sino que también mejora el rendimiento académico y disminuye el agotamiento mental.</w:t>
      </w:r>
    </w:p>
    <w:p w14:paraId="6CD0F100"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Organización del tiempo</w:t>
      </w:r>
    </w:p>
    <w:p w14:paraId="26BA7A3F"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La planificación efectiva es una herramienta fundamental para reducir el estrés y mejorar la eficiencia académica. Organizar tareas y actividades de manera sistemática permite manejar mejor las responsabilidades y evitar la sensación de estar abrumado.</w:t>
      </w:r>
    </w:p>
    <w:p w14:paraId="5AF09648"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Usa calendarios digitales o físicos para anotar fechas de exámenes, entregas y eventos importantes.</w:t>
      </w:r>
    </w:p>
    <w:p w14:paraId="5AC2285D"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Divide las tareas grandes en pasos más pequeños y establece prioridades.</w:t>
      </w:r>
    </w:p>
    <w:p w14:paraId="65935A50"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Pausas activas</w:t>
      </w:r>
    </w:p>
    <w:p w14:paraId="60FCA9CB"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Introducir pausas de 1 a 3 minutos entre clases o bloques de estudio —ya sean de estiramiento, movimiento o respiración consciente— ayuda a “resetear” la atención y reduce la fatiga mental acumulada durante la jornada académica.</w:t>
      </w:r>
    </w:p>
    <w:p w14:paraId="580ABED1"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Mindfulness</w:t>
      </w:r>
    </w:p>
    <w:p w14:paraId="2F472B3F"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El mindfulness (atención plena) consiste en prestar atención consciente al cuerpo, la respiración, los pensamientos y las emociones en el momento presente. Un estudio con 54 estudiantes universitarios que aplicó un programa de mindfulness de 8 semanas logró una reducción significativa del estrés académico, medido con el Inventario SISCO. Además, la práctica sostenida de mindfulness se ha relacionado con una reducción de los niveles de cortisol (la hormona del estrés) y con mejoras en la memoria y la concentración.</w:t>
      </w:r>
    </w:p>
    <w:p w14:paraId="5852E920" w14:textId="77777777" w:rsidR="0038283C" w:rsidRPr="0038283C" w:rsidRDefault="0038283C" w:rsidP="0038283C">
      <w:pPr>
        <w:pBdr>
          <w:bottom w:val="single" w:sz="6" w:space="0" w:color="1F5C8B"/>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26"/>
          <w:szCs w:val="26"/>
          <w14:ligatures w14:val="none"/>
        </w:rPr>
        <w:t xml:space="preserve">Datos curiosos </w:t>
      </w:r>
      <w:r w:rsidRPr="0038283C">
        <w:rPr>
          <w:rFonts w:ascii="Apple Color Emoji" w:hAnsi="Apple Color Emoji" w:cs="Apple Color Emoji"/>
          <w:b/>
          <w:bCs/>
          <w:color w:val="1F5C8B"/>
          <w:kern w:val="0"/>
          <w:sz w:val="26"/>
          <w:szCs w:val="26"/>
          <w14:ligatures w14:val="none"/>
        </w:rPr>
        <w:t>💡</w:t>
      </w:r>
    </w:p>
    <w:p w14:paraId="474620B6" w14:textId="7C7AF42F" w:rsidR="0038283C" w:rsidRPr="0038283C" w:rsidRDefault="0038283C" w:rsidP="00652C86">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p>
    <w:p w14:paraId="6861B444" w14:textId="77777777" w:rsidR="0038283C" w:rsidRPr="0038283C" w:rsidRDefault="0038283C" w:rsidP="0038283C">
      <w:pPr>
        <w:spacing w:before="75"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i/>
          <w:iCs/>
          <w:color w:val="777777"/>
          <w:kern w:val="0"/>
          <w14:ligatures w14:val="none"/>
        </w:rPr>
        <w:t>Fuente(s): Palt.es (2024), 5 estrategias para gestionar el estrés; Asociación Educar (2026), Mindfulness y estudio; Scielo Chile (2019), Incidencia del mindfulness en el estrés académico; Mundo Bienestar (2025), Mindfulness para estudiantes; Colegio San Ángel (2024), Eficacia del mindfulness en el aula.</w:t>
      </w:r>
    </w:p>
    <w:p w14:paraId="074D7FDB"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7. Recursos digitales</w:t>
      </w:r>
    </w:p>
    <w:p w14:paraId="432E9E4B"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Existen múltiples herramientas digitales, gratuitas o con versión gratuita, que pueden apoyar la gestión del estrés académico. Se recomienda usarlas como complemento, no como sustituto, del apoyo profesional cuando sea necesario.</w:t>
      </w:r>
    </w:p>
    <w:p w14:paraId="6E7B83C0"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Aplicaciones sugeridas</w:t>
      </w:r>
    </w:p>
    <w:p w14:paraId="137A5B28"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lastRenderedPageBreak/>
        <w:t>• </w:t>
      </w:r>
      <w:r w:rsidRPr="0038283C">
        <w:rPr>
          <w:rFonts w:ascii="-webkit-standard" w:eastAsia="Times New Roman" w:hAnsi="-webkit-standard" w:cs="Times New Roman"/>
          <w:color w:val="444444"/>
          <w:kern w:val="0"/>
          <w:sz w:val="26"/>
          <w:szCs w:val="26"/>
          <w14:ligatures w14:val="none"/>
        </w:rPr>
        <w:t>Apps de meditación y mindfulness guiada (por ejemplo, Calm o Headspace), útiles para establecer una base de práctica antes de meditar de forma independiente.</w:t>
      </w:r>
    </w:p>
    <w:p w14:paraId="5807D17D"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Apps de organización del tiempo y calendarios digitales (por ejemplo, Google Calendar), para programar recordatorios de exámenes y entregas.</w:t>
      </w:r>
    </w:p>
    <w:p w14:paraId="3EFC9EF2"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Otros materiales de apoyo</w:t>
      </w:r>
    </w:p>
    <w:p w14:paraId="7C6A9163"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Videos educativos sobre respiración diafragmática, pausas activas y mindfulness.</w:t>
      </w:r>
    </w:p>
    <w:p w14:paraId="1F587D40"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Material informativo de organismos oficiales de salud sobre manejo del estrés y salud mental.</w:t>
      </w:r>
    </w:p>
    <w:p w14:paraId="20C9C483"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Podcasts o audios breves de relajación guiada para usar entre sesiones de estudio.</w:t>
      </w:r>
    </w:p>
    <w:p w14:paraId="77849B45" w14:textId="77777777" w:rsidR="0038283C" w:rsidRPr="0038283C" w:rsidRDefault="0038283C" w:rsidP="0038283C">
      <w:pPr>
        <w:pBdr>
          <w:bottom w:val="single" w:sz="6" w:space="0" w:color="1F5C8B"/>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26"/>
          <w:szCs w:val="26"/>
          <w14:ligatures w14:val="none"/>
        </w:rPr>
        <w:t xml:space="preserve">Datos curiosos </w:t>
      </w:r>
      <w:r w:rsidRPr="0038283C">
        <w:rPr>
          <w:rFonts w:ascii="Apple Color Emoji" w:hAnsi="Apple Color Emoji" w:cs="Apple Color Emoji"/>
          <w:b/>
          <w:bCs/>
          <w:color w:val="1F5C8B"/>
          <w:kern w:val="0"/>
          <w:sz w:val="26"/>
          <w:szCs w:val="26"/>
          <w14:ligatures w14:val="none"/>
        </w:rPr>
        <w:t>💡</w:t>
      </w:r>
    </w:p>
    <w:p w14:paraId="0EA32837" w14:textId="0AC3FFB1" w:rsidR="0038283C" w:rsidRPr="0038283C" w:rsidRDefault="0038283C" w:rsidP="00BE78F4">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p>
    <w:p w14:paraId="244A77D0" w14:textId="77777777" w:rsidR="0038283C" w:rsidRPr="0038283C" w:rsidRDefault="0038283C" w:rsidP="0038283C">
      <w:pPr>
        <w:spacing w:before="75"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i/>
          <w:iCs/>
          <w:color w:val="777777"/>
          <w:kern w:val="0"/>
          <w14:ligatures w14:val="none"/>
        </w:rPr>
        <w:t>Fuente(s): Mundo Bienestar (2025), Mindfulness para estudiantes; Palt.es (2024), Estrategias para gestionar el estrés.</w:t>
      </w:r>
    </w:p>
    <w:p w14:paraId="57E32906" w14:textId="77777777" w:rsidR="0038283C" w:rsidRPr="0038283C" w:rsidRDefault="0038283C" w:rsidP="0038283C">
      <w:pPr>
        <w:spacing w:after="0" w:line="240" w:lineRule="auto"/>
        <w:rPr>
          <w:rFonts w:ascii="Times New Roman" w:eastAsia="Times New Roman" w:hAnsi="Times New Roman" w:cs="Times New Roman"/>
          <w:kern w:val="0"/>
          <w14:ligatures w14:val="none"/>
        </w:rPr>
      </w:pPr>
    </w:p>
    <w:p w14:paraId="3BB45B70" w14:textId="77777777" w:rsidR="0038283C" w:rsidRDefault="0038283C"/>
    <w:sectPr w:rsidR="003828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kit-standard">
    <w:altName w:val="Cambria"/>
    <w:charset w:val="00"/>
    <w:family w:val="roman"/>
    <w:pitch w:val="default"/>
  </w:font>
  <w:font w:name="Apple Color Emoji">
    <w:altName w:val="Calibri"/>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83C"/>
    <w:rsid w:val="00013D13"/>
    <w:rsid w:val="000A0B9E"/>
    <w:rsid w:val="000C5712"/>
    <w:rsid w:val="002F5BCE"/>
    <w:rsid w:val="00342BEB"/>
    <w:rsid w:val="0038283C"/>
    <w:rsid w:val="003E000B"/>
    <w:rsid w:val="005C6296"/>
    <w:rsid w:val="00643D45"/>
    <w:rsid w:val="00652C86"/>
    <w:rsid w:val="00665816"/>
    <w:rsid w:val="00692724"/>
    <w:rsid w:val="0070733A"/>
    <w:rsid w:val="008D5186"/>
    <w:rsid w:val="00B00909"/>
    <w:rsid w:val="00B31932"/>
    <w:rsid w:val="00BE78F4"/>
    <w:rsid w:val="00C556F7"/>
    <w:rsid w:val="00C97372"/>
    <w:rsid w:val="00DB30CA"/>
    <w:rsid w:val="00F0696C"/>
    <w:rsid w:val="00F37CD7"/>
    <w:rsid w:val="00F7413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08FA9"/>
  <w15:chartTrackingRefBased/>
  <w15:docId w15:val="{7E7348D9-5355-1146-8A80-B8163AE9F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28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828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828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828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828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828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28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28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28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283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8283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8283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8283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8283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828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28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28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283C"/>
    <w:rPr>
      <w:rFonts w:eastAsiaTheme="majorEastAsia" w:cstheme="majorBidi"/>
      <w:color w:val="272727" w:themeColor="text1" w:themeTint="D8"/>
    </w:rPr>
  </w:style>
  <w:style w:type="paragraph" w:styleId="Ttulo">
    <w:name w:val="Title"/>
    <w:basedOn w:val="Normal"/>
    <w:next w:val="Normal"/>
    <w:link w:val="TtuloCar"/>
    <w:uiPriority w:val="10"/>
    <w:qFormat/>
    <w:rsid w:val="00382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28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28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28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283C"/>
    <w:pPr>
      <w:spacing w:before="160"/>
      <w:jc w:val="center"/>
    </w:pPr>
    <w:rPr>
      <w:i/>
      <w:iCs/>
      <w:color w:val="404040" w:themeColor="text1" w:themeTint="BF"/>
    </w:rPr>
  </w:style>
  <w:style w:type="character" w:customStyle="1" w:styleId="CitaCar">
    <w:name w:val="Cita Car"/>
    <w:basedOn w:val="Fuentedeprrafopredeter"/>
    <w:link w:val="Cita"/>
    <w:uiPriority w:val="29"/>
    <w:rsid w:val="0038283C"/>
    <w:rPr>
      <w:i/>
      <w:iCs/>
      <w:color w:val="404040" w:themeColor="text1" w:themeTint="BF"/>
    </w:rPr>
  </w:style>
  <w:style w:type="paragraph" w:styleId="Prrafodelista">
    <w:name w:val="List Paragraph"/>
    <w:basedOn w:val="Normal"/>
    <w:uiPriority w:val="34"/>
    <w:qFormat/>
    <w:rsid w:val="0038283C"/>
    <w:pPr>
      <w:ind w:left="720"/>
      <w:contextualSpacing/>
    </w:pPr>
  </w:style>
  <w:style w:type="character" w:styleId="nfasisintenso">
    <w:name w:val="Intense Emphasis"/>
    <w:basedOn w:val="Fuentedeprrafopredeter"/>
    <w:uiPriority w:val="21"/>
    <w:qFormat/>
    <w:rsid w:val="0038283C"/>
    <w:rPr>
      <w:i/>
      <w:iCs/>
      <w:color w:val="2F5496" w:themeColor="accent1" w:themeShade="BF"/>
    </w:rPr>
  </w:style>
  <w:style w:type="paragraph" w:styleId="Citadestacada">
    <w:name w:val="Intense Quote"/>
    <w:basedOn w:val="Normal"/>
    <w:next w:val="Normal"/>
    <w:link w:val="CitadestacadaCar"/>
    <w:uiPriority w:val="30"/>
    <w:qFormat/>
    <w:rsid w:val="00382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8283C"/>
    <w:rPr>
      <w:i/>
      <w:iCs/>
      <w:color w:val="2F5496" w:themeColor="accent1" w:themeShade="BF"/>
    </w:rPr>
  </w:style>
  <w:style w:type="character" w:styleId="Referenciaintensa">
    <w:name w:val="Intense Reference"/>
    <w:basedOn w:val="Fuentedeprrafopredeter"/>
    <w:uiPriority w:val="32"/>
    <w:qFormat/>
    <w:rsid w:val="0038283C"/>
    <w:rPr>
      <w:b/>
      <w:bCs/>
      <w:smallCaps/>
      <w:color w:val="2F5496" w:themeColor="accent1" w:themeShade="BF"/>
      <w:spacing w:val="5"/>
    </w:rPr>
  </w:style>
  <w:style w:type="paragraph" w:customStyle="1" w:styleId="s13">
    <w:name w:val="s13"/>
    <w:basedOn w:val="Normal"/>
    <w:rsid w:val="0038283C"/>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Fuentedeprrafopredeter"/>
    <w:rsid w:val="0038283C"/>
  </w:style>
  <w:style w:type="paragraph" w:customStyle="1" w:styleId="s10">
    <w:name w:val="s10"/>
    <w:basedOn w:val="Normal"/>
    <w:rsid w:val="0038283C"/>
    <w:pPr>
      <w:spacing w:before="100" w:beforeAutospacing="1" w:after="100" w:afterAutospacing="1" w:line="240" w:lineRule="auto"/>
    </w:pPr>
    <w:rPr>
      <w:rFonts w:ascii="Times New Roman" w:hAnsi="Times New Roman" w:cs="Times New Roman"/>
      <w:kern w:val="0"/>
      <w14:ligatures w14:val="none"/>
    </w:rPr>
  </w:style>
  <w:style w:type="paragraph" w:customStyle="1" w:styleId="s15">
    <w:name w:val="s15"/>
    <w:basedOn w:val="Normal"/>
    <w:rsid w:val="0038283C"/>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Fuentedeprrafopredeter"/>
    <w:rsid w:val="0038283C"/>
  </w:style>
  <w:style w:type="paragraph" w:customStyle="1" w:styleId="s17">
    <w:name w:val="s17"/>
    <w:basedOn w:val="Normal"/>
    <w:rsid w:val="0038283C"/>
    <w:pPr>
      <w:spacing w:before="100" w:beforeAutospacing="1" w:after="100" w:afterAutospacing="1" w:line="240" w:lineRule="auto"/>
    </w:pPr>
    <w:rPr>
      <w:rFonts w:ascii="Times New Roman" w:hAnsi="Times New Roman" w:cs="Times New Roman"/>
      <w:kern w:val="0"/>
      <w14:ligatures w14:val="none"/>
    </w:rPr>
  </w:style>
  <w:style w:type="paragraph" w:customStyle="1" w:styleId="s19">
    <w:name w:val="s19"/>
    <w:basedOn w:val="Normal"/>
    <w:rsid w:val="0038283C"/>
    <w:pPr>
      <w:spacing w:before="100" w:beforeAutospacing="1" w:after="100" w:afterAutospacing="1" w:line="240" w:lineRule="auto"/>
    </w:pPr>
    <w:rPr>
      <w:rFonts w:ascii="Times New Roman" w:hAnsi="Times New Roman" w:cs="Times New Roman"/>
      <w:kern w:val="0"/>
      <w14:ligatures w14:val="none"/>
    </w:rPr>
  </w:style>
  <w:style w:type="paragraph" w:customStyle="1" w:styleId="s20">
    <w:name w:val="s20"/>
    <w:basedOn w:val="Normal"/>
    <w:rsid w:val="0038283C"/>
    <w:pPr>
      <w:spacing w:before="100" w:beforeAutospacing="1" w:after="100" w:afterAutospacing="1" w:line="240" w:lineRule="auto"/>
    </w:pPr>
    <w:rPr>
      <w:rFonts w:ascii="Times New Roman" w:hAnsi="Times New Roman" w:cs="Times New Roman"/>
      <w:kern w:val="0"/>
      <w14:ligatures w14:val="none"/>
    </w:rPr>
  </w:style>
  <w:style w:type="paragraph" w:customStyle="1" w:styleId="s22">
    <w:name w:val="s22"/>
    <w:basedOn w:val="Normal"/>
    <w:rsid w:val="0038283C"/>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7">
    <w:name w:val="bumpedfont17"/>
    <w:basedOn w:val="Fuentedeprrafopredeter"/>
    <w:rsid w:val="00382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1108</TotalTime>
  <Pages>5</Pages>
  <Words>1379</Words>
  <Characters>7588</Characters>
  <Application>Microsoft Office Word</Application>
  <DocSecurity>0</DocSecurity>
  <Lines>63</Lines>
  <Paragraphs>17</Paragraphs>
  <ScaleCrop>false</ScaleCrop>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GISELL RIVERA UVIDIA</dc:creator>
  <cp:keywords/>
  <dc:description/>
  <cp:lastModifiedBy>David Pazmiño</cp:lastModifiedBy>
  <cp:revision>21</cp:revision>
  <dcterms:created xsi:type="dcterms:W3CDTF">2026-07-23T22:01:00Z</dcterms:created>
  <dcterms:modified xsi:type="dcterms:W3CDTF">2026-07-24T16:31:00Z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f89762-76a8-49bf-84bc-be9e45b8172a_Enabled">
    <vt:lpwstr>true</vt:lpwstr>
  </property>
  <property fmtid="{D5CDD505-2E9C-101B-9397-08002B2CF9AE}" pid="3" name="MSIP_Label_37f89762-76a8-49bf-84bc-be9e45b8172a_SetDate">
    <vt:lpwstr>2026-07-21T03:46:19Z</vt:lpwstr>
  </property>
  <property fmtid="{D5CDD505-2E9C-101B-9397-08002B2CF9AE}" pid="4" name="MSIP_Label_37f89762-76a8-49bf-84bc-be9e45b8172a_Method">
    <vt:lpwstr>Standard</vt:lpwstr>
  </property>
  <property fmtid="{D5CDD505-2E9C-101B-9397-08002B2CF9AE}" pid="5" name="MSIP_Label_37f89762-76a8-49bf-84bc-be9e45b8172a_Name">
    <vt:lpwstr>defa4170-0d19-0005-0004-bc88714345d2</vt:lpwstr>
  </property>
  <property fmtid="{D5CDD505-2E9C-101B-9397-08002B2CF9AE}" pid="6" name="MSIP_Label_37f89762-76a8-49bf-84bc-be9e45b8172a_SiteId">
    <vt:lpwstr>d7f86710-01e1-461d-8599-758de4542e2b</vt:lpwstr>
  </property>
  <property fmtid="{D5CDD505-2E9C-101B-9397-08002B2CF9AE}" pid="7" name="MSIP_Label_37f89762-76a8-49bf-84bc-be9e45b8172a_ActionId">
    <vt:lpwstr>cffd8a2d-1d09-4f6c-b160-b9b4d461491f</vt:lpwstr>
  </property>
  <property fmtid="{D5CDD505-2E9C-101B-9397-08002B2CF9AE}" pid="8" name="MSIP_Label_37f89762-76a8-49bf-84bc-be9e45b8172a_ContentBits">
    <vt:lpwstr>0</vt:lpwstr>
  </property>
  <property fmtid="{D5CDD505-2E9C-101B-9397-08002B2CF9AE}" pid="9" name="MSIP_Label_37f89762-76a8-49bf-84bc-be9e45b8172a_Tag">
    <vt:lpwstr>60, 3, 0, 1</vt:lpwstr>
  </property>
</Properties>
</file>