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A4C08"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1. Inicio</w:t>
      </w:r>
    </w:p>
    <w:p w14:paraId="39637BA4"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Texto de bienvenida sugerido para la página principal:</w:t>
      </w:r>
    </w:p>
    <w:p w14:paraId="388B06EA" w14:textId="4AAF6FD9"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 Esta página fue creada por y para estudiantes, con el objetivo de brindarte información confiable y herramientas prácticas para reconocer, manejar y prevenir el estrés académico durante tu vida universitaria. Aquí encontrarás qué es el estrés académico, sus causas y consecuencias, así como estrategias de autocuidado y técnicas de relajación respaldadas por evidencia científica. Tu bienestar es el primer paso para un aprendizaje saludable.</w:t>
      </w:r>
    </w:p>
    <w:p w14:paraId="48950BA9"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 curioso </w:t>
      </w:r>
      <w:r w:rsidRPr="0038283C">
        <w:rPr>
          <w:rFonts w:ascii="Apple Color Emoji" w:hAnsi="Apple Color Emoji" w:cs="Apple Color Emoji"/>
          <w:b/>
          <w:bCs/>
          <w:color w:val="1F5C8B"/>
          <w:kern w:val="0"/>
          <w:sz w:val="26"/>
          <w:szCs w:val="26"/>
          <w14:ligatures w14:val="none"/>
        </w:rPr>
        <w:t>💡</w:t>
      </w:r>
    </w:p>
    <w:p w14:paraId="18ED254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El término “estrés” proviene del latín “stringere”, que significa apretar u oprimir; fue adoptado por la fisiología en el siglo XX para describir la respuesta del cuerpo ante demandas del entorno.</w:t>
      </w:r>
    </w:p>
    <w:p w14:paraId="5CBB777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La Organización Mundial de la Salud reconoce el bienestar psicológico como parte esencial de la definición de salud, no solo la ausencia de enfermedad.</w:t>
      </w:r>
    </w:p>
    <w:p w14:paraId="1EE41C27" w14:textId="77777777" w:rsidR="0038283C" w:rsidRPr="0038283C" w:rsidRDefault="0038283C" w:rsidP="0038283C">
      <w:pPr>
        <w:spacing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000000"/>
          <w:kern w:val="0"/>
          <w:sz w:val="27"/>
          <w:szCs w:val="27"/>
          <w14:ligatures w14:val="none"/>
        </w:rPr>
        <w:t> </w:t>
      </w:r>
    </w:p>
    <w:p w14:paraId="3018D5EB"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2. ¿Qué es el estrés académico?</w:t>
      </w:r>
    </w:p>
    <w:p w14:paraId="43D3525E"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Definición</w:t>
      </w:r>
    </w:p>
    <w:p w14:paraId="1D0BAA41"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El estrés académico se define como un proceso sistémico, adaptativo y psicológico que se desencadena cuando el estudiante percibe estímulos o demandas del entorno educativo como estresores que amenazan su equilibrio personal (Barraza-Macías, 2007). De forma similar, Toribio y Franco (2016) lo describen como un proceso psicológico sistemático que ocurre en entornos de aprendizaje cuando los estudiantes enfrentan desafíos que perciben como estresantes, por ejemplo, exámenes, entregas de proyectos o la carga de créditos académicos.</w:t>
      </w:r>
    </w:p>
    <w:p w14:paraId="638F4BBD"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Causas</w:t>
      </w:r>
    </w:p>
    <w:p w14:paraId="0B59807C"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Sobrecarga académica: acumulación de tareas, trabajos y exámenes en periodos cortos (principal estresor identificado en la literatura).</w:t>
      </w:r>
    </w:p>
    <w:p w14:paraId="03A2BAF7"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Presión evaluativa y exigencias de rendimiento.</w:t>
      </w:r>
    </w:p>
    <w:p w14:paraId="14EB45C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Exigencias familiares y conflictos institucionales.</w:t>
      </w:r>
    </w:p>
    <w:p w14:paraId="20E00DE1"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Factores personales como la autopercepción de eficacia y las habilidades de afrontamiento.</w:t>
      </w:r>
    </w:p>
    <w:p w14:paraId="4E81218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Combinar trabajo remunerado con los estudios, lo que incrementa el riesgo de estrés medio-alto.</w:t>
      </w:r>
    </w:p>
    <w:p w14:paraId="4AEFA84F"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Síntomas</w:t>
      </w:r>
    </w:p>
    <w:p w14:paraId="6718B2FE"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Físicos: dolores de cabeza, dolores musculares y problemas de sueño.</w:t>
      </w:r>
    </w:p>
    <w:p w14:paraId="3997A160"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Psicológicos: ansiedad, depresión y baja autoestima.</w:t>
      </w:r>
    </w:p>
    <w:p w14:paraId="0916B75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Comportamentales: conflictos interpersonales y aislamiento social.</w:t>
      </w:r>
    </w:p>
    <w:p w14:paraId="4783774A"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lastRenderedPageBreak/>
        <w:t>Factores de riesgo</w:t>
      </w:r>
    </w:p>
    <w:p w14:paraId="19843C0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Ser mujer: varios estudios reportan mayores niveles de estrés académico en estudiantes de sexo femenino.</w:t>
      </w:r>
    </w:p>
    <w:p w14:paraId="0100CDB1"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Trabajar y estudiar simultáneamente.</w:t>
      </w:r>
    </w:p>
    <w:p w14:paraId="16DFA24C"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Bajo apoyo familiar o institucional y escasas estrategias de afrontamiento.</w:t>
      </w:r>
    </w:p>
    <w:p w14:paraId="1C61EA6C"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Exposición prolongada a la sobrecarga académica, que puede alterar de forma sostenida el eje hipotálamo-hipófisis-adrenal (eje HPA), el principal mediador fisiológico del estrés crónico.</w:t>
      </w:r>
    </w:p>
    <w:p w14:paraId="736AE1AC"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6660810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El estrés es considerado un problema de salud mental que afecta aproximadamente al 50% de la población en algún momento (Caldera, Pulido y Martínez, 2007).</w:t>
      </w:r>
    </w:p>
    <w:p w14:paraId="1F42BD3D"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La exposición sostenida al estrés puede elevar los niveles de glucocorticoides y afectar el hipocampo, la región cerebral clave para la memoria, generando un círculo en el que el estudiante se vuelve más vulnerable a nuevos estresores (Acurio Padilla, 2025).</w:t>
      </w:r>
    </w:p>
    <w:p w14:paraId="5E62A2E0"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090F63CA"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¿Podrías mencionar dos causas y dos síntomas del estrés académico que hayas experimentado o identificado en tu entorno universitario?</w:t>
      </w:r>
    </w:p>
    <w:p w14:paraId="2E73EBE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¿Cuál es la diferencia entre el estrés como respuesta adaptativa normal y el estrés académico crónico?</w:t>
      </w:r>
    </w:p>
    <w:p w14:paraId="302D4373"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Barraza-Macías (2007); Toribio y Franco (2016), citado en UNIR México (2026); Acurio Padilla, Revista Medisur (2025); Chango-Infante y Altamirano-Sánchez, RICEd (2025); Caldera, Pulido y Martínez (2007), citado en Pepsic-BVS.</w:t>
      </w:r>
    </w:p>
    <w:p w14:paraId="53816067"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3. Consecuencias</w:t>
      </w:r>
    </w:p>
    <w:p w14:paraId="255C3027"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Cuando el estrés académico no se maneja adecuadamente, sus efectos repercuten en distintas dimensiones de la vida del estudiante:</w:t>
      </w:r>
    </w:p>
    <w:p w14:paraId="5CB00EC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Consecuencias físicas</w:t>
      </w:r>
    </w:p>
    <w:p w14:paraId="6932B9A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Actividad cardíaca aumentada e hipertensión.</w:t>
      </w:r>
    </w:p>
    <w:p w14:paraId="5A086C8B"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Respiración acelerada y elevación de hormonas suprarrenales (cortisol).</w:t>
      </w:r>
    </w:p>
    <w:p w14:paraId="1038F18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Migrañas, sudoración excesiva y temblores involuntarios.</w:t>
      </w:r>
    </w:p>
    <w:p w14:paraId="7396AA7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Dolores físicos y fluctuaciones de peso, además de alteración de los patrones de sueño (de la Fuente et al., 2020).</w:t>
      </w:r>
    </w:p>
    <w:p w14:paraId="7617BDE6"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Consecuencias psicológicas</w:t>
      </w:r>
    </w:p>
    <w:p w14:paraId="07DD12D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Estados depresivos, ansiedad e irritabilidad.</w:t>
      </w:r>
    </w:p>
    <w:p w14:paraId="4727DC47"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Descenso de la autoestima e insomnio (Caldera, Pulido y Martínez, 2007).</w:t>
      </w:r>
    </w:p>
    <w:p w14:paraId="5F3A6F6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Agotamiento académico: pérdida progresiva de energía, motivación y compromiso con las tareas.</w:t>
      </w:r>
    </w:p>
    <w:p w14:paraId="5FD0939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lastRenderedPageBreak/>
        <w:t>Consecuencias académicas y sociales</w:t>
      </w:r>
    </w:p>
    <w:p w14:paraId="5FB9F0A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Bajo rendimiento académico y menor logro de aprendizaje.</w:t>
      </w:r>
    </w:p>
    <w:p w14:paraId="7B51FB60"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Desmotivación hacia los estudios, que puede derivar en abandono universitario.</w:t>
      </w:r>
    </w:p>
    <w:p w14:paraId="1325815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Conflictos interpersonales y aislamiento social.</w:t>
      </w:r>
    </w:p>
    <w:p w14:paraId="20E0D7C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Mayor probabilidad de adoptar conductas de riesgo para la salud, como sedentarismo, malos hábitos alimenticios o consumo de alcohol.</w:t>
      </w:r>
    </w:p>
    <w:p w14:paraId="6CC2C4F5"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070AD8C7"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Un estudio realizado en Perú (Universidad Nacional del Altiplano de Puno) encontró que por cada unidad adicional de estrés, el riesgo de deterioro del rendimiento académico aumenta aproximadamente un 3%.</w:t>
      </w:r>
    </w:p>
    <w:p w14:paraId="462B01D1"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Diversas investigaciones (Ebrahim, 2016; Helbig y Backhaus, 2017) coinciden en que las mujeres universitarias reportan, en promedio, mayores niveles de estrés académico que los hombres.</w:t>
      </w:r>
    </w:p>
    <w:p w14:paraId="7AF17940"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1CC593A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 las consecuencias mencionadas, ¿cuáles has notado en ti mismo/a o en tus compañeros durante épocas de exámenes?</w:t>
      </w:r>
    </w:p>
    <w:p w14:paraId="62BE037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¿Por qué crees que el estrés académico no controlado puede llevar al abandono de los estudios?</w:t>
      </w:r>
    </w:p>
    <w:p w14:paraId="2E980D54"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de la Fuente et al. (2020), citado en UNIR México (2026); Caldera, Pulido y Martínez (2007), citado en Pepsic-BVS; Scielo Costa Rica (2022), estudio Puno-Perú; Scielo Perú (2021), Kiekens et al. (2016); Damásio et al. (2017).</w:t>
      </w:r>
    </w:p>
    <w:p w14:paraId="1A44173A"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4. Acciones de promoción de la salud para prevenir el estrés académico</w:t>
      </w:r>
    </w:p>
    <w:p w14:paraId="413BB907"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La Organización Mundial de la Salud (OMS), a través de la Carta de Ottawa (1986), define la promoción de la salud como el proceso que permite a las personas incrementar el control sobre su salud y mejorarla. Es decir, va más allá de la atención médica: busca generar entornos, habilidades y políticas que favorezcan el bienestar.</w:t>
      </w:r>
    </w:p>
    <w:p w14:paraId="2B361AC9"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Las 5 áreas de acción de la Carta de Ottawa aplicadas al entorno universitario</w:t>
      </w:r>
    </w:p>
    <w:p w14:paraId="55AE514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Construir políticas públicas saludables: reglamentos universitarios que consideren cargas académicas razonables y bienestar estudiantil.</w:t>
      </w:r>
    </w:p>
    <w:p w14:paraId="1B7217B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Crear entornos favorables: espacios físicos y virtuales que reduzcan factores estresantes (áreas de descanso, horarios flexibles, ambientes de estudio adecuados).</w:t>
      </w:r>
    </w:p>
    <w:p w14:paraId="0303D2E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Reforzar la acción comunitaria: grupos de apoyo estudiantil, tutorías entre pares y actividades de bienestar organizadas por la carrera.</w:t>
      </w:r>
    </w:p>
    <w:p w14:paraId="44BE5CC1"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Desarrollar aptitudes personales: talleres de manejo del estrés, organización del tiempo y habilidades de afrontamiento.</w:t>
      </w:r>
    </w:p>
    <w:p w14:paraId="55F92F7B"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lastRenderedPageBreak/>
        <w:t>• </w:t>
      </w:r>
      <w:r w:rsidRPr="0038283C">
        <w:rPr>
          <w:rFonts w:ascii="-webkit-standard" w:eastAsia="Times New Roman" w:hAnsi="-webkit-standard" w:cs="Times New Roman"/>
          <w:color w:val="444444"/>
          <w:kern w:val="0"/>
          <w:sz w:val="26"/>
          <w:szCs w:val="26"/>
          <w14:ligatures w14:val="none"/>
        </w:rPr>
        <w:t>Reorientar los servicios de salud: fortalecer los servicios de bienestar estudiantil y salud mental dentro de la institución.</w:t>
      </w:r>
    </w:p>
    <w:p w14:paraId="539F6A95"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Posteriormente, la Declaración de Yakarta (OMS, 1997) amplió esta visión estableciendo cinco prioridades: promover la responsabilidad social por la salud, aumentar las inversiones en salud, consolidar alianzas estratégicas, ampliar la capacidad de las comunidades y empoderar al individuo, y consolidar la infraestructura para la promoción de la salud.</w:t>
      </w:r>
    </w:p>
    <w:p w14:paraId="25C8BB5C"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20C87B1C"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La Carta de Ottawa se firmó el 21 de noviembre de 1986 durante la Primera Conferencia Internacional sobre Promoción de la Salud, con el objetivo de alcanzar la meta “Salud para Todos en el año 2000”.</w:t>
      </w:r>
    </w:p>
    <w:p w14:paraId="4627ADF9"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Según la Carta de Ottawa, la promoción de la salud “favorece el desarrollo personal y social en tanto proporcione información, educación sanitaria y perfeccione las aptitudes indispensables para la vida”, como el manejo del estrés.</w:t>
      </w:r>
    </w:p>
    <w:p w14:paraId="7B4A0A43"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6278A041"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¿Cuál de las 5 áreas de acción de la Carta de Ottawa consideras más aplicable en tu facultad para prevenir el estrés académico?</w:t>
      </w:r>
    </w:p>
    <w:p w14:paraId="48A8B77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¿Qué diferencia existe entre "promover" la salud y "prevenir" una enfermedad?</w:t>
      </w:r>
    </w:p>
    <w:p w14:paraId="0B92AED1"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Organización Mundial de la Salud, Carta de Ottawa (1986); Wikipedia ES – Promoción de la Salud (revisión 2026), con base en OMS, Declaración de Yakarta (1997).</w:t>
      </w:r>
    </w:p>
    <w:p w14:paraId="15493AF4"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5. Autocuidado – Hábitos saludables</w:t>
      </w:r>
    </w:p>
    <w:p w14:paraId="356770DE"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Calidad del sueño</w:t>
      </w:r>
    </w:p>
    <w:p w14:paraId="5C61C066"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Los estudiantes universitarios con mala calidad de sueño reportan ser más sedentarios, realizar menos actividad física y tener una menor calidad de vida relacionada con la salud. Dormir 6 horas o menos al día se asocia significativamente con estos factores de riesgo. La relación entre el estrés y la calidad del sueño es inversamente proporcional: a mayor estrés percibido, menor calidad de sueño.</w:t>
      </w:r>
    </w:p>
    <w:p w14:paraId="2D1EFB6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Evita el consumo de cafeína, alcohol y pantallas antes de dormir, ya que afectan el ritmo circadiano.</w:t>
      </w:r>
    </w:p>
    <w:p w14:paraId="189F329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Mantén un horario regular de sueño, incluso los fines de semana.</w:t>
      </w:r>
    </w:p>
    <w:p w14:paraId="2E6405EC"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Alimentación</w:t>
      </w:r>
    </w:p>
    <w:p w14:paraId="4E440460"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Una investigación realizada en España con 1055 estudiantes universitarios encontró una conexión significativa entre la alimentación no saludable y la presencia de depresión, ansiedad y estrés. El bajo consumo de verduras y hortalizas se asoció también con mayores niveles de ansiedad, depresión e insomnio.</w:t>
      </w:r>
    </w:p>
    <w:p w14:paraId="2268C852"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lastRenderedPageBreak/>
        <w:t>• </w:t>
      </w:r>
      <w:r w:rsidRPr="0038283C">
        <w:rPr>
          <w:rFonts w:ascii="-webkit-standard" w:eastAsia="Times New Roman" w:hAnsi="-webkit-standard" w:cs="Times New Roman"/>
          <w:color w:val="444444"/>
          <w:kern w:val="0"/>
          <w:sz w:val="26"/>
          <w:szCs w:val="26"/>
          <w14:ligatures w14:val="none"/>
        </w:rPr>
        <w:t>Incluye frutas, verduras y suficiente agua en tu día a día.</w:t>
      </w:r>
    </w:p>
    <w:p w14:paraId="28D9A56B"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Evita el exceso de comida procesada y bebidas con alto contenido de azúcar o cafeína.</w:t>
      </w:r>
    </w:p>
    <w:p w14:paraId="40ABB31E"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Actividad física</w:t>
      </w:r>
    </w:p>
    <w:p w14:paraId="1603570C"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La OMS recomienda realizar ejercicio físico durante 30 minutos, entre 5 y 7 veces por semana. La actividad física sostenida favorece que los estudiantes afronten el estrés y disminuyan su intensidad, gracias a su relación con la resiliencia y la regulación emocional.</w:t>
      </w:r>
    </w:p>
    <w:p w14:paraId="192F365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Caminar, andar en bicicleta o practicar algún deporte de forma regular mejora tanto el ánimo como la calidad del sueño.</w:t>
      </w:r>
    </w:p>
    <w:p w14:paraId="434445F4"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Incluso pequeñas rutinas de actividad física (2 horas semanales) impactan positivamente en el bienestar subjetivo.</w:t>
      </w:r>
    </w:p>
    <w:p w14:paraId="2D3C6AC6"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Descanso</w:t>
      </w:r>
    </w:p>
    <w:p w14:paraId="01D8EC33"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Los espacios de descanso son fundamentales para equilibrar el estado de ánimo y sostener el ritmo de vida académico. Dormir y descansar adecuadamente es tan importante para la salud como la alimentación y la actividad física.</w:t>
      </w:r>
    </w:p>
    <w:p w14:paraId="79EA11D4"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23BADFCA"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En un estudio con estudiantes de Medicina, solo el 20.97% cumplía con la recomendación de actividad física de la OMS; es decir, 8 de cada 10 universitarios no la cumplían.</w:t>
      </w:r>
    </w:p>
    <w:p w14:paraId="532816D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 nivel mundial, la mala calidad de sueño afecta entre el 12% y el 40% de la población, según estudios epidemiológicos.</w:t>
      </w:r>
    </w:p>
    <w:p w14:paraId="4400CA09"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6D53A13F"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 los cuatro hábitos (sueño, alimentación, actividad física y descanso), ¿cuál necesitas mejorar primero y qué acción concreta podrías tomar esta semana?</w:t>
      </w:r>
    </w:p>
    <w:p w14:paraId="3C5DCFE5"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¿Cuántas horas duermes en promedio y cuántas veces por semana realizas actividad física?</w:t>
      </w:r>
    </w:p>
    <w:p w14:paraId="75FD4E25"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Scielo Chile (2023), Estilos de vida y calidad del sueño; Scielo Perú (2021), Estrés académico en universitarios peruanos; Scielo Perú (2021), Medicina del estilo de vida y calidad del sueño; ScientiaRVM (2025), Factores que afectan la calidad del sueño; Redalyc (2020), Calidad del sueño en estudiantes de ingeniería.</w:t>
      </w:r>
    </w:p>
    <w:p w14:paraId="11ABC600"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6. Estrategias de manejo</w:t>
      </w:r>
    </w:p>
    <w:p w14:paraId="05D79857"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Técnicas de relajación: respiración profunda</w:t>
      </w:r>
    </w:p>
    <w:p w14:paraId="3AFBE6C5"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 xml:space="preserve">Ejercicios simples como la respiración diafragmática o la técnica 4-7-8 (inhalar en 4 segundos, retener en 7 y exhalar en 8) ayudan a calmar el sistema nervioso y reducir la sensación de ansiedad de forma inmediata. Estudios muestran que realizar 5 minutos de respiración consciente antes </w:t>
      </w:r>
      <w:r w:rsidRPr="0038283C">
        <w:rPr>
          <w:rFonts w:ascii="-webkit-standard" w:hAnsi="-webkit-standard" w:cs="Times New Roman"/>
          <w:color w:val="444444"/>
          <w:kern w:val="0"/>
          <w:sz w:val="26"/>
          <w:szCs w:val="26"/>
          <w14:ligatures w14:val="none"/>
        </w:rPr>
        <w:lastRenderedPageBreak/>
        <w:t>de estudiar o rendir un examen no solo reduce la activación fisiológica del estrés, sino que también mejora el rendimiento académico y disminuye el agotamiento mental.</w:t>
      </w:r>
    </w:p>
    <w:p w14:paraId="6CD0F10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Organización del tiempo</w:t>
      </w:r>
    </w:p>
    <w:p w14:paraId="26BA7A3F"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La planificación efectiva es una herramienta fundamental para reducir el estrés y mejorar la eficiencia académica. Organizar tareas y actividades de manera sistemática permite manejar mejor las responsabilidades y evitar la sensación de estar abrumado.</w:t>
      </w:r>
    </w:p>
    <w:p w14:paraId="5AF0964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Usa calendarios digitales o físicos para anotar fechas de exámenes, entregas y eventos importantes.</w:t>
      </w:r>
    </w:p>
    <w:p w14:paraId="5AC2285D"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Divide las tareas grandes en pasos más pequeños y establece prioridades.</w:t>
      </w:r>
    </w:p>
    <w:p w14:paraId="65935A5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Pausas activas</w:t>
      </w:r>
    </w:p>
    <w:p w14:paraId="60FCA9CB"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Introducir pausas de 1 a 3 minutos entre clases o bloques de estudio —ya sean de estiramiento, movimiento o respiración consciente— ayuda a “resetear” la atención y reduce la fatiga mental acumulada durante la jornada académica.</w:t>
      </w:r>
    </w:p>
    <w:p w14:paraId="580ABED1"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Mindfulness</w:t>
      </w:r>
    </w:p>
    <w:p w14:paraId="2F472B3F"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El mindfulness (atención plena) consiste en prestar atención consciente al cuerpo, la respiración, los pensamientos y las emociones en el momento presente. Un estudio con 54 estudiantes universitarios que aplicó un programa de mindfulness de 8 semanas logró una reducción significativa del estrés académico, medido con el Inventario SISCO. Además, la práctica sostenida de mindfulness se ha relacionado con una reducción de los niveles de cortisol (la hormona del estrés) y con mejoras en la memoria y la concentración.</w:t>
      </w:r>
    </w:p>
    <w:p w14:paraId="5852E920"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7FC6574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Investigaciones señalan que entre 10 y 15 minutos diarios de práctica de mindfulness son suficientes para notar mejoras en la concentración; incluso dos semanas de práctica breve y constante generan cambios medibles en la memoria de trabajo (Mrazek et al., 2013).</w:t>
      </w:r>
    </w:p>
    <w:p w14:paraId="770F12C9"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La técnica de respiración 4-7-8 es utilizada como recurso rápido de autorregulación y puede aplicarse en cualquier lugar, incluso segundos antes de entrar a un examen.</w:t>
      </w:r>
    </w:p>
    <w:p w14:paraId="18509AB0"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674B1A8A"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lastRenderedPageBreak/>
        <w:t>• </w:t>
      </w:r>
      <w:r w:rsidRPr="0038283C">
        <w:rPr>
          <w:rFonts w:ascii="-webkit-standard" w:eastAsia="Times New Roman" w:hAnsi="-webkit-standard" w:cs="Times New Roman"/>
          <w:color w:val="444444"/>
          <w:kern w:val="0"/>
          <w:sz w:val="26"/>
          <w:szCs w:val="26"/>
          <w14:ligatures w14:val="none"/>
        </w:rPr>
        <w:t>Practica ahora mismo 3 respiraciones profundas (inhala 4 segundos, retén 7, exhala 8). ¿Notaste algún cambio en tu cuerpo o en tu nivel de tensión?</w:t>
      </w:r>
    </w:p>
    <w:p w14:paraId="474620B6"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De las 4 estrategias (respiración, organización del tiempo, pausas activas, mindfulness), ¿cuál se adapta mejor a tu rutina diaria y por qué?</w:t>
      </w:r>
    </w:p>
    <w:p w14:paraId="6861B444"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t>Fuente(s): Palt.es (2024), 5 estrategias para gestionar el estrés; Asociación Educar (2026), Mindfulness y estudio; Scielo Chile (2019), Incidencia del mindfulness en el estrés académico; Mundo Bienestar (2025), Mindfulness para estudiantes; Colegio San Ángel (2024), Eficacia del mindfulness en el aula.</w:t>
      </w:r>
    </w:p>
    <w:p w14:paraId="074D7FDB" w14:textId="77777777" w:rsidR="0038283C" w:rsidRPr="0038283C" w:rsidRDefault="0038283C" w:rsidP="0038283C">
      <w:pPr>
        <w:pBdr>
          <w:bottom w:val="single" w:sz="6" w:space="0" w:color="1F5C8B"/>
        </w:pBdr>
        <w:spacing w:before="300" w:after="15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35"/>
          <w:szCs w:val="35"/>
          <w14:ligatures w14:val="none"/>
        </w:rPr>
        <w:t>7. Recursos digitales</w:t>
      </w:r>
    </w:p>
    <w:p w14:paraId="432E9E4B" w14:textId="77777777" w:rsidR="0038283C" w:rsidRPr="0038283C" w:rsidRDefault="0038283C" w:rsidP="0038283C">
      <w:pPr>
        <w:spacing w:after="12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color w:val="444444"/>
          <w:kern w:val="0"/>
          <w:sz w:val="26"/>
          <w:szCs w:val="26"/>
          <w14:ligatures w14:val="none"/>
        </w:rPr>
        <w:t>Existen múltiples herramientas digitales, gratuitas o con versión gratuita, que pueden apoyar la gestión del estrés académico. Se recomienda usarlas como complemento, no como sustituto, del apoyo profesional cuando sea necesario.</w:t>
      </w:r>
    </w:p>
    <w:p w14:paraId="6E7B83C0"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Aplicaciones sugeridas</w:t>
      </w:r>
    </w:p>
    <w:p w14:paraId="137A5B28"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Apps de meditación y mindfulness guiada (por ejemplo, Calm o Headspace), útiles para establecer una base de práctica antes de meditar de forma independiente.</w:t>
      </w:r>
    </w:p>
    <w:p w14:paraId="5807D17D"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Apps de organización del tiempo y calendarios digitales (por ejemplo, Google Calendar), para programar recordatorios de exámenes y entregas.</w:t>
      </w:r>
    </w:p>
    <w:p w14:paraId="3EFC9EF2" w14:textId="77777777" w:rsidR="0038283C" w:rsidRPr="0038283C" w:rsidRDefault="0038283C" w:rsidP="0038283C">
      <w:pPr>
        <w:spacing w:before="195" w:after="90"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7"/>
          <w:szCs w:val="27"/>
          <w14:ligatures w14:val="none"/>
        </w:rPr>
        <w:t>Otros materiales de apoyo</w:t>
      </w:r>
    </w:p>
    <w:p w14:paraId="7C6A916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Videos educativos sobre respiración diafragmática, pausas activas y mindfulness.</w:t>
      </w:r>
    </w:p>
    <w:p w14:paraId="1F587D40"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Material informativo de organismos oficiales de salud sobre manejo del estrés y salud mental.</w:t>
      </w:r>
    </w:p>
    <w:p w14:paraId="20C9C48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Podcasts o audios breves de relajación guiada para usar entre sesiones de estudio.</w:t>
      </w:r>
    </w:p>
    <w:p w14:paraId="77849B45" w14:textId="77777777" w:rsidR="0038283C" w:rsidRPr="0038283C" w:rsidRDefault="0038283C" w:rsidP="0038283C">
      <w:pPr>
        <w:pBdr>
          <w:bottom w:val="single" w:sz="6" w:space="0" w:color="1F5C8B"/>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1F5C8B"/>
          <w:kern w:val="0"/>
          <w:sz w:val="26"/>
          <w:szCs w:val="26"/>
          <w14:ligatures w14:val="none"/>
        </w:rPr>
        <w:t xml:space="preserve">Datos curiosos </w:t>
      </w:r>
      <w:r w:rsidRPr="0038283C">
        <w:rPr>
          <w:rFonts w:ascii="Apple Color Emoji" w:hAnsi="Apple Color Emoji" w:cs="Apple Color Emoji"/>
          <w:b/>
          <w:bCs/>
          <w:color w:val="1F5C8B"/>
          <w:kern w:val="0"/>
          <w:sz w:val="26"/>
          <w:szCs w:val="26"/>
          <w14:ligatures w14:val="none"/>
        </w:rPr>
        <w:t>💡</w:t>
      </w:r>
    </w:p>
    <w:p w14:paraId="3545A36C"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Las aplicaciones de meditación guiada suelen ser más efectivas al inicio del hábito, como una guía; con el tiempo, muchos estudiantes logran practicar de forma independiente sin depender de ellas.</w:t>
      </w:r>
    </w:p>
    <w:p w14:paraId="4B9B3BBA"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Combinar el estudio estructurado con pequeñas prácticas de atención plena (por ejemplo, 5 minutos antes de repasar) ha mostrado mejores resultados que usar cada estrategia por separado.</w:t>
      </w:r>
    </w:p>
    <w:p w14:paraId="1D4F3214" w14:textId="77777777" w:rsidR="0038283C" w:rsidRPr="0038283C" w:rsidRDefault="0038283C" w:rsidP="0038283C">
      <w:pPr>
        <w:pBdr>
          <w:bottom w:val="single" w:sz="6" w:space="0" w:color="2F7A5F"/>
        </w:pBdr>
        <w:spacing w:before="150" w:after="7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b/>
          <w:bCs/>
          <w:color w:val="2F7A5F"/>
          <w:kern w:val="0"/>
          <w:sz w:val="26"/>
          <w:szCs w:val="26"/>
          <w14:ligatures w14:val="none"/>
        </w:rPr>
        <w:t xml:space="preserve">Pregunta de retroalimentación </w:t>
      </w:r>
      <w:r w:rsidRPr="0038283C">
        <w:rPr>
          <w:rFonts w:ascii="Apple Color Emoji" w:hAnsi="Apple Color Emoji" w:cs="Apple Color Emoji"/>
          <w:b/>
          <w:bCs/>
          <w:color w:val="2F7A5F"/>
          <w:kern w:val="0"/>
          <w:sz w:val="26"/>
          <w:szCs w:val="26"/>
          <w14:ligatures w14:val="none"/>
        </w:rPr>
        <w:t>❓</w:t>
      </w:r>
    </w:p>
    <w:p w14:paraId="0240E523"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¿Conocías alguna aplicación de meditación u organización antes de leer esta página? ¿Cuál te gustaría probar esta semana?</w:t>
      </w:r>
    </w:p>
    <w:p w14:paraId="0EA32837" w14:textId="77777777" w:rsidR="0038283C" w:rsidRPr="0038283C" w:rsidRDefault="0038283C" w:rsidP="0038283C">
      <w:pPr>
        <w:spacing w:after="0" w:line="240" w:lineRule="auto"/>
        <w:ind w:hanging="195"/>
        <w:rPr>
          <w:rFonts w:ascii="-webkit-standard" w:eastAsia="Times New Roman" w:hAnsi="-webkit-standard" w:cs="Times New Roman"/>
          <w:color w:val="000000"/>
          <w:kern w:val="0"/>
          <w:sz w:val="27"/>
          <w:szCs w:val="27"/>
          <w14:ligatures w14:val="none"/>
        </w:rPr>
      </w:pPr>
      <w:r w:rsidRPr="0038283C">
        <w:rPr>
          <w:rFonts w:ascii="-webkit-standard" w:eastAsia="Times New Roman" w:hAnsi="-webkit-standard" w:cs="Times New Roman"/>
          <w:color w:val="000000"/>
          <w:kern w:val="0"/>
          <w:sz w:val="27"/>
          <w:szCs w:val="27"/>
          <w14:ligatures w14:val="none"/>
        </w:rPr>
        <w:t>• </w:t>
      </w:r>
      <w:r w:rsidRPr="0038283C">
        <w:rPr>
          <w:rFonts w:ascii="-webkit-standard" w:eastAsia="Times New Roman" w:hAnsi="-webkit-standard" w:cs="Times New Roman"/>
          <w:color w:val="444444"/>
          <w:kern w:val="0"/>
          <w:sz w:val="26"/>
          <w:szCs w:val="26"/>
          <w14:ligatures w14:val="none"/>
        </w:rPr>
        <w:t>¿Qué tipo de recurso digital (app, video o podcast) se ajusta mejor a tu estilo de vida como estudiante?</w:t>
      </w:r>
    </w:p>
    <w:p w14:paraId="244A77D0" w14:textId="77777777" w:rsidR="0038283C" w:rsidRPr="0038283C" w:rsidRDefault="0038283C" w:rsidP="0038283C">
      <w:pPr>
        <w:spacing w:before="75" w:after="225" w:line="240" w:lineRule="auto"/>
        <w:rPr>
          <w:rFonts w:ascii="-webkit-standard" w:hAnsi="-webkit-standard" w:cs="Times New Roman"/>
          <w:color w:val="000000"/>
          <w:kern w:val="0"/>
          <w:sz w:val="27"/>
          <w:szCs w:val="27"/>
          <w14:ligatures w14:val="none"/>
        </w:rPr>
      </w:pPr>
      <w:r w:rsidRPr="0038283C">
        <w:rPr>
          <w:rFonts w:ascii="-webkit-standard" w:hAnsi="-webkit-standard" w:cs="Times New Roman"/>
          <w:i/>
          <w:iCs/>
          <w:color w:val="777777"/>
          <w:kern w:val="0"/>
          <w14:ligatures w14:val="none"/>
        </w:rPr>
        <w:lastRenderedPageBreak/>
        <w:t>Fuente(s): Mundo Bienestar (2025), Mindfulness para estudiantes; Palt.es (2024), Estrategias para gestionar el estrés.</w:t>
      </w:r>
    </w:p>
    <w:p w14:paraId="57E32906" w14:textId="77777777" w:rsidR="0038283C" w:rsidRPr="0038283C" w:rsidRDefault="0038283C" w:rsidP="0038283C">
      <w:pPr>
        <w:spacing w:after="0" w:line="240" w:lineRule="auto"/>
        <w:rPr>
          <w:rFonts w:ascii="Times New Roman" w:eastAsia="Times New Roman" w:hAnsi="Times New Roman" w:cs="Times New Roman"/>
          <w:kern w:val="0"/>
          <w14:ligatures w14:val="none"/>
        </w:rPr>
      </w:pPr>
    </w:p>
    <w:p w14:paraId="3BB45B70" w14:textId="77777777" w:rsidR="0038283C" w:rsidRDefault="0038283C"/>
    <w:sectPr w:rsidR="003828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charset w:val="00"/>
    <w:family w:val="roman"/>
    <w:pitch w:val="default"/>
  </w:font>
  <w:font w:name="Apple Color Emoji">
    <w:altName w:val="Calibri"/>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3C"/>
    <w:rsid w:val="00342BEB"/>
    <w:rsid w:val="0038283C"/>
    <w:rsid w:val="0070733A"/>
    <w:rsid w:val="00B0090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08FA9"/>
  <w15:chartTrackingRefBased/>
  <w15:docId w15:val="{7E7348D9-5355-1146-8A80-B8163AE9F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28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828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8283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8283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8283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28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28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28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28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283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8283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8283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8283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8283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28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28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28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283C"/>
    <w:rPr>
      <w:rFonts w:eastAsiaTheme="majorEastAsia" w:cstheme="majorBidi"/>
      <w:color w:val="272727" w:themeColor="text1" w:themeTint="D8"/>
    </w:rPr>
  </w:style>
  <w:style w:type="paragraph" w:styleId="Ttulo">
    <w:name w:val="Title"/>
    <w:basedOn w:val="Normal"/>
    <w:next w:val="Normal"/>
    <w:link w:val="TtuloCar"/>
    <w:uiPriority w:val="10"/>
    <w:qFormat/>
    <w:rsid w:val="00382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28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28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28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283C"/>
    <w:pPr>
      <w:spacing w:before="160"/>
      <w:jc w:val="center"/>
    </w:pPr>
    <w:rPr>
      <w:i/>
      <w:iCs/>
      <w:color w:val="404040" w:themeColor="text1" w:themeTint="BF"/>
    </w:rPr>
  </w:style>
  <w:style w:type="character" w:customStyle="1" w:styleId="CitaCar">
    <w:name w:val="Cita Car"/>
    <w:basedOn w:val="Fuentedeprrafopredeter"/>
    <w:link w:val="Cita"/>
    <w:uiPriority w:val="29"/>
    <w:rsid w:val="0038283C"/>
    <w:rPr>
      <w:i/>
      <w:iCs/>
      <w:color w:val="404040" w:themeColor="text1" w:themeTint="BF"/>
    </w:rPr>
  </w:style>
  <w:style w:type="paragraph" w:styleId="Prrafodelista">
    <w:name w:val="List Paragraph"/>
    <w:basedOn w:val="Normal"/>
    <w:uiPriority w:val="34"/>
    <w:qFormat/>
    <w:rsid w:val="0038283C"/>
    <w:pPr>
      <w:ind w:left="720"/>
      <w:contextualSpacing/>
    </w:pPr>
  </w:style>
  <w:style w:type="character" w:styleId="nfasisintenso">
    <w:name w:val="Intense Emphasis"/>
    <w:basedOn w:val="Fuentedeprrafopredeter"/>
    <w:uiPriority w:val="21"/>
    <w:qFormat/>
    <w:rsid w:val="0038283C"/>
    <w:rPr>
      <w:i/>
      <w:iCs/>
      <w:color w:val="2F5496" w:themeColor="accent1" w:themeShade="BF"/>
    </w:rPr>
  </w:style>
  <w:style w:type="paragraph" w:styleId="Citadestacada">
    <w:name w:val="Intense Quote"/>
    <w:basedOn w:val="Normal"/>
    <w:next w:val="Normal"/>
    <w:link w:val="CitadestacadaCar"/>
    <w:uiPriority w:val="30"/>
    <w:qFormat/>
    <w:rsid w:val="003828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283C"/>
    <w:rPr>
      <w:i/>
      <w:iCs/>
      <w:color w:val="2F5496" w:themeColor="accent1" w:themeShade="BF"/>
    </w:rPr>
  </w:style>
  <w:style w:type="character" w:styleId="Referenciaintensa">
    <w:name w:val="Intense Reference"/>
    <w:basedOn w:val="Fuentedeprrafopredeter"/>
    <w:uiPriority w:val="32"/>
    <w:qFormat/>
    <w:rsid w:val="0038283C"/>
    <w:rPr>
      <w:b/>
      <w:bCs/>
      <w:smallCaps/>
      <w:color w:val="2F5496" w:themeColor="accent1" w:themeShade="BF"/>
      <w:spacing w:val="5"/>
    </w:rPr>
  </w:style>
  <w:style w:type="paragraph" w:customStyle="1" w:styleId="s13">
    <w:name w:val="s13"/>
    <w:basedOn w:val="Normal"/>
    <w:rsid w:val="0038283C"/>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Fuentedeprrafopredeter"/>
    <w:rsid w:val="0038283C"/>
  </w:style>
  <w:style w:type="paragraph" w:customStyle="1" w:styleId="s10">
    <w:name w:val="s10"/>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15">
    <w:name w:val="s15"/>
    <w:basedOn w:val="Normal"/>
    <w:rsid w:val="0038283C"/>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uentedeprrafopredeter"/>
    <w:rsid w:val="0038283C"/>
  </w:style>
  <w:style w:type="paragraph" w:customStyle="1" w:styleId="s17">
    <w:name w:val="s17"/>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19">
    <w:name w:val="s19"/>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20">
    <w:name w:val="s20"/>
    <w:basedOn w:val="Normal"/>
    <w:rsid w:val="0038283C"/>
    <w:pPr>
      <w:spacing w:before="100" w:beforeAutospacing="1" w:after="100" w:afterAutospacing="1" w:line="240" w:lineRule="auto"/>
    </w:pPr>
    <w:rPr>
      <w:rFonts w:ascii="Times New Roman" w:hAnsi="Times New Roman" w:cs="Times New Roman"/>
      <w:kern w:val="0"/>
      <w14:ligatures w14:val="none"/>
    </w:rPr>
  </w:style>
  <w:style w:type="paragraph" w:customStyle="1" w:styleId="s22">
    <w:name w:val="s22"/>
    <w:basedOn w:val="Normal"/>
    <w:rsid w:val="0038283C"/>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7">
    <w:name w:val="bumpedfont17"/>
    <w:basedOn w:val="Fuentedeprrafopredeter"/>
    <w:rsid w:val="00382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2326</Words>
  <Characters>12796</Characters>
  <Application>Microsoft Office Word</Application>
  <DocSecurity>0</DocSecurity>
  <Lines>106</Lines>
  <Paragraphs>30</Paragraphs>
  <ScaleCrop>false</ScaleCrop>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GISELL RIVERA UVIDIA</dc:creator>
  <cp:keywords/>
  <dc:description/>
  <cp:lastModifiedBy>David Pazmiño</cp:lastModifiedBy>
  <cp:revision>3</cp:revision>
  <dcterms:created xsi:type="dcterms:W3CDTF">2026-07-21T03:46:00Z</dcterms:created>
  <dcterms:modified xsi:type="dcterms:W3CDTF">2026-07-23T22:01:00Z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7f89762-76a8-49bf-84bc-be9e45b8172a_Enabled">
    <vt:lpwstr>true</vt:lpwstr>
  </property>
  <property fmtid="{D5CDD505-2E9C-101B-9397-08002B2CF9AE}" pid="3" name="MSIP_Label_37f89762-76a8-49bf-84bc-be9e45b8172a_SetDate">
    <vt:lpwstr>2026-07-21T03:46:19Z</vt:lpwstr>
  </property>
  <property fmtid="{D5CDD505-2E9C-101B-9397-08002B2CF9AE}" pid="4" name="MSIP_Label_37f89762-76a8-49bf-84bc-be9e45b8172a_Method">
    <vt:lpwstr>Standard</vt:lpwstr>
  </property>
  <property fmtid="{D5CDD505-2E9C-101B-9397-08002B2CF9AE}" pid="5" name="MSIP_Label_37f89762-76a8-49bf-84bc-be9e45b8172a_Name">
    <vt:lpwstr>defa4170-0d19-0005-0004-bc88714345d2</vt:lpwstr>
  </property>
  <property fmtid="{D5CDD505-2E9C-101B-9397-08002B2CF9AE}" pid="6" name="MSIP_Label_37f89762-76a8-49bf-84bc-be9e45b8172a_SiteId">
    <vt:lpwstr>d7f86710-01e1-461d-8599-758de4542e2b</vt:lpwstr>
  </property>
  <property fmtid="{D5CDD505-2E9C-101B-9397-08002B2CF9AE}" pid="7" name="MSIP_Label_37f89762-76a8-49bf-84bc-be9e45b8172a_ActionId">
    <vt:lpwstr>cffd8a2d-1d09-4f6c-b160-b9b4d461491f</vt:lpwstr>
  </property>
  <property fmtid="{D5CDD505-2E9C-101B-9397-08002B2CF9AE}" pid="8" name="MSIP_Label_37f89762-76a8-49bf-84bc-be9e45b8172a_ContentBits">
    <vt:lpwstr>0</vt:lpwstr>
  </property>
  <property fmtid="{D5CDD505-2E9C-101B-9397-08002B2CF9AE}" pid="9" name="MSIP_Label_37f89762-76a8-49bf-84bc-be9e45b8172a_Tag">
    <vt:lpwstr>60, 3, 0, 1</vt:lpwstr>
  </property>
</Properties>
</file>