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F4E79"/>
          <w:sz w:val="60"/>
          <w:szCs w:val="60"/>
        </w:rPr>
        <w:t xml:space="preserve">Halifax Energy Demand Forecasting</w:t>
      </w:r>
    </w:p>
    <w:p>
      <w:pPr>
        <w:spacing w:after="100"/>
      </w:pPr>
      <w:r>
        <w:rPr>
          <w:rFonts w:ascii="Arial" w:cs="Arial" w:eastAsia="Arial" w:hAnsi="Arial"/>
          <w:color w:val="2E75B6"/>
          <w:sz w:val="26"/>
          <w:szCs w:val="26"/>
        </w:rPr>
        <w:t xml:space="preserve">Machine Learning &amp; ETL Integration Project  |  Project Charter</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2E75B6"/>
                <w:sz w:val="21"/>
                <w:szCs w:val="21"/>
              </w:rPr>
              <w:t xml:space="preserve">Database &amp; Analytics Engineering</w:t>
            </w:r>
          </w:p>
          <w:p>
            <w:pPr>
              <w:spacing w:after="0"/>
            </w:pPr>
            <w:r>
              <w:rPr>
                <w:rFonts w:ascii="Arial" w:cs="Arial" w:eastAsia="Arial" w:hAnsi="Arial"/>
                <w:b/>
                <w:bCs/>
                <w:color w:val="1F4E79"/>
                <w:sz w:val="22"/>
                <w:szCs w:val="22"/>
              </w:rPr>
              <w:t xml:space="preserve">DBAS 3090</w:t>
            </w:r>
          </w:p>
        </w:tc>
        <w:tc>
          <w:tcPr>
            <w:tcW w:type="dxa" w:w="23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2E75B6"/>
                <w:sz w:val="21"/>
                <w:szCs w:val="21"/>
              </w:rPr>
              <w:t xml:space="preserve">Primary Model</w:t>
            </w:r>
          </w:p>
          <w:p>
            <w:pPr>
              <w:spacing w:after="0"/>
            </w:pPr>
            <w:r>
              <w:rPr>
                <w:rFonts w:ascii="Arial" w:cs="Arial" w:eastAsia="Arial" w:hAnsi="Arial"/>
                <w:b/>
                <w:bCs/>
                <w:color w:val="1F4E79"/>
                <w:sz w:val="22"/>
                <w:szCs w:val="22"/>
              </w:rPr>
              <w:t xml:space="preserve">XGBoost Regression</w:t>
            </w:r>
          </w:p>
        </w:tc>
        <w:tc>
          <w:tcPr>
            <w:tcW w:type="dxa" w:w="2340"/>
            <w:tcBorders>
              <w:top w:val="single" w:color="BBBBBB" w:sz="1"/>
              <w:left w:val="single" w:color="BBBBBB" w:sz="1"/>
              <w:bottom w:val="single" w:color="BBBBBB" w:sz="1"/>
              <w:right w:val="single" w:color="BBBBBB" w:sz="1"/>
            </w:tcBorders>
            <w:shd w:fill="FFF3CD" w:val="clear"/>
            <w:tcMar>
              <w:top w:type="dxa" w:w="80"/>
              <w:left w:type="dxa" w:w="140"/>
              <w:bottom w:type="dxa" w:w="80"/>
              <w:right w:type="dxa" w:w="140"/>
            </w:tcMar>
          </w:tcPr>
          <w:p>
            <w:pPr>
              <w:spacing w:after="0"/>
            </w:pPr>
            <w:r>
              <w:rPr>
                <w:rFonts w:ascii="Arial" w:cs="Arial" w:eastAsia="Arial" w:hAnsi="Arial"/>
                <w:color w:val="7B4F00"/>
                <w:sz w:val="21"/>
                <w:szCs w:val="21"/>
              </w:rPr>
              <w:t xml:space="preserve">Target Variable</w:t>
            </w:r>
          </w:p>
          <w:p>
            <w:pPr>
              <w:spacing w:after="0"/>
            </w:pPr>
            <w:r>
              <w:rPr>
                <w:rFonts w:ascii="Arial" w:cs="Arial" w:eastAsia="Arial" w:hAnsi="Arial"/>
                <w:b/>
                <w:bCs/>
                <w:color w:val="7B4F00"/>
                <w:sz w:val="22"/>
                <w:szCs w:val="22"/>
              </w:rPr>
              <w:t xml:space="preserve">Load_MW (regression)</w:t>
            </w:r>
          </w:p>
        </w:tc>
        <w:tc>
          <w:tcPr>
            <w:tcW w:type="dxa" w:w="23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2E75B6"/>
                <w:sz w:val="21"/>
                <w:szCs w:val="21"/>
              </w:rPr>
              <w:t xml:space="preserve">Version / Date</w:t>
            </w:r>
          </w:p>
          <w:p>
            <w:pPr>
              <w:spacing w:after="0"/>
            </w:pPr>
            <w:r>
              <w:rPr>
                <w:rFonts w:ascii="Arial" w:cs="Arial" w:eastAsia="Arial" w:hAnsi="Arial"/>
                <w:b/>
                <w:bCs/>
                <w:color w:val="1F4E79"/>
                <w:sz w:val="22"/>
                <w:szCs w:val="22"/>
              </w:rPr>
              <w:t xml:space="preserve">2.0  |  March 2026</w:t>
            </w:r>
          </w:p>
        </w:tc>
      </w:tr>
    </w:tbl>
    <w:p>
      <w:pPr>
        <w:spacing w:after="200"/>
      </w:pPr>
    </w:p>
    <w:p>
      <w:pPr>
        <w:pStyle w:val="Heading1"/>
      </w:pPr>
      <w:r>
        <w:t xml:space="preserve">1. Document Change Control</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Revision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Date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Author</w:t>
            </w:r>
          </w:p>
        </w:tc>
        <w:tc>
          <w:tcPr>
            <w:tcW w:type="dxa" w:w="47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Description</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1.0</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5-Feb-2026</w:t>
            </w:r>
          </w:p>
        </w:tc>
        <w:tc>
          <w:tcPr>
            <w:tcW w:type="dxa" w:w="1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Dylan Bray</w:t>
            </w:r>
          </w:p>
        </w:tc>
        <w:tc>
          <w:tcPr>
            <w:tcW w:type="dxa" w:w="47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Initial Charter — Halifax Harbour Tide Prediction</w:t>
            </w:r>
          </w:p>
        </w:tc>
      </w:tr>
      <w:tr>
        <w:tc>
          <w:tcPr>
            <w:tcW w:type="dxa" w:w="12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2.0</w:t>
            </w:r>
          </w:p>
        </w:tc>
        <w:tc>
          <w:tcPr>
            <w:tcW w:type="dxa" w:w="16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val="false"/>
                <w:bCs w:val="false"/>
                <w:i w:val="false"/>
                <w:iCs w:val="false"/>
                <w:color w:val="7B4F00"/>
                <w:sz w:val="21"/>
                <w:szCs w:val="21"/>
              </w:rPr>
              <w:t xml:space="preserve">March 2026</w:t>
            </w:r>
          </w:p>
        </w:tc>
        <w:tc>
          <w:tcPr>
            <w:tcW w:type="dxa" w:w="18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val="false"/>
                <w:bCs w:val="false"/>
                <w:i w:val="false"/>
                <w:iCs w:val="false"/>
                <w:color w:val="7B4F00"/>
                <w:sz w:val="21"/>
                <w:szCs w:val="21"/>
              </w:rPr>
              <w:t xml:space="preserve">Dylan Bray</w:t>
            </w:r>
          </w:p>
        </w:tc>
        <w:tc>
          <w:tcPr>
            <w:tcW w:type="dxa" w:w="476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Project pivot: Halifax Energy Demand Forecasting — NSP load data + XGBoost regression pipeline. Aligned with Detect Technologies smart metering industry target.</w:t>
            </w:r>
          </w:p>
        </w:tc>
      </w:tr>
    </w:tbl>
    <w:p>
      <w:pPr>
        <w:spacing w:after="200"/>
      </w:pPr>
    </w:p>
    <w:p>
      <w:pPr>
        <w:pStyle w:val="Heading1"/>
      </w:pPr>
      <w:r>
        <w:t xml:space="preserve">2. Executive Summary</w:t>
      </w:r>
    </w:p>
    <w:p>
      <w:pPr>
        <w:pBdr>
          <w:bottom w:val="single" w:color="2E75B6" w:sz="6" w:space="1"/>
        </w:pBdr>
        <w:spacing w:after="160"/>
      </w:pPr>
    </w:p>
    <w:p>
      <w:pPr>
        <w:spacing w:after="120"/>
      </w:pPr>
      <w:r>
        <w:rPr>
          <w:rFonts w:ascii="Arial" w:cs="Arial" w:eastAsia="Arial" w:hAnsi="Arial"/>
          <w:b w:val="false"/>
          <w:bCs w:val="false"/>
          <w:i w:val="false"/>
          <w:iCs w:val="false"/>
          <w:color w:val="404040"/>
          <w:sz w:val="22"/>
          <w:szCs w:val="22"/>
        </w:rPr>
        <w:t xml:space="preserve">The Halifax Energy Demand Forecasting Project develops a production-grade machine learning pipeline that predicts hourly electricity load in Nova Scotia using Nova Scotia Power (NSP) historical load data and Environment Canada weather feeds. This comprehensive ETL pipeline processes data through SQL Server and SSIS, trains an XGBoost regression model in R, and delivers 24–48 hour load forecasts through a Power BI executive dashboard with Scatter Index health monitoring.</w:t>
      </w:r>
    </w:p>
    <w:p>
      <w:pPr>
        <w:spacing w:after="120"/>
      </w:pPr>
      <w:r>
        <w:rPr>
          <w:rFonts w:ascii="Arial" w:cs="Arial" w:eastAsia="Arial" w:hAnsi="Arial"/>
          <w:b w:val="false"/>
          <w:bCs w:val="false"/>
          <w:i w:val="false"/>
          <w:iCs w:val="false"/>
          <w:color w:val="404040"/>
          <w:sz w:val="22"/>
          <w:szCs w:val="22"/>
        </w:rPr>
        <w:t xml:space="preserve">The project architecture directly mirrors smart energy metering anomaly detection pipelines used in industry — train on historical demand patterns, detect deviations in real-time, and flag events for investigation — providing strong portfolio alignment with smart energy metering roles.</w:t>
      </w:r>
    </w:p>
    <w:p>
      <w:pPr>
        <w:spacing w:after="80"/>
      </w:pPr>
    </w:p>
    <w:p>
      <w:pPr>
        <w:pStyle w:val="Heading2"/>
      </w:pPr>
      <w:r>
        <w:t xml:space="preserve">2.1 Key Project Aspects</w:t>
      </w:r>
    </w:p>
    <w:p>
      <w:pPr>
        <w:pStyle w:val="ListParagraph"/>
        <w:numPr>
          <w:ilvl w:val="0"/>
          <w:numId w:val="2"/>
        </w:numPr>
        <w:spacing w:after="80"/>
      </w:pPr>
      <w:r>
        <w:rPr>
          <w:rFonts w:ascii="Arial" w:cs="Arial" w:eastAsia="Arial" w:hAnsi="Arial"/>
          <w:color w:val="404040"/>
          <w:sz w:val="22"/>
          <w:szCs w:val="22"/>
        </w:rPr>
        <w:t xml:space="preserve">Goals: Automated ETL pipeline ingesting NSP load and Environment Canada weather for XGBoost-based hourly load forecasting</w:t>
      </w:r>
    </w:p>
    <w:p>
      <w:pPr>
        <w:pStyle w:val="ListParagraph"/>
        <w:numPr>
          <w:ilvl w:val="0"/>
          <w:numId w:val="2"/>
        </w:numPr>
        <w:spacing w:after="80"/>
      </w:pPr>
      <w:r>
        <w:rPr>
          <w:rFonts w:ascii="Arial" w:cs="Arial" w:eastAsia="Arial" w:hAnsi="Arial"/>
          <w:color w:val="404040"/>
          <w:sz w:val="22"/>
          <w:szCs w:val="22"/>
        </w:rPr>
        <w:t xml:space="preserve">Deliverables: XGBoost model in R, SSIS packages, 5-table SQL Server schema, Power BI dashboard with SI% gauge, full technical documentation</w:t>
      </w:r>
    </w:p>
    <w:p>
      <w:pPr>
        <w:pStyle w:val="ListParagraph"/>
        <w:numPr>
          <w:ilvl w:val="0"/>
          <w:numId w:val="2"/>
        </w:numPr>
        <w:spacing w:after="80"/>
      </w:pPr>
      <w:r>
        <w:rPr>
          <w:rFonts w:ascii="Arial" w:cs="Arial" w:eastAsia="Arial" w:hAnsi="Arial"/>
          <w:color w:val="404040"/>
          <w:sz w:val="22"/>
          <w:szCs w:val="22"/>
        </w:rPr>
        <w:t xml:space="preserve">Timeline: 10-week academic project with 3-phase milestone delivery</w:t>
      </w:r>
    </w:p>
    <w:p>
      <w:pPr>
        <w:pStyle w:val="ListParagraph"/>
        <w:numPr>
          <w:ilvl w:val="0"/>
          <w:numId w:val="2"/>
        </w:numPr>
        <w:spacing w:after="80"/>
      </w:pPr>
      <w:r>
        <w:rPr>
          <w:rFonts w:ascii="Arial" w:cs="Arial" w:eastAsia="Arial" w:hAnsi="Arial"/>
          <w:color w:val="404040"/>
          <w:sz w:val="22"/>
          <w:szCs w:val="22"/>
        </w:rPr>
        <w:t xml:space="preserve">Key Risks: NSP OASIS availability (Emera cyber incident — mitigated via Wetmore.ca), shoulder season model degradation, SSIS connectivity failures</w:t>
      </w:r>
    </w:p>
    <w:p>
      <w:pPr>
        <w:spacing w:after="160"/>
      </w:pPr>
    </w:p>
    <w:p>
      <w:pPr>
        <w:pStyle w:val="Heading1"/>
      </w:pPr>
      <w:r>
        <w:t xml:space="preserve">3. Authorization</w:t>
      </w:r>
    </w:p>
    <w:p>
      <w:pPr>
        <w:pBdr>
          <w:bottom w:val="single" w:color="2E75B6" w:sz="6" w:space="1"/>
        </w:pBdr>
        <w:spacing w:after="160"/>
      </w:pPr>
    </w:p>
    <w:p>
      <w:pPr>
        <w:spacing w:after="120"/>
      </w:pPr>
      <w:r>
        <w:rPr>
          <w:rFonts w:ascii="Arial" w:cs="Arial" w:eastAsia="Arial" w:hAnsi="Arial"/>
          <w:b w:val="false"/>
          <w:bCs w:val="false"/>
          <w:i w:val="false"/>
          <w:iCs w:val="false"/>
          <w:color w:val="404040"/>
          <w:sz w:val="22"/>
          <w:szCs w:val="22"/>
        </w:rPr>
        <w:t xml:space="preserve">This project charter formally authorizes the existence of the Halifax Energy Demand Forecasting Project and provides the project manager with the authority to apply organizational resources to project activities described herein.</w:t>
      </w:r>
    </w:p>
    <w:p>
      <w:pPr>
        <w:spacing w:after="200"/>
      </w:pPr>
    </w:p>
    <w:p>
      <w:pPr>
        <w:spacing w:after="120"/>
      </w:pPr>
      <w:r>
        <w:rPr>
          <w:rFonts w:ascii="Arial" w:cs="Arial" w:eastAsia="Arial" w:hAnsi="Arial"/>
          <w:b w:val="false"/>
          <w:bCs w:val="false"/>
          <w:i w:val="false"/>
          <w:iCs w:val="false"/>
          <w:color w:val="404040"/>
          <w:sz w:val="22"/>
          <w:szCs w:val="22"/>
        </w:rPr>
        <w:t xml:space="preserve">____________________________________________________________</w:t>
      </w:r>
    </w:p>
    <w:p>
      <w:pPr>
        <w:spacing w:after="120"/>
      </w:pPr>
      <w:r>
        <w:rPr>
          <w:rFonts w:ascii="Arial" w:cs="Arial" w:eastAsia="Arial" w:hAnsi="Arial"/>
          <w:b w:val="false"/>
          <w:bCs w:val="false"/>
          <w:i w:val="false"/>
          <w:iCs w:val="false"/>
          <w:color w:val="404040"/>
          <w:sz w:val="22"/>
          <w:szCs w:val="22"/>
        </w:rPr>
        <w:t xml:space="preserve">George Campanis                                    Date: _____________</w:t>
      </w:r>
    </w:p>
    <w:p>
      <w:pPr>
        <w:spacing w:after="120"/>
      </w:pPr>
      <w:r>
        <w:rPr>
          <w:rFonts w:ascii="Arial" w:cs="Arial" w:eastAsia="Arial" w:hAnsi="Arial"/>
          <w:b w:val="false"/>
          <w:bCs w:val="false"/>
          <w:i/>
          <w:iCs/>
          <w:color w:val="767676"/>
          <w:sz w:val="22"/>
          <w:szCs w:val="22"/>
        </w:rPr>
        <w:t xml:space="preserve">Project Sponsor / Faculty Advisor</w:t>
      </w:r>
    </w:p>
    <w:p>
      <w:pPr>
        <w:spacing w:after="160"/>
      </w:pPr>
    </w:p>
    <w:p>
      <w:pPr>
        <w:spacing w:after="120"/>
      </w:pPr>
      <w:r>
        <w:rPr>
          <w:rFonts w:ascii="Arial" w:cs="Arial" w:eastAsia="Arial" w:hAnsi="Arial"/>
          <w:b w:val="false"/>
          <w:bCs w:val="false"/>
          <w:i w:val="false"/>
          <w:iCs w:val="false"/>
          <w:color w:val="404040"/>
          <w:sz w:val="22"/>
          <w:szCs w:val="22"/>
        </w:rPr>
        <w:t xml:space="preserve">____________________________________________________________</w:t>
      </w:r>
    </w:p>
    <w:p>
      <w:pPr>
        <w:spacing w:after="120"/>
      </w:pPr>
      <w:r>
        <w:rPr>
          <w:rFonts w:ascii="Arial" w:cs="Arial" w:eastAsia="Arial" w:hAnsi="Arial"/>
          <w:b w:val="false"/>
          <w:bCs w:val="false"/>
          <w:i w:val="false"/>
          <w:iCs w:val="false"/>
          <w:color w:val="404040"/>
          <w:sz w:val="22"/>
          <w:szCs w:val="22"/>
        </w:rPr>
        <w:t xml:space="preserve">Dylan Bray                                              Date: _____________</w:t>
      </w:r>
    </w:p>
    <w:p>
      <w:pPr>
        <w:spacing w:after="120"/>
      </w:pPr>
      <w:r>
        <w:rPr>
          <w:rFonts w:ascii="Arial" w:cs="Arial" w:eastAsia="Arial" w:hAnsi="Arial"/>
          <w:b w:val="false"/>
          <w:bCs w:val="false"/>
          <w:i/>
          <w:iCs/>
          <w:color w:val="767676"/>
          <w:sz w:val="22"/>
          <w:szCs w:val="22"/>
        </w:rPr>
        <w:t xml:space="preserve">Project Manager</w:t>
      </w:r>
    </w:p>
    <w:p>
      <w:pPr>
        <w:spacing w:after="160"/>
      </w:pPr>
    </w:p>
    <w:p>
      <w:pPr>
        <w:pStyle w:val="Heading1"/>
      </w:pPr>
      <w:r>
        <w:t xml:space="preserve">4. Project Overview</w:t>
      </w:r>
    </w:p>
    <w:p>
      <w:pPr>
        <w:pBdr>
          <w:bottom w:val="single" w:color="2E75B6" w:sz="6" w:space="1"/>
        </w:pBdr>
        <w:spacing w:after="160"/>
      </w:pPr>
    </w:p>
    <w:p>
      <w:pPr>
        <w:pStyle w:val="Heading2"/>
      </w:pPr>
      <w:r>
        <w:t xml:space="preserve">4.1 Project Summary</w:t>
      </w:r>
    </w:p>
    <w:p>
      <w:pPr>
        <w:spacing w:after="120"/>
      </w:pPr>
      <w:r>
        <w:rPr>
          <w:rFonts w:ascii="Arial" w:cs="Arial" w:eastAsia="Arial" w:hAnsi="Arial"/>
          <w:b w:val="false"/>
          <w:bCs w:val="false"/>
          <w:i w:val="false"/>
          <w:iCs w:val="false"/>
          <w:color w:val="404040"/>
          <w:sz w:val="22"/>
          <w:szCs w:val="22"/>
        </w:rPr>
        <w:t xml:space="preserve">This initiative develops a machine learning pipeline to forecast hourly electricity demand in Nova Scotia by integrating NSP hourly load data (NSP OASIS/Wetmore, 2022–2024) with Environment Canada weather data (Stanfield Station 50620: temperature, wind speed, barometric pressure). The automated ETL pipeline processes data through SQL Server and SSIS, trains an XGBoost regression model in R, and delivers forecasts through Power BI dashboards with automated Scatter Index health monitoring.</w:t>
      </w:r>
    </w:p>
    <w:p>
      <w:pPr>
        <w:spacing w:after="80"/>
      </w:pPr>
    </w:p>
    <w:p>
      <w:pPr>
        <w:pStyle w:val="Heading2"/>
      </w:pPr>
      <w:r>
        <w:t xml:space="preserve">4.2 Key Stakeholders &amp; Beneficiaries</w:t>
      </w:r>
    </w:p>
    <w:p>
      <w:pPr>
        <w:pStyle w:val="ListParagraph"/>
        <w:numPr>
          <w:ilvl w:val="0"/>
          <w:numId w:val="2"/>
        </w:numPr>
        <w:spacing w:after="80"/>
      </w:pPr>
      <w:r>
        <w:rPr>
          <w:rFonts w:ascii="Arial" w:cs="Arial" w:eastAsia="Arial" w:hAnsi="Arial"/>
          <w:color w:val="404040"/>
          <w:sz w:val="22"/>
          <w:szCs w:val="22"/>
        </w:rPr>
        <w:t xml:space="preserve">Nova Scotia Power / Emera: Primary data source and beneficiary — improved 24-hr load forecasting supports fuel procurement, hydro scheduling, and peak demand response activation</w:t>
      </w:r>
    </w:p>
    <w:p>
      <w:pPr>
        <w:pStyle w:val="ListParagraph"/>
        <w:numPr>
          <w:ilvl w:val="0"/>
          <w:numId w:val="2"/>
        </w:numPr>
        <w:spacing w:after="80"/>
      </w:pPr>
      <w:r>
        <w:rPr>
          <w:rFonts w:ascii="Arial" w:cs="Arial" w:eastAsia="Arial" w:hAnsi="Arial"/>
          <w:color w:val="404040"/>
          <w:sz w:val="22"/>
          <w:szCs w:val="22"/>
        </w:rPr>
        <w:t xml:space="preserve">Detect Technologies: Smart energy metering company — this pipeline architecture directly mirrors their meter-level anomaly detection systems; strong portfolio alignment for internship opportunity</w:t>
      </w:r>
    </w:p>
    <w:p>
      <w:pPr>
        <w:pStyle w:val="ListParagraph"/>
        <w:numPr>
          <w:ilvl w:val="0"/>
          <w:numId w:val="2"/>
        </w:numPr>
        <w:spacing w:after="80"/>
      </w:pPr>
      <w:r>
        <w:rPr>
          <w:rFonts w:ascii="Arial" w:cs="Arial" w:eastAsia="Arial" w:hAnsi="Arial"/>
          <w:color w:val="404040"/>
          <w:sz w:val="22"/>
          <w:szCs w:val="22"/>
        </w:rPr>
        <w:t xml:space="preserve">Commercial &amp; Industrial Users: Large-load customers benefit from demand charge optimization when grid load forecasts enable time-of-use management</w:t>
      </w:r>
    </w:p>
    <w:p>
      <w:pPr>
        <w:pStyle w:val="ListParagraph"/>
        <w:numPr>
          <w:ilvl w:val="0"/>
          <w:numId w:val="2"/>
        </w:numPr>
        <w:spacing w:after="80"/>
      </w:pPr>
      <w:r>
        <w:rPr>
          <w:rFonts w:ascii="Arial" w:cs="Arial" w:eastAsia="Arial" w:hAnsi="Arial"/>
          <w:color w:val="404040"/>
          <w:sz w:val="22"/>
          <w:szCs w:val="22"/>
        </w:rPr>
        <w:t xml:space="preserve">Grid Operators / ISO-NE: Independent System Operator New England relies on accurate provincial load forecasts for regional grid balancing and emergency reserve scheduling</w:t>
      </w:r>
    </w:p>
    <w:p>
      <w:pPr>
        <w:spacing w:after="80"/>
      </w:pPr>
    </w:p>
    <w:p>
      <w:pPr>
        <w:pStyle w:val="Heading2"/>
      </w:pPr>
      <w:r>
        <w:t xml:space="preserve">4.3 Project Goals, Business Outcomes and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900"/>
        <w:gridCol w:w="3760"/>
      </w:tblGrid>
      <w:tr>
        <w:tc>
          <w:tcPr>
            <w:tcW w:type="dxa" w:w="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No.</w:t>
            </w:r>
          </w:p>
        </w:tc>
        <w:tc>
          <w:tcPr>
            <w:tcW w:type="dxa" w:w="21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Goals</w:t>
            </w:r>
          </w:p>
        </w:tc>
        <w:tc>
          <w:tcPr>
            <w:tcW w:type="dxa" w:w="29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Objectives</w:t>
            </w:r>
          </w:p>
        </w:tc>
        <w:tc>
          <w:tcPr>
            <w:tcW w:type="dxa" w:w="37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Business Outcomes</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1</w:t>
            </w:r>
          </w:p>
        </w:tc>
        <w:tc>
          <w:tcPr>
            <w:tcW w:type="dxa" w:w="21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404040"/>
                <w:sz w:val="21"/>
                <w:szCs w:val="21"/>
              </w:rPr>
              <w:t xml:space="preserve">Develop XGBoost load forecasting model</w:t>
            </w:r>
          </w:p>
        </w:tc>
        <w:tc>
          <w:tcPr>
            <w:tcW w:type="dxa" w:w="2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Train regression model on 3 years of NSP hourly load + EC weather. Feature engineer Lag_Load_24h, HDD/CDD flags, Hour, DayOfWeek, Is_Holiday. Chronological 80/20 train/test split.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Functional model with RMSE &lt; 45 MW and Scatter Index &lt; 5% on stable weather periods</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2</w:t>
            </w:r>
          </w:p>
        </w:tc>
        <w:tc>
          <w:tcPr>
            <w:tcW w:type="dxa" w:w="21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404040"/>
                <w:sz w:val="21"/>
                <w:szCs w:val="21"/>
              </w:rPr>
              <w:t xml:space="preserve">Build automated SSIS ETL pipeline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Design SSIS packages to extract NSP load CSV (Wetmore/OASIS) and EC weather CSV. Join and enrich into Fact_Energy_Weather with HDD/CDD derived columns.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Fully automated data pipeline — SQL Agent job runs daily at 06:00 AT with error logging</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3</w:t>
            </w:r>
          </w:p>
        </w:tc>
        <w:tc>
          <w:tcPr>
            <w:tcW w:type="dxa" w:w="21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404040"/>
                <w:sz w:val="21"/>
                <w:szCs w:val="21"/>
              </w:rPr>
              <w:t xml:space="preserve">Deliver Power BI executive dashboard</w:t>
            </w:r>
          </w:p>
        </w:tc>
        <w:tc>
          <w:tcPr>
            <w:tcW w:type="dxa" w:w="2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Build 3 core visuals: Actual vs Predicted load chart, Temperature-Load U-shape scatter, SI% health gauge with green/amber/red zones and automated alert when SI &gt; 10%.</w:t>
            </w:r>
          </w:p>
        </w:tc>
        <w:tc>
          <w:tcPr>
            <w:tcW w:type="dxa" w:w="3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Actionable intelligence for demand response planning and model health monitoring</w:t>
            </w:r>
          </w:p>
        </w:tc>
      </w:tr>
    </w:tbl>
    <w:p>
      <w:pPr>
        <w:spacing w:after="160"/>
      </w:pPr>
    </w:p>
    <w:p>
      <w:pPr>
        <w:pStyle w:val="Heading1"/>
      </w:pPr>
      <w:r>
        <w:t xml:space="preserve">5. Technical Architecture</w:t>
      </w:r>
    </w:p>
    <w:p>
      <w:pPr>
        <w:pBdr>
          <w:bottom w:val="single" w:color="2E75B6" w:sz="6" w:space="1"/>
        </w:pBdr>
        <w:spacing w:after="160"/>
      </w:pPr>
    </w:p>
    <w:p>
      <w:pPr>
        <w:pStyle w:val="Heading2"/>
      </w:pPr>
      <w:r>
        <w:t xml:space="preserve">5.1 Data Sources</w:t>
      </w:r>
    </w:p>
    <w:p>
      <w:pPr>
        <w:pStyle w:val="ListParagraph"/>
        <w:numPr>
          <w:ilvl w:val="0"/>
          <w:numId w:val="2"/>
        </w:numPr>
        <w:spacing w:after="80"/>
      </w:pPr>
      <w:r>
        <w:rPr>
          <w:rFonts w:ascii="Arial" w:cs="Arial" w:eastAsia="Arial" w:hAnsi="Arial"/>
          <w:color w:val="404040"/>
          <w:sz w:val="22"/>
          <w:szCs w:val="22"/>
        </w:rPr>
        <w:t xml:space="preserve">NSP Hourly Load Data: NSP OASIS portal (oasis.nspower.ca) for 2022–2024 historical CSV; Wetmore.ca confirmed as working alternate source for 2025–2026 data (Emera cyber incident Jan 2025 limits direct OASIS updates)</w:t>
      </w:r>
    </w:p>
    <w:p>
      <w:pPr>
        <w:pStyle w:val="ListParagraph"/>
        <w:numPr>
          <w:ilvl w:val="0"/>
          <w:numId w:val="2"/>
        </w:numPr>
        <w:spacing w:after="80"/>
      </w:pPr>
      <w:r>
        <w:rPr>
          <w:rFonts w:ascii="Arial" w:cs="Arial" w:eastAsia="Arial" w:hAnsi="Arial"/>
          <w:color w:val="404040"/>
          <w:sz w:val="22"/>
          <w:szCs w:val="22"/>
        </w:rPr>
        <w:t xml:space="preserve">Environment Canada Weather: Bulk hourly CSV download from climate.weather.gc.ca, Station 50620 (Halifax Stanfield International Airport) — Temp_C, WindSpeed_kmh, Precip_mm, Pressure_hPa</w:t>
      </w:r>
    </w:p>
    <w:p>
      <w:pPr>
        <w:pStyle w:val="ListParagraph"/>
        <w:numPr>
          <w:ilvl w:val="0"/>
          <w:numId w:val="2"/>
        </w:numPr>
        <w:spacing w:after="80"/>
      </w:pPr>
      <w:r>
        <w:rPr>
          <w:rFonts w:ascii="Arial" w:cs="Arial" w:eastAsia="Arial" w:hAnsi="Arial"/>
          <w:color w:val="404040"/>
          <w:sz w:val="22"/>
          <w:szCs w:val="22"/>
        </w:rPr>
        <w:t xml:space="preserve">Live Inference Layer: MSC Datamart 48-hour weather forecast feed for forward prediction generation; NSP Wetmore JSON feed for near-real-time load monitoring</w:t>
      </w:r>
    </w:p>
    <w:p>
      <w:pPr>
        <w:spacing w:after="80"/>
      </w:pPr>
    </w:p>
    <w:p>
      <w:pPr>
        <w:pStyle w:val="Heading2"/>
      </w:pPr>
      <w:r>
        <w:t xml:space="preserve">5.2 Technology 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Category</w:t>
            </w:r>
          </w:p>
        </w:tc>
        <w:tc>
          <w:tcPr>
            <w:tcW w:type="dxa" w:w="28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Tool / Technology</w:t>
            </w:r>
          </w:p>
        </w:tc>
        <w:tc>
          <w:tcPr>
            <w:tcW w:type="dxa" w:w="43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Purpose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1F4E79"/>
                <w:sz w:val="21"/>
                <w:szCs w:val="21"/>
              </w:rPr>
              <w:t xml:space="preserve">Database</w:t>
            </w:r>
          </w:p>
        </w:tc>
        <w:tc>
          <w:tcPr>
            <w:tcW w:type="dxa" w:w="2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MS SQL Server 2022</w:t>
            </w:r>
          </w:p>
        </w:tc>
        <w:tc>
          <w:tcPr>
            <w:tcW w:type="dxa" w:w="43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5-table schema: stg_NSP_Load, stg_Weather, Fact_Energy_Weather, Dim_Date, Model_Predictions. Normalized time-series with optimized datetime indexing.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1F4E79"/>
                <w:sz w:val="21"/>
                <w:szCs w:val="21"/>
              </w:rPr>
              <w:t xml:space="preserve">ETL Pipeline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SQL Server Integration Services (SSIS)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Automated extraction (Flat File Sources), transformation (Derived Column: HDD/CDD flags, Lookup join), loading into fact table. SQL Agent scheduling.</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1F4E79"/>
                <w:sz w:val="21"/>
                <w:szCs w:val="21"/>
              </w:rPr>
              <w:t xml:space="preserve">Machine Learning</w:t>
            </w:r>
          </w:p>
        </w:tc>
        <w:tc>
          <w:tcPr>
            <w:tcW w:type="dxa" w:w="2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R 4.3+ (xgboost, DBI, odbc, lubridate, zoo, Metrics)</w:t>
            </w:r>
          </w:p>
        </w:tc>
        <w:tc>
          <w:tcPr>
            <w:tcW w:type="dxa" w:w="43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XGBoost regression model training, feature engineering (lag features, temporal features), RMSE/SI% validation, forecast generation, SQL writeback via dbWriteTable.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1F4E79"/>
                <w:sz w:val="21"/>
                <w:szCs w:val="21"/>
              </w:rPr>
              <w:t xml:space="preserve">Statistical Baseline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R (forecast, tseries)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ARIMA baseline model for benchmark comparison against XGBoost. Establishes control RMSE for performance delta reporting.</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1F4E79"/>
                <w:sz w:val="21"/>
                <w:szCs w:val="21"/>
              </w:rPr>
              <w:t xml:space="preserve">Visualization</w:t>
            </w:r>
          </w:p>
        </w:tc>
        <w:tc>
          <w:tcPr>
            <w:tcW w:type="dxa" w:w="2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MS Power BI Desktop / Service</w:t>
            </w:r>
          </w:p>
        </w:tc>
        <w:tc>
          <w:tcPr>
            <w:tcW w:type="dxa" w:w="43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Actual vs Predicted line chart, Temperature-Load U-shape scatter, Scatter Index KPI gauge, Date Range slicer. Live SQL Server connection.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1F4E79"/>
                <w:sz w:val="21"/>
                <w:szCs w:val="21"/>
              </w:rPr>
              <w:t xml:space="preserve">Version Control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Git / GitHub (dpbray79.github.io)</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Source code management, portfolio documentation, public-facing project write-up</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1F4E79"/>
                <w:sz w:val="21"/>
                <w:szCs w:val="21"/>
              </w:rPr>
              <w:t xml:space="preserve">Development</w:t>
            </w:r>
          </w:p>
        </w:tc>
        <w:tc>
          <w:tcPr>
            <w:tcW w:type="dxa" w:w="2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Visual Studio (SSDT), RStudio, SSMS</w:t>
            </w:r>
          </w:p>
        </w:tc>
        <w:tc>
          <w:tcPr>
            <w:tcW w:type="dxa" w:w="43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SSIS package development, R model iteration, SQL schema management</w:t>
            </w:r>
          </w:p>
        </w:tc>
      </w:tr>
    </w:tbl>
    <w:p>
      <w:pPr>
        <w:spacing w:after="160"/>
      </w:pPr>
    </w:p>
    <w:p>
      <w:pPr>
        <w:pStyle w:val="Heading1"/>
      </w:pPr>
      <w:r>
        <w:t xml:space="preserve">6. Machine Learning Models &amp; Predictive Analytics</w:t>
      </w:r>
    </w:p>
    <w:p>
      <w:pPr>
        <w:pBdr>
          <w:bottom w:val="single" w:color="2E75B6" w:sz="6" w:space="1"/>
        </w:pBdr>
        <w:spacing w:after="160"/>
      </w:pPr>
    </w:p>
    <w:p>
      <w:pPr>
        <w:pStyle w:val="Heading2"/>
      </w:pPr>
      <w:r>
        <w:t xml:space="preserve">6.1 Model Development Strategy</w:t>
      </w:r>
    </w:p>
    <w:p>
      <w:pPr>
        <w:spacing w:after="120"/>
      </w:pPr>
      <w:r>
        <w:rPr>
          <w:rFonts w:ascii="Arial" w:cs="Arial" w:eastAsia="Arial" w:hAnsi="Arial"/>
          <w:b w:val="false"/>
          <w:bCs w:val="false"/>
          <w:i w:val="false"/>
          <w:iCs w:val="false"/>
          <w:color w:val="404040"/>
          <w:sz w:val="22"/>
          <w:szCs w:val="22"/>
        </w:rPr>
        <w:t xml:space="preserve">The project uses a phased approach: establish an ARIMA baseline first to validate pipeline data integrity, then train the XGBoost model with full weather feature engineering. Performance is measured by RMSE reduction relative to the ARIMA baseline during high-volatility HDD/CDD events — the conditions that matter most operationally.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7B4F00"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Critical Design Decision</w:t>
            </w:r>
          </w:p>
        </w:tc>
        <w:tc>
          <w:tcPr>
            <w:tcW w:type="dxa" w:w="786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40"/>
            </w:tcMar>
          </w:tcPr>
          <w:p>
            <w:pPr>
              <w:spacing w:after="0"/>
            </w:pPr>
            <w:r>
              <w:rPr>
                <w:rFonts w:ascii="Arial" w:cs="Arial" w:eastAsia="Arial" w:hAnsi="Arial"/>
                <w:color w:val="404040"/>
                <w:sz w:val="21"/>
                <w:szCs w:val="21"/>
              </w:rPr>
              <w:t xml:space="preserve">Chronological 80/20 train/test split is mandatory — never random shuffle for time-series data. A random split leaks future demand patterns into training and produces unrealistically strong RMSE scores that will not hold in production.</w:t>
            </w:r>
          </w:p>
        </w:tc>
      </w:tr>
    </w:tbl>
    <w:p>
      <w:pPr>
        <w:spacing w:after="120"/>
      </w:pPr>
    </w:p>
    <w:p>
      <w:pPr>
        <w:pStyle w:val="Heading2"/>
      </w:pPr>
      <w:r>
        <w:t xml:space="preserve">6.2 Regression &amp; Time-Series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Model</w:t>
            </w:r>
          </w:p>
        </w:tc>
        <w:tc>
          <w:tcPr>
            <w:tcW w:type="dxa" w:w="24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Description</w:t>
            </w:r>
          </w:p>
        </w:tc>
        <w:tc>
          <w:tcPr>
            <w:tcW w:type="dxa" w:w="25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Use Case</w:t>
            </w:r>
          </w:p>
        </w:tc>
        <w:tc>
          <w:tcPr>
            <w:tcW w:type="dxa" w:w="22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Target Metric</w:t>
            </w:r>
          </w:p>
        </w:tc>
      </w:tr>
      <w:tr>
        <w:tc>
          <w:tcPr>
            <w:tcW w:type="dxa" w:w="22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XGBoost Regression</w:t>
            </w:r>
          </w:p>
        </w:tc>
        <w:tc>
          <w:tcPr>
            <w:tcW w:type="dxa" w:w="24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Gradient boosting with max_depth=3, eta=0.05, nrounds=10000, early_stopping. Handles non-linear HDD/CDD demand curves.</w:t>
            </w:r>
          </w:p>
        </w:tc>
        <w:tc>
          <w:tcPr>
            <w:tcW w:type="dxa" w:w="25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PRIMARY MODEL: 24–48 hour load forecast incorporating weather, lag, and temporal features</w:t>
            </w:r>
          </w:p>
        </w:tc>
        <w:tc>
          <w:tcPr>
            <w:tcW w:type="dxa" w:w="226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RMSE &lt; 45 MW
SI% &lt; 5% stable
SI% &lt; 10% shoulder</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ARIMA Baseline</w:t>
            </w:r>
          </w:p>
        </w:tc>
        <w:tc>
          <w:tcPr>
            <w:tcW w:type="dxa" w:w="24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Classical time-series ARIMA on load history only. No weather features. Establishes benchmark accuracy floor.</w:t>
            </w:r>
          </w:p>
        </w:tc>
        <w:tc>
          <w:tcPr>
            <w:tcW w:type="dxa" w:w="25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CONTROL: Benchmark comparison. Validates pipeline data integrity before introducing weather features.</w:t>
            </w:r>
          </w:p>
        </w:tc>
        <w:tc>
          <w:tcPr>
            <w:tcW w:type="dxa" w:w="22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RMSE &lt; 80 MW
SI% &lt; 15%</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375623"/>
                <w:sz w:val="21"/>
                <w:szCs w:val="21"/>
              </w:rPr>
              <w:t xml:space="preserve">Random Forest (Optional)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Ensemble of decision trees. Used for feature importance validation — confirms Lag_Load_24h and HDD_Flag as dominant predictors.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SUPPLEMENTARY: Feature importance cross-check; ensemble fallback if XGBoost underperforms on shoulder season data.</w:t>
            </w:r>
          </w:p>
        </w:tc>
        <w:tc>
          <w:tcPr>
            <w:tcW w:type="dxa" w:w="22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375623"/>
                <w:sz w:val="21"/>
                <w:szCs w:val="21"/>
              </w:rPr>
              <w:t xml:space="preserve">RMSE &lt; 55 MW</w:t>
            </w:r>
          </w:p>
        </w:tc>
      </w:tr>
    </w:tbl>
    <w:p>
      <w:pPr>
        <w:spacing w:after="120"/>
      </w:pPr>
    </w:p>
    <w:p>
      <w:pPr>
        <w:pStyle w:val="Heading2"/>
      </w:pPr>
      <w:r>
        <w:t xml:space="preserve">6.3 Feature Engineering</w:t>
      </w:r>
    </w:p>
    <w:p>
      <w:pPr>
        <w:spacing w:after="120"/>
      </w:pPr>
      <w:r>
        <w:rPr>
          <w:rFonts w:ascii="Arial" w:cs="Arial" w:eastAsia="Arial" w:hAnsi="Arial"/>
          <w:b w:val="false"/>
          <w:bCs w:val="false"/>
          <w:i w:val="false"/>
          <w:iCs w:val="false"/>
          <w:color w:val="404040"/>
          <w:sz w:val="22"/>
          <w:szCs w:val="22"/>
        </w:rPr>
        <w:t xml:space="preserve">Input features are engineered in two stages: SSIS-derived columns added during ETL (HDD_Flag, CDD_Flag, Month, Hour, DayOfWeek) and R-engineered lag features added during model preparation (Lag_Load_24h, Lag_Load_168h, Is_Holiday).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Feature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Type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Description</w:t>
            </w:r>
          </w:p>
        </w:tc>
        <w:tc>
          <w:tcPr>
            <w:tcW w:type="dxa" w:w="25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Source / Notes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Lag_Load_24h</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Continuous</w:t>
            </w:r>
          </w:p>
        </w:tc>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Load_MW from exactly 24 hours prior — typically the strongest XGBoost feature (40–60% feature importance)</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R: lag(Load_MW, 24). Missing if data has gaps — requires complete hourly coverage.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Lag_Load_168h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Continuous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Load_MW from 7 days prior (same hour last week) — captures weekly demand cycle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R: lag(Load_MW, 168)</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Temp_C</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Continuous</w:t>
            </w:r>
          </w:p>
        </w:tc>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Hourly dry-bulb temperature from EC Stanfield. Primary weather driver via U-shape relationship with load.</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EC Station 50620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HDD_Flag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Binary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1 if Temp_C &lt; 18°C — Heating Degree Day flag. Marks periods of electric heating demand.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SSIS Derived Column</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CDD_Flag</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Binary</w:t>
            </w:r>
          </w:p>
        </w:tc>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1 if Temp_C &gt; 22°C — Cooling Degree Day flag. Marks summer air conditioning demand periods.</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SSIS Derived Column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Hour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Ordinal (0–23)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Hour of day — captures daily demand cycle (morning ramp, evening peak, overnight trough).</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SSIS Derived Column</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DayOfWeek</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Ordinal (1–7)</w:t>
            </w:r>
          </w:p>
        </w:tc>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Weekday vs weekend load patterns differ by 15–20% in NS.</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SSIS Derived Column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Month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Ordinal (1–12)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Seasonal proxy — winter months (Jan–Feb) have highest average load in NS.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SSIS Derived Column</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Is_Holiday</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Binary</w:t>
            </w:r>
          </w:p>
        </w:tc>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NS statutory holiday flag (1 = holiday). ~10 dates/year — significant demand suppressor.</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R: lookup against ns_holidays vector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WindSpeed_kmh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Continuous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Hourly wind speed from EC — minor but included; wind chill amplifies heating demand.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EC Station 50620</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Load_MW</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Continuous</w:t>
            </w:r>
          </w:p>
        </w:tc>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TARGET: actual hourly energy demand in megawatts — the regression output variable.</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NSP OASIS / Wetmore</w:t>
            </w:r>
          </w:p>
        </w:tc>
      </w:tr>
    </w:tbl>
    <w:p>
      <w:pPr>
        <w:spacing w:after="160"/>
      </w:pPr>
    </w:p>
    <w:p>
      <w:pPr>
        <w:pStyle w:val="Heading1"/>
      </w:pPr>
      <w:r>
        <w:t xml:space="preserve">7. Core Model and KPI Strategy</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KPI</w:t>
            </w:r>
          </w:p>
        </w:tc>
        <w:tc>
          <w:tcPr>
            <w:tcW w:type="dxa" w:w="18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Target</w:t>
            </w:r>
          </w:p>
        </w:tc>
        <w:tc>
          <w:tcPr>
            <w:tcW w:type="dxa" w:w="21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Threshold</w:t>
            </w:r>
          </w:p>
        </w:tc>
        <w:tc>
          <w:tcPr>
            <w:tcW w:type="dxa" w:w="30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Interpretation</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RMSE (Root Mean Square Error)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375623"/>
                <w:sz w:val="21"/>
                <w:szCs w:val="21"/>
              </w:rPr>
              <w:t xml:space="preserve">&lt; 45 MW</w:t>
            </w:r>
          </w:p>
        </w:tc>
        <w:tc>
          <w:tcPr>
            <w:tcW w:type="dxa" w:w="21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&lt; 80 MW (acceptable)</w:t>
            </w:r>
          </w:p>
        </w:tc>
        <w:tc>
          <w:tcPr>
            <w:tcW w:type="dxa" w:w="3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Primary accuracy metric. Lower is better. Compare against ARIMA baseline to demonstrate XGBoost value.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Scatter Index (SI%)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375623"/>
                <w:sz w:val="21"/>
                <w:szCs w:val="21"/>
              </w:rPr>
              <w:t xml:space="preserve">&lt; 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&lt; 10% (amber)
&gt; 10% (red — retune)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SI = RMSE / mean load × 100. Model health gauge — mirrors Detect Technologies anomaly detection threshold logic.</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ARIMA vs XGBoost RMSE Delta</w:t>
            </w:r>
          </w:p>
        </w:tc>
        <w:tc>
          <w:tcPr>
            <w:tcW w:type="dxa" w:w="1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375623"/>
                <w:sz w:val="21"/>
                <w:szCs w:val="21"/>
              </w:rPr>
              <w:t xml:space="preserve">≥ 30% improvement</w:t>
            </w:r>
          </w:p>
        </w:tc>
        <w:tc>
          <w:tcPr>
            <w:tcW w:type="dxa" w:w="21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 15% (acceptable)</w:t>
            </w:r>
          </w:p>
        </w:tc>
        <w:tc>
          <w:tcPr>
            <w:tcW w:type="dxa" w:w="3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Demonstrates that weather features provide meaningful predictive lift beyond time-series alone.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Pipeline Uptime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375623"/>
                <w:sz w:val="21"/>
                <w:szCs w:val="21"/>
              </w:rPr>
              <w:t xml:space="preserve">≥ 99% daily runs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&lt; 2 consecutive failures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SQL Agent job reliability. Failure triggers email alert and logs to SQL Logs table.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A5C5A"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Shoulder Season Note</w:t>
            </w:r>
          </w:p>
        </w:tc>
        <w:tc>
          <w:tcPr>
            <w:tcW w:type="dxa" w:w="7860"/>
            <w:tcBorders>
              <w:top w:val="single" w:color="BBBBBB" w:sz="1"/>
              <w:left w:val="single" w:color="BBBBBB" w:sz="1"/>
              <w:bottom w:val="single" w:color="BBBBBB" w:sz="1"/>
              <w:right w:val="single" w:color="BBBBBB" w:sz="1"/>
            </w:tcBorders>
            <w:shd w:fill="D9F0EF" w:val="clear"/>
            <w:tcMar>
              <w:top w:type="dxa" w:w="100"/>
              <w:left w:type="dxa" w:w="160"/>
              <w:bottom w:type="dxa" w:w="100"/>
              <w:right w:type="dxa" w:w="140"/>
            </w:tcMar>
          </w:tcPr>
          <w:p>
            <w:pPr>
              <w:spacing w:after="0"/>
            </w:pPr>
            <w:r>
              <w:rPr>
                <w:rFonts w:ascii="Arial" w:cs="Arial" w:eastAsia="Arial" w:hAnsi="Arial"/>
                <w:color w:val="404040"/>
                <w:sz w:val="21"/>
                <w:szCs w:val="21"/>
              </w:rPr>
              <w:t xml:space="preserve">Halifax spring (Apr–May) and fall (Sep–Oct) are when SI% will spike. Temperature oscillates near the 18°C HDD/CDD threshold unpredictably. This is expected, documented, and monitored via the Power BI gauge — not treated as model failure.</w:t>
            </w:r>
          </w:p>
        </w:tc>
      </w:tr>
    </w:tbl>
    <w:p>
      <w:pPr>
        <w:spacing w:after="160"/>
      </w:pPr>
    </w:p>
    <w:p>
      <w:pPr>
        <w:pStyle w:val="Heading1"/>
      </w:pPr>
      <w:r>
        <w:t xml:space="preserve">8. Project Milestones</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560"/>
        <w:gridCol w:w="1000"/>
      </w:tblGrid>
      <w:tr>
        <w:tc>
          <w:tcPr>
            <w:tcW w:type="dxa" w:w="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No.</w:t>
            </w:r>
          </w:p>
        </w:tc>
        <w:tc>
          <w:tcPr>
            <w:tcW w:type="dxa" w:w="32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Milestone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Description</w:t>
            </w:r>
          </w:p>
        </w:tc>
        <w:tc>
          <w:tcPr>
            <w:tcW w:type="dxa" w:w="10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Due</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1</w:t>
            </w:r>
          </w:p>
        </w:tc>
        <w:tc>
          <w:tcPr>
            <w:tcW w:type="dxa" w:w="3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Project Charter (v2.0) — Energy Pivot</w:t>
            </w:r>
          </w:p>
        </w:tc>
        <w:tc>
          <w:tcPr>
            <w:tcW w:type="dxa" w:w="4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Update charter to reflect Halifax Energy Demand Forecasting scope. Revise data sources, ML model selection, KPIs.</w:t>
            </w:r>
          </w:p>
        </w:tc>
        <w:tc>
          <w:tcPr>
            <w:tcW w:type="dxa" w:w="1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Database Design &amp; Documentation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Create ERD for 5-table schema, data flow diagram (NSP + EC → SSIS → SQL → R → Power BI), data dictionary.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2</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3</w:t>
            </w:r>
          </w:p>
        </w:tc>
        <w:tc>
          <w:tcPr>
            <w:tcW w:type="dxa" w:w="3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SQL Database Implementation</w:t>
            </w:r>
          </w:p>
        </w:tc>
        <w:tc>
          <w:tcPr>
            <w:tcW w:type="dxa" w:w="4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DDL script: create HalifaxEnergyProject database, all 5 tables. Manual import of NSP 2022 data as validation check.</w:t>
            </w:r>
          </w:p>
        </w:tc>
        <w:tc>
          <w:tcPr>
            <w:tcW w:type="dxa" w:w="1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Initial ARIMA Baseline Model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Build ARIMA model in R from manually imported load data. Establish benchmark RMSE/SI% before SSIS automation.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4</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5</w:t>
            </w:r>
          </w:p>
        </w:tc>
        <w:tc>
          <w:tcPr>
            <w:tcW w:type="dxa" w:w="3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SSIS ETL Pipeline Development</w:t>
            </w:r>
          </w:p>
        </w:tc>
        <w:tc>
          <w:tcPr>
            <w:tcW w:type="dxa" w:w="4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Build HalifaxEnergy_ETL.dtsx: DFT_Load_NSP + DFT_Load_Weather (parallel) → Execute SQL merge to Fact_Energy_Weather.</w:t>
            </w:r>
          </w:p>
        </w:tc>
        <w:tc>
          <w:tcPr>
            <w:tcW w:type="dxa" w:w="1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SSIS–R Integration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Connect R script to SQL Server via DBI/odbc. Validate full pipeline: SSIS loads data → R reads Fact table → model trains.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6</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7</w:t>
            </w:r>
          </w:p>
        </w:tc>
        <w:tc>
          <w:tcPr>
            <w:tcW w:type="dxa" w:w="3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XGBoost Model &amp; Automation</w:t>
            </w:r>
          </w:p>
        </w:tc>
        <w:tc>
          <w:tcPr>
            <w:tcW w:type="dxa" w:w="4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Train full XGBoost model with all 10 features. Configure SQL Agent job: SSIS → R script → Power BI refresh chain.</w:t>
            </w:r>
          </w:p>
        </w:tc>
        <w:tc>
          <w:tcPr>
            <w:tcW w:type="dxa" w:w="1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7</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8</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Power BI Dashboard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Build 3 visuals: Actual vs Predicted chart, U-shape scatter, SI% gauge. Add Date Range slicer and export to Service.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8</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9</w:t>
            </w:r>
          </w:p>
        </w:tc>
        <w:tc>
          <w:tcPr>
            <w:tcW w:type="dxa" w:w="3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Testing &amp; Validation</w:t>
            </w:r>
          </w:p>
        </w:tc>
        <w:tc>
          <w:tcPr>
            <w:tcW w:type="dxa" w:w="4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End-to-end pipeline test. Validate RMSE/SI% against ARIMA baseline. Test SQL Agent job scheduling. Document results.</w:t>
            </w:r>
          </w:p>
        </w:tc>
        <w:tc>
          <w:tcPr>
            <w:tcW w:type="dxa" w:w="1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9</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10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Final Documentation &amp; Presentation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Complete ERD, data dictionary, technical write-up. Present pipeline and dashboard to Professor Campanis.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Week 10</w:t>
            </w:r>
          </w:p>
        </w:tc>
      </w:tr>
    </w:tbl>
    <w:p>
      <w:pPr>
        <w:spacing w:after="160"/>
      </w:pPr>
    </w:p>
    <w:p>
      <w:pPr>
        <w:pStyle w:val="Heading1"/>
      </w:pPr>
      <w:r>
        <w:t xml:space="preserve">9. Project Risks, Assumptions, and Constraints</w:t>
      </w:r>
    </w:p>
    <w:p>
      <w:pPr>
        <w:pBdr>
          <w:bottom w:val="single" w:color="2E75B6" w:sz="6" w:space="1"/>
        </w:pBdr>
        <w:spacing w:after="160"/>
      </w:pPr>
    </w:p>
    <w:p>
      <w:pPr>
        <w:pStyle w:val="Heading2"/>
      </w:pPr>
      <w:r>
        <w:t xml:space="preserve">9.1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00"/>
        <w:gridCol w:w="900"/>
        <w:gridCol w:w="2560"/>
        <w:gridCol w:w="600"/>
      </w:tblGrid>
      <w:tr>
        <w:tc>
          <w:tcPr>
            <w:tcW w:type="dxa" w:w="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No.</w:t>
            </w:r>
          </w:p>
        </w:tc>
        <w:tc>
          <w:tcPr>
            <w:tcW w:type="dxa" w:w="28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Risk Description</w:t>
            </w:r>
          </w:p>
        </w:tc>
        <w:tc>
          <w:tcPr>
            <w:tcW w:type="dxa" w:w="9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Prob</w:t>
            </w:r>
          </w:p>
        </w:tc>
        <w:tc>
          <w:tcPr>
            <w:tcW w:type="dxa" w:w="9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Impact</w:t>
            </w:r>
          </w:p>
        </w:tc>
        <w:tc>
          <w:tcPr>
            <w:tcW w:type="dxa" w:w="25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Mitigation Strategy</w:t>
            </w:r>
          </w:p>
        </w:tc>
        <w:tc>
          <w:tcPr>
            <w:tcW w:type="dxa" w:w="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Owner</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1</w:t>
            </w:r>
          </w:p>
        </w:tc>
        <w:tc>
          <w:tcPr>
            <w:tcW w:type="dxa" w:w="2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NSP OASIS unavailability (Emera cybersecurity incident Jan 2025 limits direct access to updated load data)</w:t>
            </w:r>
          </w:p>
        </w:tc>
        <w:tc>
          <w:tcPr>
            <w:tcW w:type="dxa" w:w="900"/>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tcPr>
          <w:p>
            <w:pPr>
              <w:spacing w:after="0"/>
            </w:pPr>
            <w:r>
              <w:rPr>
                <w:rFonts w:ascii="Arial" w:cs="Arial" w:eastAsia="Arial" w:hAnsi="Arial"/>
                <w:b/>
                <w:bCs/>
                <w:i w:val="false"/>
                <w:iCs w:val="false"/>
                <w:color w:val="7B0000"/>
                <w:sz w:val="21"/>
                <w:szCs w:val="21"/>
              </w:rPr>
              <w:t xml:space="preserve">High</w:t>
            </w:r>
          </w:p>
        </w:tc>
        <w:tc>
          <w:tcPr>
            <w:tcW w:type="dxa" w:w="900"/>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tcPr>
          <w:p>
            <w:pPr>
              <w:spacing w:after="0"/>
            </w:pPr>
            <w:r>
              <w:rPr>
                <w:rFonts w:ascii="Arial" w:cs="Arial" w:eastAsia="Arial" w:hAnsi="Arial"/>
                <w:b/>
                <w:bCs/>
                <w:i w:val="false"/>
                <w:iCs w:val="false"/>
                <w:color w:val="7B0000"/>
                <w:sz w:val="21"/>
                <w:szCs w:val="21"/>
              </w:rPr>
              <w:t xml:space="preserve">High</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Wetmore.ca confirmed working as alternate NSP data source. 2022–2024 OASIS historical CSVs still accessible for training. Designed pipeline to accept both sources without modification.</w:t>
            </w:r>
          </w:p>
        </w:tc>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Dylan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Model accuracy degrades during shoulder seasons (Apr–May, Sep–Oct) — SI% exceeds 10%</w:t>
            </w:r>
          </w:p>
        </w:tc>
        <w:tc>
          <w:tcPr>
            <w:tcW w:type="dxa" w:w="900"/>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tcPr>
          <w:p>
            <w:pPr>
              <w:spacing w:after="0"/>
            </w:pPr>
            <w:r>
              <w:rPr>
                <w:rFonts w:ascii="Arial" w:cs="Arial" w:eastAsia="Arial" w:hAnsi="Arial"/>
                <w:b/>
                <w:bCs/>
                <w:i w:val="false"/>
                <w:iCs w:val="false"/>
                <w:color w:val="7B0000"/>
                <w:sz w:val="21"/>
                <w:szCs w:val="21"/>
              </w:rPr>
              <w:t xml:space="preserve">High</w:t>
            </w:r>
          </w:p>
        </w:tc>
        <w:tc>
          <w:tcPr>
            <w:tcW w:type="dxa" w:w="9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Medium</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Expected and documented behaviour — not treated as failure. Weekly SI% monitoring via Power BI gauge. Planned response: add 7-day rolling temperature average feature; consider separate shoulder season model.</w:t>
            </w:r>
          </w:p>
        </w:tc>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Dylan</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3</w:t>
            </w:r>
          </w:p>
        </w:tc>
        <w:tc>
          <w:tcPr>
            <w:tcW w:type="dxa" w:w="2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XGBoost RMSE does not improve sufficiently over ARIMA baseline</w:t>
            </w:r>
          </w:p>
        </w:tc>
        <w:tc>
          <w:tcPr>
            <w:tcW w:type="dxa" w:w="9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Medium</w:t>
            </w:r>
          </w:p>
        </w:tc>
        <w:tc>
          <w:tcPr>
            <w:tcW w:type="dxa" w:w="900"/>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tcPr>
          <w:p>
            <w:pPr>
              <w:spacing w:after="0"/>
            </w:pPr>
            <w:r>
              <w:rPr>
                <w:rFonts w:ascii="Arial" w:cs="Arial" w:eastAsia="Arial" w:hAnsi="Arial"/>
                <w:b/>
                <w:bCs/>
                <w:i w:val="false"/>
                <w:iCs w:val="false"/>
                <w:color w:val="7B0000"/>
                <w:sz w:val="21"/>
                <w:szCs w:val="21"/>
              </w:rPr>
              <w:t xml:space="preserve">High</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Validate on held-out storm/cold snap events separately. Tune eta (0.01), add Lag_Load_168h, add windchill interaction term. Fallback: Random Forest ensemble for robustness.</w:t>
            </w:r>
          </w:p>
        </w:tc>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Dylan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SSIS package connectivity failures or EC data format changes</w:t>
            </w:r>
          </w:p>
        </w:tc>
        <w:tc>
          <w:tcPr>
            <w:tcW w:type="dxa" w:w="9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Low</w:t>
            </w:r>
          </w:p>
        </w:tc>
        <w:tc>
          <w:tcPr>
            <w:tcW w:type="dxa" w:w="900"/>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tcPr>
          <w:p>
            <w:pPr>
              <w:spacing w:after="0"/>
            </w:pPr>
            <w:r>
              <w:rPr>
                <w:rFonts w:ascii="Arial" w:cs="Arial" w:eastAsia="Arial" w:hAnsi="Arial"/>
                <w:b/>
                <w:bCs/>
                <w:i w:val="false"/>
                <w:iCs w:val="false"/>
                <w:color w:val="7B0000"/>
                <w:sz w:val="21"/>
                <w:szCs w:val="21"/>
              </w:rPr>
              <w:t xml:space="preserve">High</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Configure OnError event handler logging to SQL_Logs table. SQL Agent sends email on job failure. Cache EC CSV locally as fallback. Document EC column name mapping in data dictionary (EC field names change between stations).</w:t>
            </w:r>
          </w:p>
        </w:tc>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Dylan</w:t>
            </w:r>
          </w:p>
        </w:tc>
      </w:tr>
      <w:tr>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5</w:t>
            </w:r>
          </w:p>
        </w:tc>
        <w:tc>
          <w:tcPr>
            <w:tcW w:type="dxa" w:w="28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Computational resource constraints for 3-year XGBoost training run</w:t>
            </w:r>
          </w:p>
        </w:tc>
        <w:tc>
          <w:tcPr>
            <w:tcW w:type="dxa" w:w="900"/>
            <w:tcBorders>
              <w:top w:val="single" w:color="BBBBBB" w:sz="1"/>
              <w:left w:val="single" w:color="BBBBBB" w:sz="1"/>
              <w:bottom w:val="single" w:color="BBBBBB" w:sz="1"/>
              <w:right w:val="single" w:color="BBBBBB" w:sz="1"/>
            </w:tcBorders>
            <w:shd w:fill="FFF3CD" w:val="clear"/>
            <w:tcMar>
              <w:top w:type="dxa" w:w="80"/>
              <w:left w:type="dxa" w:w="130"/>
              <w:bottom w:type="dxa" w:w="80"/>
              <w:right w:type="dxa" w:w="130"/>
            </w:tcMar>
          </w:tcPr>
          <w:p>
            <w:pPr>
              <w:spacing w:after="0"/>
            </w:pPr>
            <w:r>
              <w:rPr>
                <w:rFonts w:ascii="Arial" w:cs="Arial" w:eastAsia="Arial" w:hAnsi="Arial"/>
                <w:b/>
                <w:bCs/>
                <w:i w:val="false"/>
                <w:iCs w:val="false"/>
                <w:color w:val="7B4F00"/>
                <w:sz w:val="21"/>
                <w:szCs w:val="21"/>
              </w:rPr>
              <w:t xml:space="preserve">Low</w:t>
            </w:r>
          </w:p>
        </w:tc>
        <w:tc>
          <w:tcPr>
            <w:tcW w:type="dxa" w:w="900"/>
            <w:tcBorders>
              <w:top w:val="single" w:color="BBBBBB" w:sz="1"/>
              <w:left w:val="single" w:color="BBBBBB" w:sz="1"/>
              <w:bottom w:val="single" w:color="BBBBBB" w:sz="1"/>
              <w:right w:val="single" w:color="BBBBBB" w:sz="1"/>
            </w:tcBorders>
            <w:shd w:fill="E2EFDA" w:val="clear"/>
            <w:tcMar>
              <w:top w:type="dxa" w:w="80"/>
              <w:left w:type="dxa" w:w="130"/>
              <w:bottom w:type="dxa" w:w="80"/>
              <w:right w:type="dxa" w:w="130"/>
            </w:tcMar>
          </w:tcPr>
          <w:p>
            <w:pPr>
              <w:spacing w:after="0"/>
            </w:pPr>
            <w:r>
              <w:rPr>
                <w:rFonts w:ascii="Arial" w:cs="Arial" w:eastAsia="Arial" w:hAnsi="Arial"/>
                <w:b/>
                <w:bCs/>
                <w:i w:val="false"/>
                <w:iCs w:val="false"/>
                <w:color w:val="375623"/>
                <w:sz w:val="21"/>
                <w:szCs w:val="21"/>
              </w:rPr>
              <w:t xml:space="preserve">Low</w:t>
            </w:r>
          </w:p>
        </w:tc>
        <w:tc>
          <w:tcPr>
            <w:tcW w:type="dxa" w:w="2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XGBoost at max_depth=3 on hourly data (~26,000 rows) is well within local machine capability. Early stopping at nrounds=10000 prevents excessive run time.</w:t>
            </w:r>
          </w:p>
        </w:tc>
        <w:tc>
          <w:tcPr>
            <w:tcW w:type="dxa" w:w="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Dylan</w:t>
            </w:r>
          </w:p>
        </w:tc>
      </w:tr>
    </w:tbl>
    <w:p>
      <w:pPr>
        <w:spacing w:after="120"/>
      </w:pPr>
    </w:p>
    <w:p>
      <w:pPr>
        <w:pStyle w:val="Heading2"/>
      </w:pPr>
      <w:r>
        <w:t xml:space="preserve">9.2 Assumptions</w:t>
      </w:r>
    </w:p>
    <w:p>
      <w:pPr>
        <w:pStyle w:val="ListParagraph"/>
        <w:numPr>
          <w:ilvl w:val="0"/>
          <w:numId w:val="2"/>
        </w:numPr>
        <w:spacing w:after="80"/>
      </w:pPr>
      <w:r>
        <w:rPr>
          <w:rFonts w:ascii="Arial" w:cs="Arial" w:eastAsia="Arial" w:hAnsi="Arial"/>
          <w:color w:val="404040"/>
          <w:sz w:val="22"/>
          <w:szCs w:val="22"/>
        </w:rPr>
        <w:t xml:space="preserve">NSP OASIS 2022–2024 historical CSV files remain accessible for download despite the Jan 2025 cybersecurity incident (incident affected live updates, not historical archives)</w:t>
      </w:r>
    </w:p>
    <w:p>
      <w:pPr>
        <w:pStyle w:val="ListParagraph"/>
        <w:numPr>
          <w:ilvl w:val="0"/>
          <w:numId w:val="2"/>
        </w:numPr>
        <w:spacing w:after="80"/>
      </w:pPr>
      <w:r>
        <w:rPr>
          <w:rFonts w:ascii="Arial" w:cs="Arial" w:eastAsia="Arial" w:hAnsi="Arial"/>
          <w:color w:val="404040"/>
          <w:sz w:val="22"/>
          <w:szCs w:val="22"/>
        </w:rPr>
        <w:t xml:space="preserve">Wetmore.ca remains operational as a backup NSP data source for 2025–2026 inference layer</w:t>
      </w:r>
    </w:p>
    <w:p>
      <w:pPr>
        <w:pStyle w:val="ListParagraph"/>
        <w:numPr>
          <w:ilvl w:val="0"/>
          <w:numId w:val="2"/>
        </w:numPr>
        <w:spacing w:after="80"/>
      </w:pPr>
      <w:r>
        <w:rPr>
          <w:rFonts w:ascii="Arial" w:cs="Arial" w:eastAsia="Arial" w:hAnsi="Arial"/>
          <w:color w:val="404040"/>
          <w:sz w:val="22"/>
          <w:szCs w:val="22"/>
        </w:rPr>
        <w:t xml:space="preserve">Environment Canada Station 50620 (Stanfield) provides complete hourly data for the 2022–2024 period with acceptable missing data rates (&lt; 5%)</w:t>
      </w:r>
    </w:p>
    <w:p>
      <w:pPr>
        <w:pStyle w:val="ListParagraph"/>
        <w:numPr>
          <w:ilvl w:val="0"/>
          <w:numId w:val="2"/>
        </w:numPr>
        <w:spacing w:after="80"/>
      </w:pPr>
      <w:r>
        <w:rPr>
          <w:rFonts w:ascii="Arial" w:cs="Arial" w:eastAsia="Arial" w:hAnsi="Arial"/>
          <w:color w:val="404040"/>
          <w:sz w:val="22"/>
          <w:szCs w:val="22"/>
        </w:rPr>
        <w:t xml:space="preserve">Required software licenses (SQL Server, SSDT, Power BI Desktop) are available through NSCC</w:t>
      </w:r>
    </w:p>
    <w:p>
      <w:pPr>
        <w:pStyle w:val="ListParagraph"/>
        <w:numPr>
          <w:ilvl w:val="0"/>
          <w:numId w:val="2"/>
        </w:numPr>
        <w:spacing w:after="80"/>
      </w:pPr>
      <w:r>
        <w:rPr>
          <w:rFonts w:ascii="Arial" w:cs="Arial" w:eastAsia="Arial" w:hAnsi="Arial"/>
          <w:color w:val="404040"/>
          <w:sz w:val="22"/>
          <w:szCs w:val="22"/>
        </w:rPr>
        <w:t xml:space="preserve">Project scope and deliverables remain stable; any changes require charter revision and sponsor approval</w:t>
      </w:r>
    </w:p>
    <w:p>
      <w:pPr>
        <w:spacing w:after="80"/>
      </w:pPr>
    </w:p>
    <w:p>
      <w:pPr>
        <w:pStyle w:val="Heading2"/>
      </w:pPr>
      <w:r>
        <w:t xml:space="preserve">9.3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Category</w:t>
            </w:r>
          </w:p>
        </w:tc>
        <w:tc>
          <w:tcPr>
            <w:tcW w:type="dxa" w:w="73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Constraint</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Time</w:t>
            </w:r>
          </w:p>
        </w:tc>
        <w:tc>
          <w:tcPr>
            <w:tcW w:type="dxa" w:w="73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Project must be completed within 10-week academic semester. Phase 3 (Power BI + automation) depends on Phase 2 (SSIS + model) completing on schedule.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Data Access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Limited to publicly available NSP OASIS/Wetmore load data and EC weather CSV. No access to real-time smart meter data or proprietary utility feeds.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Resources</w:t>
            </w:r>
          </w:p>
        </w:tc>
        <w:tc>
          <w:tcPr>
            <w:tcW w:type="dxa" w:w="73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Project relies on NSCC-provided SQL Server and software licenses. No cloud budget — all compute runs locally. XGBoost training must complete within session time limits.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Model Scope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Single NSP aggregate load forecasting (provincial level). Meter-level disaggregation is out of scope for this project but noted as a natural extension.</w:t>
            </w:r>
          </w:p>
        </w:tc>
      </w:tr>
    </w:tbl>
    <w:p>
      <w:pPr>
        <w:spacing w:after="160"/>
      </w:pPr>
    </w:p>
    <w:p>
      <w:pPr>
        <w:pStyle w:val="Heading1"/>
      </w:pPr>
      <w:r>
        <w:t xml:space="preserve">10. Project References</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600"/>
        <w:gridCol w:w="35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Document Title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Version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Date</w:t>
            </w:r>
          </w:p>
        </w:tc>
        <w:tc>
          <w:tcPr>
            <w:tcW w:type="dxa" w:w="35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i w:val="false"/>
                <w:iCs w:val="false"/>
                <w:color w:val="FFFFFF"/>
                <w:sz w:val="21"/>
                <w:szCs w:val="21"/>
              </w:rPr>
              <w:t xml:space="preserve">Location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Project Charter v2.0 (this document)</w:t>
            </w:r>
          </w:p>
        </w:tc>
        <w:tc>
          <w:tcPr>
            <w:tcW w:type="dxa" w:w="1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2.0</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March 2026</w:t>
            </w:r>
          </w:p>
        </w:tc>
        <w:tc>
          <w:tcPr>
            <w:tcW w:type="dxa" w:w="3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DBAS 3090 Project Repository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i w:val="false"/>
                <w:iCs w:val="false"/>
                <w:color w:val="2E75B6"/>
                <w:sz w:val="21"/>
                <w:szCs w:val="21"/>
              </w:rPr>
              <w:t xml:space="preserve">Halifax Energy Project Workplan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March 2026</w:t>
            </w:r>
          </w:p>
        </w:tc>
        <w:tc>
          <w:tcPr>
            <w:tcW w:type="dxa" w:w="3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Dylan Bray personal project files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01_CHS_DataAcquisition.R — Tide Prediction Script</w:t>
            </w:r>
          </w:p>
        </w:tc>
        <w:tc>
          <w:tcPr>
            <w:tcW w:type="dxa" w:w="1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1.0</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Feb 2026</w:t>
            </w:r>
          </w:p>
        </w:tc>
        <w:tc>
          <w:tcPr>
            <w:tcW w:type="dxa" w:w="3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DBAS 3090 repository (retired — reference only)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01_HalifaxEnergy_Model.R — XGBoost Script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March 2026</w:t>
            </w:r>
          </w:p>
        </w:tc>
        <w:tc>
          <w:tcPr>
            <w:tcW w:type="dxa" w:w="3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DBAS 3090 Project Repository (in development)</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NSP OASIS Portal</w:t>
            </w:r>
          </w:p>
        </w:tc>
        <w:tc>
          <w:tcPr>
            <w:tcW w:type="dxa" w:w="1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2022–2024</w:t>
            </w:r>
          </w:p>
        </w:tc>
        <w:tc>
          <w:tcPr>
            <w:tcW w:type="dxa" w:w="3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oasis.nspower.ca — hourly load CSV</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Wetmore.ca NSP Feed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Live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wetmore.ca/nspower — NSP load viewer</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Environment Canada Climate Data</w:t>
            </w:r>
          </w:p>
        </w:tc>
        <w:tc>
          <w:tcPr>
            <w:tcW w:type="dxa" w:w="12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w:t>
            </w:r>
          </w:p>
        </w:tc>
        <w:tc>
          <w:tcPr>
            <w:tcW w:type="dxa" w:w="1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2022–2024</w:t>
            </w:r>
          </w:p>
        </w:tc>
        <w:tc>
          <w:tcPr>
            <w:tcW w:type="dxa" w:w="35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climate.weather.gc.ca/climate_data — Station 50620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2E75B6"/>
                <w:sz w:val="21"/>
                <w:szCs w:val="21"/>
              </w:rPr>
              <w:t xml:space="preserve">dpbray79.github.io Portfolio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767676"/>
                <w:sz w:val="21"/>
                <w:szCs w:val="21"/>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2026</w:t>
            </w:r>
          </w:p>
        </w:tc>
        <w:tc>
          <w:tcPr>
            <w:tcW w:type="dxa" w:w="3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val="false"/>
                <w:bCs w:val="false"/>
                <w:i w:val="false"/>
                <w:iCs w:val="false"/>
                <w:color w:val="404040"/>
                <w:sz w:val="21"/>
                <w:szCs w:val="21"/>
              </w:rPr>
              <w:t xml:space="preserve">GitHub Pages — public project documentation</w:t>
            </w:r>
          </w:p>
        </w:tc>
      </w:tr>
    </w:tbl>
    <w:p>
      <w:pPr>
        <w:spacing w:after="80"/>
      </w:pP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767676"/>
        <w:sz w:val="18"/>
        <w:szCs w:val="18"/>
      </w:rPr>
      <w:t xml:space="preserve">Halifax Energy Demand Forecasting  —  Project Charter  |  Dylan Bray  |  DBAS 3090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40" w:after="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2026-03-06T02:45:14.194Z</dcterms:created>
  <dcterms:modified xsi:type="dcterms:W3CDTF">2026-03-06T02:45:14.195Z</dcterms:modified>
</cp:coreProperties>
</file>

<file path=docProps/custom.xml><?xml version="1.0" encoding="utf-8"?>
<Properties xmlns="http://schemas.openxmlformats.org/officeDocument/2006/custom-properties" xmlns:vt="http://schemas.openxmlformats.org/officeDocument/2006/docPropsVTypes"/>
</file>