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0DE4B" w14:textId="77777777" w:rsidR="00B91438" w:rsidRDefault="00B91438" w:rsidP="00B91438">
      <w:pPr>
        <w:pStyle w:val="Caption"/>
      </w:pPr>
      <w:bookmarkStart w:id="0" w:name="_GoBack"/>
      <w:bookmarkEnd w:id="0"/>
      <w:r>
        <w:t xml:space="preserve">Table 11.7.2.2: Results from unpublished document cited in </w:t>
      </w:r>
      <w:r>
        <w:rPr>
          <w:szCs w:val="22"/>
        </w:rPr>
        <w:fldChar w:fldCharType="begin"/>
      </w:r>
      <w:r>
        <w:rPr>
          <w:szCs w:val="22"/>
        </w:rPr>
        <w:instrText xml:space="preserve"> REF Appendix11DotA \h </w:instrText>
      </w:r>
      <w:r>
        <w:rPr>
          <w:szCs w:val="22"/>
        </w:rPr>
      </w:r>
      <w:r>
        <w:rPr>
          <w:szCs w:val="22"/>
        </w:rPr>
        <w:fldChar w:fldCharType="separate"/>
      </w:r>
      <w:r>
        <w:rPr>
          <w:b/>
          <w:szCs w:val="22"/>
        </w:rPr>
        <w:t>Error! Reference source not found.</w:t>
      </w:r>
      <w:r>
        <w:rPr>
          <w:szCs w:val="22"/>
        </w:rPr>
        <w:fldChar w:fldCharType="end"/>
      </w:r>
      <w:r>
        <w:rPr>
          <w:szCs w:val="22"/>
        </w:rPr>
        <w:t>,</w:t>
      </w:r>
      <w:r>
        <w:t xml:space="preserve"> showing Hillis and Berbaum attributed sample sizes for RRRC, FRRC and RRFC, last three columns for the two datasets. According to these results the VanDyke dataset indicates much larger sample sizes than the Franken dataset, which is the opposite conclusion to that evident from Table 11.7.2.1 and Table 11.9.1. The explanation for the discrepancy is the overestimate of the Franken dataset effect-size and the underestimate of the VanDyke dataset effect-size. </w:t>
      </w:r>
      <w:r w:rsidRPr="00CC4A21">
        <w:rPr>
          <w:highlight w:val="yellow"/>
        </w:rPr>
        <w:t>J = 5</w:t>
      </w:r>
    </w:p>
    <w:tbl>
      <w:tblPr>
        <w:tblStyle w:val="TableGrid"/>
        <w:tblW w:w="0" w:type="auto"/>
        <w:jc w:val="center"/>
        <w:tblCellMar>
          <w:left w:w="0" w:type="dxa"/>
          <w:right w:w="0" w:type="dxa"/>
        </w:tblCellMar>
        <w:tblLook w:val="04A0" w:firstRow="1" w:lastRow="0" w:firstColumn="1" w:lastColumn="0" w:noHBand="0" w:noVBand="1"/>
      </w:tblPr>
      <w:tblGrid>
        <w:gridCol w:w="1440"/>
        <w:gridCol w:w="1440"/>
        <w:gridCol w:w="1440"/>
        <w:gridCol w:w="1440"/>
        <w:gridCol w:w="1440"/>
      </w:tblGrid>
      <w:tr w:rsidR="00B91438" w14:paraId="532732EA" w14:textId="77777777" w:rsidTr="000C23A4">
        <w:trPr>
          <w:jc w:val="center"/>
        </w:trPr>
        <w:tc>
          <w:tcPr>
            <w:tcW w:w="1440" w:type="dxa"/>
            <w:vAlign w:val="center"/>
          </w:tcPr>
          <w:p w14:paraId="3F2CC241" w14:textId="77777777" w:rsidR="00B91438" w:rsidRPr="00720D9B" w:rsidRDefault="00B91438" w:rsidP="000C23A4">
            <w:pPr>
              <w:spacing w:after="0" w:line="240" w:lineRule="auto"/>
              <w:jc w:val="center"/>
              <w:rPr>
                <w:b/>
                <w:sz w:val="20"/>
                <w:szCs w:val="20"/>
              </w:rPr>
            </w:pPr>
            <w:r w:rsidRPr="00720D9B">
              <w:rPr>
                <w:b/>
                <w:sz w:val="20"/>
                <w:szCs w:val="20"/>
              </w:rPr>
              <w:t>Dataset</w:t>
            </w:r>
          </w:p>
        </w:tc>
        <w:tc>
          <w:tcPr>
            <w:tcW w:w="1440" w:type="dxa"/>
            <w:vAlign w:val="center"/>
          </w:tcPr>
          <w:p w14:paraId="33251DBE" w14:textId="77777777" w:rsidR="00B91438" w:rsidRPr="00720D9B" w:rsidRDefault="00B91438" w:rsidP="000C23A4">
            <w:pPr>
              <w:spacing w:after="0" w:line="240" w:lineRule="auto"/>
              <w:jc w:val="center"/>
              <w:rPr>
                <w:b/>
                <w:sz w:val="20"/>
                <w:szCs w:val="20"/>
              </w:rPr>
            </w:pPr>
            <w:proofErr w:type="gramStart"/>
            <w:r w:rsidRPr="00720D9B">
              <w:rPr>
                <w:b/>
                <w:sz w:val="20"/>
                <w:szCs w:val="20"/>
              </w:rPr>
              <w:t>d</w:t>
            </w:r>
            <w:proofErr w:type="gramEnd"/>
          </w:p>
        </w:tc>
        <w:tc>
          <w:tcPr>
            <w:tcW w:w="1440" w:type="dxa"/>
            <w:vAlign w:val="center"/>
          </w:tcPr>
          <w:p w14:paraId="31F2CB9B" w14:textId="77777777" w:rsidR="00B91438" w:rsidRPr="00720D9B" w:rsidRDefault="00B91438" w:rsidP="000C23A4">
            <w:pPr>
              <w:spacing w:after="0" w:line="240" w:lineRule="auto"/>
              <w:jc w:val="center"/>
              <w:rPr>
                <w:b/>
                <w:sz w:val="20"/>
                <w:szCs w:val="20"/>
              </w:rPr>
            </w:pPr>
            <w:r w:rsidRPr="00720D9B">
              <w:rPr>
                <w:b/>
                <w:sz w:val="20"/>
                <w:szCs w:val="20"/>
              </w:rPr>
              <w:t>RRRC</w:t>
            </w:r>
          </w:p>
        </w:tc>
        <w:tc>
          <w:tcPr>
            <w:tcW w:w="1440" w:type="dxa"/>
            <w:vAlign w:val="center"/>
          </w:tcPr>
          <w:p w14:paraId="4A79BB05" w14:textId="77777777" w:rsidR="00B91438" w:rsidRPr="00720D9B" w:rsidRDefault="00B91438" w:rsidP="000C23A4">
            <w:pPr>
              <w:spacing w:after="0" w:line="240" w:lineRule="auto"/>
              <w:jc w:val="center"/>
              <w:rPr>
                <w:b/>
                <w:sz w:val="20"/>
                <w:szCs w:val="20"/>
              </w:rPr>
            </w:pPr>
            <w:r w:rsidRPr="00720D9B">
              <w:rPr>
                <w:b/>
                <w:sz w:val="20"/>
                <w:szCs w:val="20"/>
              </w:rPr>
              <w:t>FRRC</w:t>
            </w:r>
          </w:p>
        </w:tc>
        <w:tc>
          <w:tcPr>
            <w:tcW w:w="1440" w:type="dxa"/>
            <w:vAlign w:val="center"/>
          </w:tcPr>
          <w:p w14:paraId="3B08941F" w14:textId="77777777" w:rsidR="00B91438" w:rsidRPr="00720D9B" w:rsidRDefault="00B91438" w:rsidP="000C23A4">
            <w:pPr>
              <w:spacing w:after="0" w:line="240" w:lineRule="auto"/>
              <w:jc w:val="center"/>
              <w:rPr>
                <w:b/>
                <w:sz w:val="20"/>
                <w:szCs w:val="20"/>
              </w:rPr>
            </w:pPr>
            <w:r w:rsidRPr="00720D9B">
              <w:rPr>
                <w:b/>
                <w:sz w:val="20"/>
                <w:szCs w:val="20"/>
              </w:rPr>
              <w:t>RRFC</w:t>
            </w:r>
          </w:p>
        </w:tc>
      </w:tr>
      <w:tr w:rsidR="00B91438" w14:paraId="6C2D946B" w14:textId="77777777" w:rsidTr="000C23A4">
        <w:trPr>
          <w:jc w:val="center"/>
        </w:trPr>
        <w:tc>
          <w:tcPr>
            <w:tcW w:w="1440" w:type="dxa"/>
            <w:vAlign w:val="center"/>
          </w:tcPr>
          <w:p w14:paraId="21D92A0E" w14:textId="77777777" w:rsidR="00B91438" w:rsidRPr="00720D9B" w:rsidRDefault="00B91438" w:rsidP="000C23A4">
            <w:pPr>
              <w:spacing w:after="0" w:line="240" w:lineRule="auto"/>
              <w:jc w:val="center"/>
              <w:rPr>
                <w:sz w:val="20"/>
                <w:szCs w:val="20"/>
              </w:rPr>
            </w:pPr>
            <w:r w:rsidRPr="00720D9B">
              <w:rPr>
                <w:sz w:val="20"/>
                <w:szCs w:val="20"/>
              </w:rPr>
              <w:t>VD</w:t>
            </w:r>
          </w:p>
        </w:tc>
        <w:tc>
          <w:tcPr>
            <w:tcW w:w="1440" w:type="dxa"/>
            <w:vAlign w:val="center"/>
          </w:tcPr>
          <w:p w14:paraId="232F15E8" w14:textId="77777777" w:rsidR="00B91438" w:rsidRPr="00720D9B" w:rsidRDefault="00B91438" w:rsidP="000C23A4">
            <w:pPr>
              <w:spacing w:after="0" w:line="240" w:lineRule="auto"/>
              <w:jc w:val="center"/>
              <w:rPr>
                <w:sz w:val="20"/>
                <w:szCs w:val="20"/>
              </w:rPr>
            </w:pPr>
            <w:r w:rsidRPr="00720D9B">
              <w:rPr>
                <w:sz w:val="20"/>
                <w:szCs w:val="20"/>
              </w:rPr>
              <w:t>0.03</w:t>
            </w:r>
          </w:p>
        </w:tc>
        <w:tc>
          <w:tcPr>
            <w:tcW w:w="1440" w:type="dxa"/>
            <w:vAlign w:val="center"/>
          </w:tcPr>
          <w:p w14:paraId="60682F4F" w14:textId="77777777" w:rsidR="00B91438" w:rsidRPr="00720D9B" w:rsidRDefault="00B91438" w:rsidP="000C23A4">
            <w:pPr>
              <w:spacing w:after="0" w:line="240" w:lineRule="auto"/>
              <w:jc w:val="center"/>
              <w:rPr>
                <w:sz w:val="20"/>
                <w:szCs w:val="20"/>
              </w:rPr>
            </w:pPr>
            <w:r w:rsidRPr="00720D9B">
              <w:rPr>
                <w:sz w:val="20"/>
                <w:szCs w:val="20"/>
              </w:rPr>
              <w:t>&gt;2000</w:t>
            </w:r>
          </w:p>
        </w:tc>
        <w:tc>
          <w:tcPr>
            <w:tcW w:w="1440" w:type="dxa"/>
            <w:vAlign w:val="center"/>
          </w:tcPr>
          <w:p w14:paraId="17EBD539" w14:textId="77777777" w:rsidR="00B91438" w:rsidRPr="00720D9B" w:rsidRDefault="00B91438" w:rsidP="000C23A4">
            <w:pPr>
              <w:spacing w:after="0" w:line="240" w:lineRule="auto"/>
              <w:jc w:val="center"/>
              <w:rPr>
                <w:sz w:val="20"/>
                <w:szCs w:val="20"/>
              </w:rPr>
            </w:pPr>
            <w:r w:rsidRPr="00720D9B">
              <w:rPr>
                <w:sz w:val="20"/>
                <w:szCs w:val="20"/>
              </w:rPr>
              <w:t>526</w:t>
            </w:r>
          </w:p>
        </w:tc>
        <w:tc>
          <w:tcPr>
            <w:tcW w:w="1440" w:type="dxa"/>
            <w:vAlign w:val="center"/>
          </w:tcPr>
          <w:p w14:paraId="4D5FB849" w14:textId="77777777" w:rsidR="00B91438" w:rsidRPr="00720D9B" w:rsidRDefault="00B91438" w:rsidP="000C23A4">
            <w:pPr>
              <w:spacing w:after="0" w:line="240" w:lineRule="auto"/>
              <w:jc w:val="center"/>
              <w:rPr>
                <w:sz w:val="20"/>
                <w:szCs w:val="20"/>
              </w:rPr>
            </w:pPr>
            <w:r w:rsidRPr="00720D9B">
              <w:rPr>
                <w:sz w:val="20"/>
                <w:szCs w:val="20"/>
              </w:rPr>
              <w:t>&gt;2000</w:t>
            </w:r>
          </w:p>
        </w:tc>
      </w:tr>
      <w:tr w:rsidR="00B91438" w14:paraId="0CEB0681" w14:textId="77777777" w:rsidTr="000C23A4">
        <w:trPr>
          <w:jc w:val="center"/>
        </w:trPr>
        <w:tc>
          <w:tcPr>
            <w:tcW w:w="1440" w:type="dxa"/>
            <w:vAlign w:val="center"/>
          </w:tcPr>
          <w:p w14:paraId="2BA3CD26" w14:textId="77777777" w:rsidR="00B91438" w:rsidRPr="00720D9B" w:rsidRDefault="00B91438" w:rsidP="000C23A4">
            <w:pPr>
              <w:spacing w:after="0" w:line="240" w:lineRule="auto"/>
              <w:jc w:val="center"/>
              <w:rPr>
                <w:sz w:val="20"/>
                <w:szCs w:val="20"/>
              </w:rPr>
            </w:pPr>
          </w:p>
        </w:tc>
        <w:tc>
          <w:tcPr>
            <w:tcW w:w="1440" w:type="dxa"/>
            <w:vAlign w:val="center"/>
          </w:tcPr>
          <w:p w14:paraId="46020372" w14:textId="77777777" w:rsidR="00B91438" w:rsidRPr="00720D9B" w:rsidRDefault="00B91438" w:rsidP="000C23A4">
            <w:pPr>
              <w:spacing w:after="0" w:line="240" w:lineRule="auto"/>
              <w:jc w:val="center"/>
              <w:rPr>
                <w:sz w:val="20"/>
                <w:szCs w:val="20"/>
              </w:rPr>
            </w:pPr>
            <w:r w:rsidRPr="00720D9B">
              <w:rPr>
                <w:sz w:val="20"/>
                <w:szCs w:val="20"/>
              </w:rPr>
              <w:t>0.05</w:t>
            </w:r>
          </w:p>
        </w:tc>
        <w:tc>
          <w:tcPr>
            <w:tcW w:w="1440" w:type="dxa"/>
            <w:vAlign w:val="center"/>
          </w:tcPr>
          <w:p w14:paraId="564B01AE" w14:textId="77777777" w:rsidR="00B91438" w:rsidRPr="00720D9B" w:rsidRDefault="00B91438" w:rsidP="000C23A4">
            <w:pPr>
              <w:spacing w:after="0" w:line="240" w:lineRule="auto"/>
              <w:jc w:val="center"/>
              <w:rPr>
                <w:sz w:val="20"/>
                <w:szCs w:val="20"/>
              </w:rPr>
            </w:pPr>
            <w:r w:rsidRPr="00720D9B">
              <w:rPr>
                <w:sz w:val="20"/>
                <w:szCs w:val="20"/>
              </w:rPr>
              <w:t>833</w:t>
            </w:r>
          </w:p>
        </w:tc>
        <w:tc>
          <w:tcPr>
            <w:tcW w:w="1440" w:type="dxa"/>
            <w:vAlign w:val="center"/>
          </w:tcPr>
          <w:p w14:paraId="168C652D" w14:textId="77777777" w:rsidR="00B91438" w:rsidRPr="00720D9B" w:rsidRDefault="00B91438" w:rsidP="000C23A4">
            <w:pPr>
              <w:spacing w:after="0" w:line="240" w:lineRule="auto"/>
              <w:jc w:val="center"/>
              <w:rPr>
                <w:sz w:val="20"/>
                <w:szCs w:val="20"/>
              </w:rPr>
            </w:pPr>
            <w:r w:rsidRPr="00720D9B">
              <w:rPr>
                <w:sz w:val="20"/>
                <w:szCs w:val="20"/>
              </w:rPr>
              <w:t>191</w:t>
            </w:r>
          </w:p>
        </w:tc>
        <w:tc>
          <w:tcPr>
            <w:tcW w:w="1440" w:type="dxa"/>
            <w:vAlign w:val="center"/>
          </w:tcPr>
          <w:p w14:paraId="23123795" w14:textId="77777777" w:rsidR="00B91438" w:rsidRPr="00720D9B" w:rsidRDefault="00B91438" w:rsidP="000C23A4">
            <w:pPr>
              <w:spacing w:after="0" w:line="240" w:lineRule="auto"/>
              <w:jc w:val="center"/>
              <w:rPr>
                <w:sz w:val="20"/>
                <w:szCs w:val="20"/>
              </w:rPr>
            </w:pPr>
            <w:r w:rsidRPr="00720D9B">
              <w:rPr>
                <w:sz w:val="20"/>
                <w:szCs w:val="20"/>
              </w:rPr>
              <w:t>933</w:t>
            </w:r>
          </w:p>
        </w:tc>
      </w:tr>
      <w:tr w:rsidR="00B91438" w14:paraId="3FA2416A" w14:textId="77777777" w:rsidTr="000C23A4">
        <w:trPr>
          <w:jc w:val="center"/>
        </w:trPr>
        <w:tc>
          <w:tcPr>
            <w:tcW w:w="1440" w:type="dxa"/>
            <w:vAlign w:val="center"/>
          </w:tcPr>
          <w:p w14:paraId="2F653F42" w14:textId="77777777" w:rsidR="00B91438" w:rsidRPr="00720D9B" w:rsidRDefault="00B91438" w:rsidP="000C23A4">
            <w:pPr>
              <w:spacing w:after="0" w:line="240" w:lineRule="auto"/>
              <w:jc w:val="center"/>
              <w:rPr>
                <w:sz w:val="20"/>
                <w:szCs w:val="20"/>
              </w:rPr>
            </w:pPr>
            <w:r w:rsidRPr="00720D9B">
              <w:rPr>
                <w:sz w:val="20"/>
                <w:szCs w:val="20"/>
              </w:rPr>
              <w:t>FR</w:t>
            </w:r>
          </w:p>
        </w:tc>
        <w:tc>
          <w:tcPr>
            <w:tcW w:w="1440" w:type="dxa"/>
            <w:vAlign w:val="center"/>
          </w:tcPr>
          <w:p w14:paraId="5A3889E3" w14:textId="77777777" w:rsidR="00B91438" w:rsidRPr="00720D9B" w:rsidRDefault="00B91438" w:rsidP="000C23A4">
            <w:pPr>
              <w:spacing w:after="0" w:line="240" w:lineRule="auto"/>
              <w:jc w:val="center"/>
              <w:rPr>
                <w:sz w:val="20"/>
                <w:szCs w:val="20"/>
              </w:rPr>
            </w:pPr>
            <w:r w:rsidRPr="00720D9B">
              <w:rPr>
                <w:sz w:val="20"/>
                <w:szCs w:val="20"/>
              </w:rPr>
              <w:t>0.03</w:t>
            </w:r>
          </w:p>
        </w:tc>
        <w:tc>
          <w:tcPr>
            <w:tcW w:w="1440" w:type="dxa"/>
            <w:vAlign w:val="center"/>
          </w:tcPr>
          <w:p w14:paraId="460EAB2C" w14:textId="77777777" w:rsidR="00B91438" w:rsidRPr="00720D9B" w:rsidRDefault="00B91438" w:rsidP="000C23A4">
            <w:pPr>
              <w:spacing w:after="0" w:line="240" w:lineRule="auto"/>
              <w:jc w:val="center"/>
              <w:rPr>
                <w:sz w:val="20"/>
                <w:szCs w:val="20"/>
              </w:rPr>
            </w:pPr>
            <w:r w:rsidRPr="00720D9B">
              <w:rPr>
                <w:sz w:val="20"/>
                <w:szCs w:val="20"/>
              </w:rPr>
              <w:t>526</w:t>
            </w:r>
          </w:p>
        </w:tc>
        <w:tc>
          <w:tcPr>
            <w:tcW w:w="1440" w:type="dxa"/>
            <w:vAlign w:val="center"/>
          </w:tcPr>
          <w:p w14:paraId="3BC98B6E" w14:textId="77777777" w:rsidR="00B91438" w:rsidRPr="00720D9B" w:rsidRDefault="00B91438" w:rsidP="000C23A4">
            <w:pPr>
              <w:spacing w:after="0" w:line="240" w:lineRule="auto"/>
              <w:jc w:val="center"/>
              <w:rPr>
                <w:sz w:val="20"/>
                <w:szCs w:val="20"/>
              </w:rPr>
            </w:pPr>
            <w:r w:rsidRPr="00720D9B">
              <w:rPr>
                <w:sz w:val="20"/>
                <w:szCs w:val="20"/>
              </w:rPr>
              <w:t>294</w:t>
            </w:r>
          </w:p>
        </w:tc>
        <w:tc>
          <w:tcPr>
            <w:tcW w:w="1440" w:type="dxa"/>
            <w:vAlign w:val="center"/>
          </w:tcPr>
          <w:p w14:paraId="3DF6C9A3" w14:textId="77777777" w:rsidR="00B91438" w:rsidRPr="00720D9B" w:rsidRDefault="00B91438" w:rsidP="000C23A4">
            <w:pPr>
              <w:spacing w:after="0" w:line="240" w:lineRule="auto"/>
              <w:jc w:val="center"/>
              <w:rPr>
                <w:sz w:val="20"/>
                <w:szCs w:val="20"/>
              </w:rPr>
            </w:pPr>
            <w:r w:rsidRPr="00720D9B">
              <w:rPr>
                <w:sz w:val="20"/>
                <w:szCs w:val="20"/>
              </w:rPr>
              <w:t>526</w:t>
            </w:r>
          </w:p>
        </w:tc>
      </w:tr>
      <w:tr w:rsidR="00B91438" w14:paraId="02C81377" w14:textId="77777777" w:rsidTr="000C23A4">
        <w:trPr>
          <w:jc w:val="center"/>
        </w:trPr>
        <w:tc>
          <w:tcPr>
            <w:tcW w:w="1440" w:type="dxa"/>
            <w:vAlign w:val="center"/>
          </w:tcPr>
          <w:p w14:paraId="4EB4591F" w14:textId="77777777" w:rsidR="00B91438" w:rsidRPr="00720D9B" w:rsidRDefault="00B91438" w:rsidP="000C23A4">
            <w:pPr>
              <w:spacing w:after="0" w:line="240" w:lineRule="auto"/>
              <w:jc w:val="center"/>
              <w:rPr>
                <w:sz w:val="20"/>
                <w:szCs w:val="20"/>
              </w:rPr>
            </w:pPr>
          </w:p>
        </w:tc>
        <w:tc>
          <w:tcPr>
            <w:tcW w:w="1440" w:type="dxa"/>
            <w:vAlign w:val="center"/>
          </w:tcPr>
          <w:p w14:paraId="77CBDD64" w14:textId="77777777" w:rsidR="00B91438" w:rsidRPr="00720D9B" w:rsidRDefault="00B91438" w:rsidP="000C23A4">
            <w:pPr>
              <w:spacing w:after="0" w:line="240" w:lineRule="auto"/>
              <w:jc w:val="center"/>
              <w:rPr>
                <w:sz w:val="20"/>
                <w:szCs w:val="20"/>
              </w:rPr>
            </w:pPr>
            <w:r w:rsidRPr="00720D9B">
              <w:rPr>
                <w:sz w:val="20"/>
                <w:szCs w:val="20"/>
              </w:rPr>
              <w:t>0.05</w:t>
            </w:r>
          </w:p>
        </w:tc>
        <w:tc>
          <w:tcPr>
            <w:tcW w:w="1440" w:type="dxa"/>
            <w:vAlign w:val="center"/>
          </w:tcPr>
          <w:p w14:paraId="62F92B14" w14:textId="77777777" w:rsidR="00B91438" w:rsidRPr="00720D9B" w:rsidRDefault="00B91438" w:rsidP="000C23A4">
            <w:pPr>
              <w:spacing w:after="0" w:line="240" w:lineRule="auto"/>
              <w:jc w:val="center"/>
              <w:rPr>
                <w:sz w:val="20"/>
                <w:szCs w:val="20"/>
              </w:rPr>
            </w:pPr>
            <w:r w:rsidRPr="00720D9B">
              <w:rPr>
                <w:sz w:val="20"/>
                <w:szCs w:val="20"/>
              </w:rPr>
              <w:t>190</w:t>
            </w:r>
          </w:p>
        </w:tc>
        <w:tc>
          <w:tcPr>
            <w:tcW w:w="1440" w:type="dxa"/>
            <w:vAlign w:val="center"/>
          </w:tcPr>
          <w:p w14:paraId="0BF691E2" w14:textId="77777777" w:rsidR="00B91438" w:rsidRPr="00720D9B" w:rsidRDefault="00B91438" w:rsidP="000C23A4">
            <w:pPr>
              <w:spacing w:after="0" w:line="240" w:lineRule="auto"/>
              <w:jc w:val="center"/>
              <w:rPr>
                <w:sz w:val="20"/>
                <w:szCs w:val="20"/>
              </w:rPr>
            </w:pPr>
            <w:r w:rsidRPr="00720D9B">
              <w:rPr>
                <w:sz w:val="20"/>
                <w:szCs w:val="20"/>
              </w:rPr>
              <w:t>107</w:t>
            </w:r>
          </w:p>
        </w:tc>
        <w:tc>
          <w:tcPr>
            <w:tcW w:w="1440" w:type="dxa"/>
            <w:vAlign w:val="center"/>
          </w:tcPr>
          <w:p w14:paraId="0D4748FF" w14:textId="77777777" w:rsidR="00B91438" w:rsidRPr="00720D9B" w:rsidRDefault="00B91438" w:rsidP="000C23A4">
            <w:pPr>
              <w:keepNext/>
              <w:spacing w:after="0" w:line="240" w:lineRule="auto"/>
              <w:jc w:val="center"/>
              <w:rPr>
                <w:sz w:val="20"/>
                <w:szCs w:val="20"/>
              </w:rPr>
            </w:pPr>
            <w:r w:rsidRPr="00720D9B">
              <w:rPr>
                <w:sz w:val="20"/>
                <w:szCs w:val="20"/>
              </w:rPr>
              <w:t>190</w:t>
            </w:r>
          </w:p>
        </w:tc>
      </w:tr>
    </w:tbl>
    <w:p w14:paraId="509F71E1" w14:textId="77777777" w:rsidR="00B91438" w:rsidRPr="00720D9B" w:rsidRDefault="00B91438" w:rsidP="00B91438"/>
    <w:p w14:paraId="0FE0A0AE" w14:textId="77777777" w:rsidR="00B91438" w:rsidRDefault="00B91438" w:rsidP="00B91438">
      <w:r>
        <w:t xml:space="preserve">The values in Table 11.7.2.2 can be reproduced by the book code, </w:t>
      </w:r>
      <w:r w:rsidRPr="008252AC">
        <w:rPr>
          <w:i/>
        </w:rPr>
        <w:t>provided one uses the specified effect</w:t>
      </w:r>
      <w:r>
        <w:rPr>
          <w:i/>
        </w:rPr>
        <w:t>-</w:t>
      </w:r>
      <w:r w:rsidRPr="008252AC">
        <w:rPr>
          <w:i/>
        </w:rPr>
        <w:t>sizes</w:t>
      </w:r>
      <w:r>
        <w:t xml:space="preserve"> in Table 11.7.2.2 </w:t>
      </w:r>
      <w:r w:rsidRPr="00FB1D36">
        <w:rPr>
          <w:i/>
        </w:rPr>
        <w:t>and</w:t>
      </w:r>
      <w:r>
        <w:t xml:space="preserve"> uses the appropriate PROPROC generated variance components (see footnote below on an </w:t>
      </w:r>
      <w:r w:rsidRPr="008252AC">
        <w:rPr>
          <w:rStyle w:val="InLineCode"/>
        </w:rPr>
        <w:t>R</w:t>
      </w:r>
      <w:r>
        <w:t xml:space="preserve"> file for checking the book code vs. the values in the Hillis and Berbaum document). In the author's judgment, the differences are due to the effect-sizes for the Franken dataset in Table 11.7.2.2 being greatly in excess of the observed value (0.011) and well outside the confidence interval. In contrast, the value 0.03 in Table 11.7.2.2 is likely an underestimate of the VanDyke dataset postulated effect-size, where the observed effect size was 0.044. </w:t>
      </w:r>
    </w:p>
    <w:p w14:paraId="3780F8D2" w14:textId="77777777" w:rsidR="00B91438" w:rsidRDefault="00B91438"/>
    <w:sectPr w:rsidR="00B91438" w:rsidSect="006073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PT Mono">
    <w:panose1 w:val="02060509020205020204"/>
    <w:charset w:val="00"/>
    <w:family w:val="auto"/>
    <w:pitch w:val="variable"/>
    <w:sig w:usb0="A00002EF" w:usb1="500078E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438"/>
    <w:rsid w:val="001F14E8"/>
    <w:rsid w:val="004943EF"/>
    <w:rsid w:val="00B91438"/>
    <w:rsid w:val="00C82F02"/>
    <w:rsid w:val="00F06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039B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table" w:styleId="TableGrid">
    <w:name w:val="Table Grid"/>
    <w:basedOn w:val="TableNormal"/>
    <w:uiPriority w:val="59"/>
    <w:rsid w:val="00B9143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91438"/>
    <w:rPr>
      <w:rFonts w:eastAsia="ＭＳ 明朝"/>
      <w:spacing w:val="10"/>
      <w:sz w:val="18"/>
      <w:szCs w:val="18"/>
    </w:rPr>
  </w:style>
  <w:style w:type="character" w:customStyle="1" w:styleId="InLineCode">
    <w:name w:val="InLineCode"/>
    <w:uiPriority w:val="1"/>
    <w:qFormat/>
    <w:rsid w:val="00B91438"/>
    <w:rPr>
      <w:rFonts w:ascii="PT Mono" w:hAnsi="PT Mono"/>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table" w:styleId="TableGrid">
    <w:name w:val="Table Grid"/>
    <w:basedOn w:val="TableNormal"/>
    <w:uiPriority w:val="59"/>
    <w:rsid w:val="00B9143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91438"/>
    <w:rPr>
      <w:rFonts w:eastAsia="ＭＳ 明朝"/>
      <w:spacing w:val="10"/>
      <w:sz w:val="18"/>
      <w:szCs w:val="18"/>
    </w:rPr>
  </w:style>
  <w:style w:type="character" w:customStyle="1" w:styleId="InLineCode">
    <w:name w:val="InLineCode"/>
    <w:uiPriority w:val="1"/>
    <w:qFormat/>
    <w:rsid w:val="00B91438"/>
    <w:rPr>
      <w:rFonts w:ascii="PT Mono" w:hAnsi="PT Mon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1170</Characters>
  <Application>Microsoft Macintosh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Chakraborty</dc:creator>
  <cp:keywords/>
  <dc:description/>
  <cp:lastModifiedBy>Dev Prasad Chakraborty</cp:lastModifiedBy>
  <cp:revision>2</cp:revision>
  <dcterms:created xsi:type="dcterms:W3CDTF">2017-03-01T10:24:00Z</dcterms:created>
  <dcterms:modified xsi:type="dcterms:W3CDTF">2017-11-22T16:34:00Z</dcterms:modified>
</cp:coreProperties>
</file>