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7F" w:rsidRDefault="00A32C7F" w:rsidP="00A32C7F"/>
    <w:p w:rsidR="00A32C7F" w:rsidRDefault="00A32C7F" w:rsidP="00A32C7F">
      <w:pPr>
        <w:pStyle w:val="NoSpacing"/>
      </w:pPr>
      <w:r>
        <w:t>Table 6: DBMH-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731"/>
        <w:gridCol w:w="2116"/>
        <w:gridCol w:w="2593"/>
        <w:gridCol w:w="2406"/>
      </w:tblGrid>
      <w:tr w:rsidR="00A32C7F" w:rsidTr="00D8289B">
        <w:tc>
          <w:tcPr>
            <w:tcW w:w="183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FOM</w:t>
            </w: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Statistic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proofErr w:type="spellStart"/>
            <w:r>
              <w:t>RJafroc</w:t>
            </w:r>
            <w:proofErr w:type="spellEnd"/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JAFROC</w:t>
            </w:r>
          </w:p>
        </w:tc>
      </w:tr>
      <w:tr w:rsidR="00A32C7F" w:rsidTr="00D8289B">
        <w:tc>
          <w:tcPr>
            <w:tcW w:w="1835" w:type="dxa"/>
            <w:vMerge w:val="restart"/>
            <w:vAlign w:val="center"/>
          </w:tcPr>
          <w:p w:rsidR="00A32C7F" w:rsidRDefault="00A32C7F" w:rsidP="00D8289B">
            <w:pPr>
              <w:pStyle w:val="NoSpacing"/>
              <w:ind w:left="0"/>
              <w:jc w:val="center"/>
            </w:pPr>
            <w:r>
              <w:t>Weighted</w:t>
            </w:r>
          </w:p>
          <w:p w:rsidR="00A32C7F" w:rsidRDefault="00A32C7F" w:rsidP="00D8289B">
            <w:pPr>
              <w:pStyle w:val="NoSpacing"/>
              <w:ind w:left="0"/>
              <w:jc w:val="center"/>
            </w:pPr>
            <w:r>
              <w:t>JAFROC</w:t>
            </w:r>
          </w:p>
        </w:tc>
        <w:tc>
          <w:tcPr>
            <w:tcW w:w="2116" w:type="dxa"/>
            <w:vAlign w:val="center"/>
          </w:tcPr>
          <w:p w:rsidR="00A32C7F" w:rsidRPr="00775B35" w:rsidRDefault="00A32C7F" w:rsidP="00D8289B">
            <w:pPr>
              <w:pStyle w:val="NoSpacing"/>
              <w:ind w:left="0" w:firstLine="0"/>
              <w:jc w:val="center"/>
              <w:rPr>
                <w:position w:val="-12"/>
              </w:rPr>
            </w:pPr>
            <w:r w:rsidRPr="00775B35">
              <w:rPr>
                <w:position w:val="-12"/>
              </w:rPr>
              <w:object w:dxaOrig="190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pt;height:22pt" o:ole="">
                  <v:imagedata r:id="rId5" o:title=""/>
                </v:shape>
                <o:OLEObject Type="Embed" ProgID="Equation.DSMT4" ShapeID="_x0000_i1025" DrawAspect="Content" ObjectID="_1363691467" r:id="rId6"/>
              </w:objec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0.752, 0.759, 0.722, 0.768, 0.714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775B35">
              <w:rPr>
                <w:position w:val="-12"/>
              </w:rPr>
              <w:object w:dxaOrig="840" w:dyaOrig="440">
                <v:shape id="_x0000_i1026" type="#_x0000_t75" style="width:42pt;height:22pt" o:ole="">
                  <v:imagedata r:id="rId7" o:title=""/>
                </v:shape>
                <o:OLEObject Type="Embed" ProgID="Equation.DSMT4" ShapeID="_x0000_i1026" DrawAspect="Content" ObjectID="_1363691468" r:id="rId8"/>
              </w:object>
            </w:r>
            <w:r>
              <w:t xml:space="preserve"> 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B344F7">
              <w:t>0.0548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B344F7">
              <w:rPr>
                <w:position w:val="-22"/>
              </w:rPr>
              <w:object w:dxaOrig="1300" w:dyaOrig="560">
                <v:shape id="_x0000_i1027" type="#_x0000_t75" style="width:65pt;height:28pt" o:ole="">
                  <v:imagedata r:id="rId9" o:title=""/>
                </v:shape>
                <o:OLEObject Type="Embed" ProgID="Equation.DSMT4" ShapeID="_x0000_i1027" DrawAspect="Content" ObjectID="_1363691469" r:id="rId10"/>
              </w:objec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(0.030, 0.0795)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0.00012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F-statistic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7.79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proofErr w:type="gramStart"/>
            <w:r>
              <w:t>ddf</w:t>
            </w:r>
            <w:proofErr w:type="gramEnd"/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36.7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 w:val="restart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Inferred ROC</w:t>
            </w: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775B35">
              <w:rPr>
                <w:position w:val="-12"/>
              </w:rPr>
              <w:object w:dxaOrig="1900" w:dyaOrig="440">
                <v:shape id="_x0000_i1028" type="#_x0000_t75" style="width:95pt;height:22pt" o:ole="">
                  <v:imagedata r:id="rId11" o:title=""/>
                </v:shape>
                <o:OLEObject Type="Embed" ProgID="Equation.DSMT4" ShapeID="_x0000_i1028" DrawAspect="Content" ObjectID="_1363691470" r:id="rId12"/>
              </w:objec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0.807, 0.817, 0.774,0.824,0.768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775B35">
              <w:rPr>
                <w:position w:val="-12"/>
              </w:rPr>
              <w:object w:dxaOrig="840" w:dyaOrig="440">
                <v:shape id="_x0000_i1029" type="#_x0000_t75" style="width:42pt;height:22pt" o:ole="">
                  <v:imagedata r:id="rId13" o:title=""/>
                </v:shape>
                <o:OLEObject Type="Embed" ProgID="Equation.DSMT4" ShapeID="_x0000_i1029" DrawAspect="Content" ObjectID="_1363691471" r:id="rId14"/>
              </w:object>
            </w:r>
            <w:r>
              <w:t xml:space="preserve"> 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0.0562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B344F7">
              <w:rPr>
                <w:position w:val="-22"/>
              </w:rPr>
              <w:object w:dxaOrig="1300" w:dyaOrig="560">
                <v:shape id="_x0000_i1030" type="#_x0000_t75" style="width:65pt;height:28pt" o:ole="">
                  <v:imagedata r:id="rId15" o:title=""/>
                </v:shape>
                <o:OLEObject Type="Embed" ProgID="Equation.DSMT4" ShapeID="_x0000_i1030" DrawAspect="Content" ObjectID="_1363691472" r:id="rId16"/>
              </w:objec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(0.0215, 0.0910)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0.000188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F-statistic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7.386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proofErr w:type="gramStart"/>
            <w:r>
              <w:t>ddf</w:t>
            </w:r>
            <w:proofErr w:type="gramEnd"/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36.1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 w:val="restart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Song A1</w:t>
            </w:r>
          </w:p>
        </w:tc>
        <w:tc>
          <w:tcPr>
            <w:tcW w:w="2116" w:type="dxa"/>
            <w:vAlign w:val="center"/>
          </w:tcPr>
          <w:p w:rsidR="00A32C7F" w:rsidRPr="00775B35" w:rsidRDefault="00A32C7F" w:rsidP="00D8289B">
            <w:pPr>
              <w:pStyle w:val="NoSpacing"/>
              <w:ind w:left="0" w:firstLine="0"/>
              <w:jc w:val="center"/>
              <w:rPr>
                <w:position w:val="-12"/>
              </w:rPr>
            </w:pPr>
            <w:r w:rsidRPr="00775B35">
              <w:rPr>
                <w:position w:val="-12"/>
              </w:rPr>
              <w:object w:dxaOrig="1900" w:dyaOrig="440">
                <v:shape id="_x0000_i1034" type="#_x0000_t75" style="width:95pt;height:22pt" o:ole="">
                  <v:imagedata r:id="rId17" o:title=""/>
                </v:shape>
                <o:OLEObject Type="Embed" ProgID="Equation.DSMT4" ShapeID="_x0000_i1034" DrawAspect="Content" ObjectID="_1363691473" r:id="rId18"/>
              </w:objec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 xml:space="preserve">0.844, 0.853, 0.812, 0.853, 0.808 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Pr="00775B35" w:rsidRDefault="00A32C7F" w:rsidP="00D8289B">
            <w:pPr>
              <w:pStyle w:val="NoSpacing"/>
              <w:ind w:left="0" w:firstLine="0"/>
              <w:jc w:val="center"/>
              <w:rPr>
                <w:position w:val="-12"/>
              </w:rPr>
            </w:pPr>
            <w:r w:rsidRPr="00775B35">
              <w:rPr>
                <w:position w:val="-12"/>
              </w:rPr>
              <w:object w:dxaOrig="840" w:dyaOrig="440">
                <v:shape id="_x0000_i1035" type="#_x0000_t75" style="width:42pt;height:22pt" o:ole="">
                  <v:imagedata r:id="rId19" o:title=""/>
                </v:shape>
                <o:OLEObject Type="Embed" ProgID="Equation.DSMT4" ShapeID="_x0000_i1035" DrawAspect="Content" ObjectID="_1363691474" r:id="rId20"/>
              </w:object>
            </w:r>
            <w:r>
              <w:t xml:space="preserve"> 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263E8F">
              <w:t>0.0450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Pr="00775B35" w:rsidRDefault="00A32C7F" w:rsidP="00D8289B">
            <w:pPr>
              <w:pStyle w:val="NoSpacing"/>
              <w:ind w:left="0" w:firstLine="0"/>
              <w:jc w:val="center"/>
              <w:rPr>
                <w:position w:val="-12"/>
              </w:rPr>
            </w:pPr>
            <w:r w:rsidRPr="00B344F7">
              <w:rPr>
                <w:position w:val="-22"/>
              </w:rPr>
              <w:object w:dxaOrig="1300" w:dyaOrig="560">
                <v:shape id="_x0000_i1036" type="#_x0000_t75" style="width:65pt;height:28pt" o:ole="">
                  <v:imagedata r:id="rId21" o:title=""/>
                </v:shape>
                <o:OLEObject Type="Embed" ProgID="Equation.DSMT4" ShapeID="_x0000_i1036" DrawAspect="Content" ObjectID="_1363691475" r:id="rId22"/>
              </w:objec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(</w:t>
            </w:r>
            <w:r w:rsidRPr="00263E8F">
              <w:t>0.0117</w:t>
            </w:r>
            <w:r>
              <w:t>,</w:t>
            </w:r>
            <w:r w:rsidRPr="00263E8F">
              <w:t xml:space="preserve"> 0.078</w:t>
            </w:r>
            <w:r>
              <w:t>4)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Pr="00775B35" w:rsidRDefault="00A32C7F" w:rsidP="00D8289B">
            <w:pPr>
              <w:pStyle w:val="NoSpacing"/>
              <w:ind w:left="0" w:firstLine="0"/>
              <w:jc w:val="center"/>
              <w:rPr>
                <w:position w:val="-12"/>
              </w:rPr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263E8F">
              <w:t>0.018</w:t>
            </w:r>
            <w:r>
              <w:t>1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Pr="00775B35" w:rsidRDefault="00A32C7F" w:rsidP="00D8289B">
            <w:pPr>
              <w:pStyle w:val="NoSpacing"/>
              <w:ind w:left="0" w:firstLine="0"/>
              <w:jc w:val="center"/>
              <w:rPr>
                <w:position w:val="-12"/>
              </w:rPr>
            </w:pPr>
            <w:r>
              <w:t>F-statistic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263E8F">
              <w:t>3.98</w:t>
            </w:r>
            <w:r>
              <w:t>1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Pr="00775B35" w:rsidRDefault="00A32C7F" w:rsidP="00D8289B">
            <w:pPr>
              <w:pStyle w:val="NoSpacing"/>
              <w:ind w:left="0" w:firstLine="0"/>
              <w:jc w:val="center"/>
              <w:rPr>
                <w:position w:val="-12"/>
              </w:rPr>
            </w:pPr>
            <w:proofErr w:type="gramStart"/>
            <w:r>
              <w:t>ddf</w:t>
            </w:r>
            <w:proofErr w:type="gramEnd"/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263E8F">
              <w:t>17.4</w:t>
            </w:r>
            <w:r>
              <w:t>1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 w:val="restart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Song A2</w:t>
            </w: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775B35">
              <w:rPr>
                <w:position w:val="-12"/>
              </w:rPr>
              <w:object w:dxaOrig="1900" w:dyaOrig="440">
                <v:shape id="_x0000_i1031" type="#_x0000_t75" style="width:95pt;height:22pt" o:ole="">
                  <v:imagedata r:id="rId23" o:title=""/>
                </v:shape>
                <o:OLEObject Type="Embed" ProgID="Equation.DSMT4" ShapeID="_x0000_i1031" DrawAspect="Content" ObjectID="_1363691476" r:id="rId24"/>
              </w:objec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0.837, 0.839, 0.805, 0.847, 0.800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775B35">
              <w:rPr>
                <w:position w:val="-12"/>
              </w:rPr>
              <w:object w:dxaOrig="840" w:dyaOrig="440">
                <v:shape id="_x0000_i1032" type="#_x0000_t75" style="width:42pt;height:22pt" o:ole="">
                  <v:imagedata r:id="rId25" o:title=""/>
                </v:shape>
                <o:OLEObject Type="Embed" ProgID="Equation.DSMT4" ShapeID="_x0000_i1032" DrawAspect="Content" ObjectID="_1363691477" r:id="rId26"/>
              </w:object>
            </w:r>
            <w:r>
              <w:t xml:space="preserve"> 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9D5B9C">
              <w:t>0.046</w:t>
            </w:r>
            <w:r>
              <w:t>8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 w:rsidRPr="00B344F7">
              <w:rPr>
                <w:position w:val="-22"/>
              </w:rPr>
              <w:object w:dxaOrig="1300" w:dyaOrig="560">
                <v:shape id="_x0000_i1033" type="#_x0000_t75" style="width:65pt;height:28pt" o:ole="">
                  <v:imagedata r:id="rId27" o:title=""/>
                </v:shape>
                <o:OLEObject Type="Embed" ProgID="Equation.DSMT4" ShapeID="_x0000_i1033" DrawAspect="Content" ObjectID="_1363691478" r:id="rId28"/>
              </w:objec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(</w:t>
            </w:r>
            <w:r w:rsidRPr="009D5B9C">
              <w:t>0.01</w:t>
            </w:r>
            <w:r>
              <w:t xml:space="preserve">4, </w:t>
            </w:r>
            <w:r w:rsidRPr="009D5B9C">
              <w:t>0.0</w:t>
            </w:r>
            <w:r>
              <w:t>8)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proofErr w:type="gramStart"/>
            <w:r>
              <w:t>p</w:t>
            </w:r>
            <w:proofErr w:type="gramEnd"/>
            <w:r>
              <w:t>-value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0.0139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F-statistic</w:t>
            </w:r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3.149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  <w:tr w:rsidR="00A32C7F" w:rsidTr="00D8289B">
        <w:tc>
          <w:tcPr>
            <w:tcW w:w="1835" w:type="dxa"/>
            <w:vMerge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  <w:tc>
          <w:tcPr>
            <w:tcW w:w="2116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proofErr w:type="gramStart"/>
            <w:r>
              <w:t>ddf</w:t>
            </w:r>
            <w:proofErr w:type="gramEnd"/>
          </w:p>
        </w:tc>
        <w:tc>
          <w:tcPr>
            <w:tcW w:w="2705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  <w:r>
              <w:t>796</w:t>
            </w:r>
          </w:p>
        </w:tc>
        <w:tc>
          <w:tcPr>
            <w:tcW w:w="2633" w:type="dxa"/>
            <w:vAlign w:val="center"/>
          </w:tcPr>
          <w:p w:rsidR="00A32C7F" w:rsidRDefault="00A32C7F" w:rsidP="00D8289B">
            <w:pPr>
              <w:pStyle w:val="NoSpacing"/>
              <w:ind w:left="0" w:firstLine="0"/>
              <w:jc w:val="center"/>
            </w:pPr>
          </w:p>
        </w:tc>
      </w:tr>
    </w:tbl>
    <w:p w:rsidR="00E93377" w:rsidRDefault="00E93377">
      <w:bookmarkStart w:id="0" w:name="_GoBack"/>
      <w:bookmarkEnd w:id="0"/>
    </w:p>
    <w:sectPr w:rsidR="00E93377" w:rsidSect="005A3D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7F"/>
    <w:rsid w:val="000654B1"/>
    <w:rsid w:val="001370C8"/>
    <w:rsid w:val="001F14E8"/>
    <w:rsid w:val="002B4517"/>
    <w:rsid w:val="005A3D54"/>
    <w:rsid w:val="009723E8"/>
    <w:rsid w:val="00A32C7F"/>
    <w:rsid w:val="00B45C2B"/>
    <w:rsid w:val="00B66BE8"/>
    <w:rsid w:val="00E933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F08C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C7F"/>
    <w:rPr>
      <w:rFonts w:ascii="Calibri" w:eastAsia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NormalLeftJustified"/>
    <w:basedOn w:val="Normal"/>
    <w:uiPriority w:val="1"/>
    <w:qFormat/>
    <w:rsid w:val="00A32C7F"/>
    <w:pPr>
      <w:spacing w:after="4" w:line="269" w:lineRule="auto"/>
      <w:ind w:left="10" w:hanging="10"/>
    </w:pPr>
    <w:rPr>
      <w:rFonts w:ascii="Times New Roman" w:eastAsia="Cambria" w:hAnsi="Times New Roman" w:cs="Cambria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C7F"/>
    <w:rPr>
      <w:rFonts w:ascii="Calibri" w:eastAsia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NormalLeftJustified"/>
    <w:basedOn w:val="Normal"/>
    <w:uiPriority w:val="1"/>
    <w:qFormat/>
    <w:rsid w:val="00A32C7F"/>
    <w:pPr>
      <w:spacing w:after="4" w:line="269" w:lineRule="auto"/>
      <w:ind w:left="10" w:hanging="10"/>
    </w:pPr>
    <w:rPr>
      <w:rFonts w:ascii="Times New Roman" w:eastAsia="Cambria" w:hAnsi="Times New Roman" w:cs="Cambria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1</cp:revision>
  <dcterms:created xsi:type="dcterms:W3CDTF">2015-04-06T18:16:00Z</dcterms:created>
  <dcterms:modified xsi:type="dcterms:W3CDTF">2015-04-06T18:17:00Z</dcterms:modified>
</cp:coreProperties>
</file>