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DBC51" w14:textId="0ACA732A" w:rsidR="00723409" w:rsidRDefault="00BC5C65" w:rsidP="00953679">
      <w:pPr>
        <w:pStyle w:val="Heading1"/>
      </w:pPr>
      <w:r>
        <w:t>Errata</w:t>
      </w:r>
    </w:p>
    <w:p w14:paraId="16436AD7" w14:textId="77777777" w:rsidR="00953679" w:rsidRDefault="00953679" w:rsidP="00953679"/>
    <w:p w14:paraId="1275889E" w14:textId="4206C008" w:rsidR="00BE379C" w:rsidRDefault="00BE379C" w:rsidP="00BE379C">
      <w:pPr>
        <w:pStyle w:val="Heading2"/>
      </w:pPr>
      <w:r>
        <w:t>Text related</w:t>
      </w:r>
    </w:p>
    <w:p w14:paraId="213467F4" w14:textId="75DEF509" w:rsidR="005D277A" w:rsidRDefault="005D277A" w:rsidP="00953679"/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1610"/>
      </w:tblGrid>
      <w:tr w:rsidR="00F576B5" w14:paraId="1E6638A3" w14:textId="77777777" w:rsidTr="00436C6F">
        <w:trPr>
          <w:jc w:val="center"/>
        </w:trPr>
        <w:tc>
          <w:tcPr>
            <w:tcW w:w="2790" w:type="dxa"/>
            <w:vAlign w:val="center"/>
          </w:tcPr>
          <w:p w14:paraId="04722AD1" w14:textId="1A56B4F2" w:rsidR="00F576B5" w:rsidRDefault="00F576B5" w:rsidP="00436C6F">
            <w:r>
              <w:t>Location</w:t>
            </w:r>
          </w:p>
        </w:tc>
        <w:tc>
          <w:tcPr>
            <w:tcW w:w="11610" w:type="dxa"/>
            <w:vAlign w:val="center"/>
          </w:tcPr>
          <w:p w14:paraId="2AE14023" w14:textId="57EABFB9" w:rsidR="00F576B5" w:rsidRDefault="00F576B5" w:rsidP="00F576B5">
            <w:r>
              <w:t>Correction</w:t>
            </w:r>
          </w:p>
        </w:tc>
      </w:tr>
      <w:tr w:rsidR="00436C6F" w14:paraId="25D040D2" w14:textId="77777777" w:rsidTr="00436C6F">
        <w:trPr>
          <w:jc w:val="center"/>
        </w:trPr>
        <w:tc>
          <w:tcPr>
            <w:tcW w:w="2790" w:type="dxa"/>
            <w:vAlign w:val="center"/>
          </w:tcPr>
          <w:p w14:paraId="281A9439" w14:textId="1B362A99" w:rsidR="00436C6F" w:rsidRDefault="00436C6F" w:rsidP="00436C6F">
            <w:r>
              <w:t>Chapter 17</w:t>
            </w:r>
          </w:p>
        </w:tc>
        <w:tc>
          <w:tcPr>
            <w:tcW w:w="11610" w:type="dxa"/>
            <w:vAlign w:val="center"/>
          </w:tcPr>
          <w:p w14:paraId="1EB5216E" w14:textId="056B4978" w:rsidR="00436C6F" w:rsidRDefault="00436C6F" w:rsidP="00436C6F">
            <w:r>
              <w:t>The last paragraph of Section 17.4.4 is incorrect. The slope of the RSM predicted ROC curve is continuous at the end point, even though the visual impression sometimes implies a discontinuity. This is discussed in more detail in Online Appendix 17.H.</w:t>
            </w:r>
          </w:p>
        </w:tc>
      </w:tr>
      <w:tr w:rsidR="00436C6F" w14:paraId="175AD0F1" w14:textId="77777777" w:rsidTr="00436C6F">
        <w:trPr>
          <w:jc w:val="center"/>
        </w:trPr>
        <w:tc>
          <w:tcPr>
            <w:tcW w:w="2790" w:type="dxa"/>
            <w:vAlign w:val="center"/>
          </w:tcPr>
          <w:p w14:paraId="4153732F" w14:textId="7AB945EE" w:rsidR="00436C6F" w:rsidRDefault="00436C6F" w:rsidP="00436C6F">
            <w:r>
              <w:t>Section 20.5</w:t>
            </w:r>
          </w:p>
        </w:tc>
        <w:tc>
          <w:tcPr>
            <w:tcW w:w="11610" w:type="dxa"/>
            <w:vAlign w:val="center"/>
          </w:tcPr>
          <w:p w14:paraId="3976A313" w14:textId="72DE3344" w:rsidR="00436C6F" w:rsidRDefault="00436C6F" w:rsidP="00436C6F">
            <w:r>
              <w:t xml:space="preserve">The Metz reference at the beginning of the paragraph should be to Ref. 1. </w:t>
            </w:r>
          </w:p>
        </w:tc>
      </w:tr>
      <w:tr w:rsidR="00436C6F" w14:paraId="1D7E8933" w14:textId="77777777" w:rsidTr="00436C6F">
        <w:trPr>
          <w:jc w:val="center"/>
        </w:trPr>
        <w:tc>
          <w:tcPr>
            <w:tcW w:w="2790" w:type="dxa"/>
            <w:vAlign w:val="center"/>
          </w:tcPr>
          <w:p w14:paraId="120E7A81" w14:textId="588034A6" w:rsidR="00436C6F" w:rsidRDefault="00DB531B" w:rsidP="00436C6F">
            <w:r>
              <w:t>Section 20.5.1</w:t>
            </w:r>
          </w:p>
        </w:tc>
        <w:tc>
          <w:tcPr>
            <w:tcW w:w="11610" w:type="dxa"/>
            <w:vAlign w:val="center"/>
          </w:tcPr>
          <w:p w14:paraId="507E6F3E" w14:textId="57953F4D" w:rsidR="00436C6F" w:rsidRDefault="00DB531B" w:rsidP="00DB531B">
            <w:pPr>
              <w:ind w:left="-1402" w:firstLine="1402"/>
            </w:pPr>
            <w:r>
              <w:t>The Metz reference near the beginning of the paragraph, line 3, should be to Ref. 1.</w:t>
            </w:r>
          </w:p>
        </w:tc>
      </w:tr>
      <w:tr w:rsidR="00436C6F" w14:paraId="057FC8AE" w14:textId="77777777" w:rsidTr="00436C6F">
        <w:trPr>
          <w:jc w:val="center"/>
        </w:trPr>
        <w:tc>
          <w:tcPr>
            <w:tcW w:w="2790" w:type="dxa"/>
            <w:vAlign w:val="center"/>
          </w:tcPr>
          <w:p w14:paraId="1A621DAE" w14:textId="0CFFC2D2" w:rsidR="00436C6F" w:rsidRDefault="00127B7E" w:rsidP="00127B7E">
            <w:r>
              <w:t>Section 20.7.2</w:t>
            </w:r>
          </w:p>
        </w:tc>
        <w:tc>
          <w:tcPr>
            <w:tcW w:w="11610" w:type="dxa"/>
            <w:vAlign w:val="center"/>
          </w:tcPr>
          <w:p w14:paraId="41195FDF" w14:textId="30E1D409" w:rsidR="00436C6F" w:rsidRDefault="00127B7E" w:rsidP="00127B7E">
            <w:r>
              <w:t>The Metz and Pan reference should be to Ref. 2.</w:t>
            </w:r>
          </w:p>
        </w:tc>
      </w:tr>
      <w:tr w:rsidR="00E03554" w14:paraId="5AC3E516" w14:textId="77777777" w:rsidTr="00436C6F">
        <w:trPr>
          <w:jc w:val="center"/>
        </w:trPr>
        <w:tc>
          <w:tcPr>
            <w:tcW w:w="2790" w:type="dxa"/>
            <w:vAlign w:val="center"/>
          </w:tcPr>
          <w:p w14:paraId="12426673" w14:textId="2703B182" w:rsidR="00E03554" w:rsidRDefault="00E03554" w:rsidP="00436C6F">
            <w:r>
              <w:t>Section 20.7.5 (2</w:t>
            </w:r>
            <w:r w:rsidRPr="00E03554">
              <w:rPr>
                <w:vertAlign w:val="superscript"/>
              </w:rPr>
              <w:t>nd</w:t>
            </w:r>
            <w:r>
              <w:t xml:space="preserve"> last </w:t>
            </w:r>
            <w:proofErr w:type="spellStart"/>
            <w:r>
              <w:t>para</w:t>
            </w:r>
            <w:proofErr w:type="spellEnd"/>
            <w:r>
              <w:t>)</w:t>
            </w:r>
          </w:p>
        </w:tc>
        <w:tc>
          <w:tcPr>
            <w:tcW w:w="11610" w:type="dxa"/>
            <w:vAlign w:val="center"/>
          </w:tcPr>
          <w:p w14:paraId="1860F5D7" w14:textId="63CA0960" w:rsidR="00E03554" w:rsidRDefault="00E03554" w:rsidP="00E03554">
            <w:pPr>
              <w:keepNext/>
            </w:pPr>
            <w:r>
              <w:t xml:space="preserve">The chapter reference, where CORROC is discussed, should be </w:t>
            </w:r>
            <w:r w:rsidR="00F576B5">
              <w:t xml:space="preserve">to </w:t>
            </w:r>
            <w:r>
              <w:t>Chapter 21.</w:t>
            </w:r>
          </w:p>
        </w:tc>
      </w:tr>
      <w:tr w:rsidR="00A30B35" w14:paraId="1145DAA2" w14:textId="77777777" w:rsidTr="00436C6F">
        <w:trPr>
          <w:jc w:val="center"/>
        </w:trPr>
        <w:tc>
          <w:tcPr>
            <w:tcW w:w="2790" w:type="dxa"/>
            <w:vAlign w:val="center"/>
          </w:tcPr>
          <w:p w14:paraId="0D2A3D63" w14:textId="1D600A65" w:rsidR="00A30B35" w:rsidRDefault="00246FCD" w:rsidP="00436C6F">
            <w:r>
              <w:t>Section 20.7</w:t>
            </w:r>
          </w:p>
        </w:tc>
        <w:tc>
          <w:tcPr>
            <w:tcW w:w="11610" w:type="dxa"/>
            <w:vAlign w:val="center"/>
          </w:tcPr>
          <w:p w14:paraId="2881A93A" w14:textId="6E32C31D" w:rsidR="00A30B35" w:rsidRDefault="00246FCD" w:rsidP="00E03554">
            <w:pPr>
              <w:keepNext/>
            </w:pPr>
            <w:r>
              <w:t xml:space="preserve">The file name in the footnote should be </w:t>
            </w:r>
            <w:r w:rsidRPr="00246FCD">
              <w:rPr>
                <w:rStyle w:val="InLineCode"/>
              </w:rPr>
              <w:t>RSM6.xlsx</w:t>
            </w:r>
            <w:r>
              <w:t xml:space="preserve">. </w:t>
            </w:r>
          </w:p>
        </w:tc>
      </w:tr>
      <w:tr w:rsidR="00A30B35" w14:paraId="1F35F249" w14:textId="77777777" w:rsidTr="00436C6F">
        <w:trPr>
          <w:jc w:val="center"/>
        </w:trPr>
        <w:tc>
          <w:tcPr>
            <w:tcW w:w="2790" w:type="dxa"/>
            <w:vAlign w:val="center"/>
          </w:tcPr>
          <w:p w14:paraId="505AF991" w14:textId="742C9AF9" w:rsidR="00A30B35" w:rsidRDefault="00930B69" w:rsidP="00930B69">
            <w:r>
              <w:t>Section 21.1 (last para)</w:t>
            </w:r>
          </w:p>
        </w:tc>
        <w:tc>
          <w:tcPr>
            <w:tcW w:w="11610" w:type="dxa"/>
            <w:vAlign w:val="center"/>
          </w:tcPr>
          <w:p w14:paraId="4D24FE20" w14:textId="49DE4787" w:rsidR="00A30B35" w:rsidRDefault="00930B69" w:rsidP="00E03554">
            <w:pPr>
              <w:keepNext/>
            </w:pPr>
            <w:r>
              <w:t>This digression is not needed if ...</w:t>
            </w:r>
          </w:p>
        </w:tc>
      </w:tr>
      <w:tr w:rsidR="00E800D3" w14:paraId="085ED606" w14:textId="77777777" w:rsidTr="00436C6F">
        <w:trPr>
          <w:jc w:val="center"/>
        </w:trPr>
        <w:tc>
          <w:tcPr>
            <w:tcW w:w="2790" w:type="dxa"/>
            <w:vAlign w:val="center"/>
          </w:tcPr>
          <w:p w14:paraId="0BA84CE3" w14:textId="77777777" w:rsidR="00E800D3" w:rsidRDefault="00E800D3" w:rsidP="00E800D3"/>
        </w:tc>
        <w:tc>
          <w:tcPr>
            <w:tcW w:w="11610" w:type="dxa"/>
            <w:vAlign w:val="center"/>
          </w:tcPr>
          <w:p w14:paraId="529A6699" w14:textId="77777777" w:rsidR="00E800D3" w:rsidRDefault="00E800D3" w:rsidP="00E03554">
            <w:pPr>
              <w:keepNext/>
            </w:pPr>
          </w:p>
        </w:tc>
      </w:tr>
      <w:tr w:rsidR="00A30B35" w14:paraId="596E1EA8" w14:textId="77777777" w:rsidTr="00436C6F">
        <w:trPr>
          <w:jc w:val="center"/>
        </w:trPr>
        <w:tc>
          <w:tcPr>
            <w:tcW w:w="2790" w:type="dxa"/>
            <w:vAlign w:val="center"/>
          </w:tcPr>
          <w:p w14:paraId="65654F60" w14:textId="175FCE15" w:rsidR="00A30B35" w:rsidRDefault="00E800D3" w:rsidP="00E800D3">
            <w:r>
              <w:t>Section 22.3.1</w:t>
            </w:r>
          </w:p>
        </w:tc>
        <w:tc>
          <w:tcPr>
            <w:tcW w:w="11610" w:type="dxa"/>
            <w:vAlign w:val="center"/>
          </w:tcPr>
          <w:p w14:paraId="7AA2FA6D" w14:textId="478E1921" w:rsidR="00A30B35" w:rsidRDefault="00E800D3" w:rsidP="00E03554">
            <w:pPr>
              <w:keepNext/>
            </w:pPr>
            <w:r>
              <w:t>Following code listing, replace "</w:t>
            </w:r>
            <w:r w:rsidRPr="00E800D3">
              <w:rPr>
                <w:i/>
              </w:rPr>
              <w:t>line 27, 34 or 41</w:t>
            </w:r>
            <w:r>
              <w:t>" with "</w:t>
            </w:r>
            <w:r w:rsidRPr="00E800D3">
              <w:rPr>
                <w:i/>
              </w:rPr>
              <w:t>line 20 - 25</w:t>
            </w:r>
            <w:r>
              <w:t>"</w:t>
            </w:r>
          </w:p>
        </w:tc>
      </w:tr>
      <w:tr w:rsidR="00A30B35" w14:paraId="2DCC4E93" w14:textId="77777777" w:rsidTr="00436C6F">
        <w:trPr>
          <w:jc w:val="center"/>
        </w:trPr>
        <w:tc>
          <w:tcPr>
            <w:tcW w:w="2790" w:type="dxa"/>
            <w:vAlign w:val="center"/>
          </w:tcPr>
          <w:p w14:paraId="6A4B5BC1" w14:textId="77777777" w:rsidR="00A30B35" w:rsidRDefault="00A30B35" w:rsidP="00436C6F"/>
        </w:tc>
        <w:tc>
          <w:tcPr>
            <w:tcW w:w="11610" w:type="dxa"/>
            <w:vAlign w:val="center"/>
          </w:tcPr>
          <w:p w14:paraId="680BF53F" w14:textId="77777777" w:rsidR="00A30B35" w:rsidRDefault="00A30B35" w:rsidP="00E03554">
            <w:pPr>
              <w:keepNext/>
            </w:pPr>
          </w:p>
        </w:tc>
      </w:tr>
    </w:tbl>
    <w:p w14:paraId="52F82FB1" w14:textId="3CB496B8" w:rsidR="00462EBC" w:rsidRDefault="00462EBC" w:rsidP="00436C6F">
      <w:pPr>
        <w:pStyle w:val="Caption"/>
      </w:pPr>
    </w:p>
    <w:p w14:paraId="7380A4B0" w14:textId="5378D47C" w:rsidR="005D277A" w:rsidRPr="00953679" w:rsidRDefault="005D277A" w:rsidP="005D277A">
      <w:pPr>
        <w:pStyle w:val="Heading2"/>
      </w:pPr>
      <w:r>
        <w:t>Code related</w:t>
      </w:r>
    </w:p>
    <w:tbl>
      <w:tblPr>
        <w:tblStyle w:val="TableGrid"/>
        <w:tblW w:w="151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150"/>
        <w:gridCol w:w="3240"/>
        <w:gridCol w:w="4380"/>
        <w:gridCol w:w="3360"/>
      </w:tblGrid>
      <w:tr w:rsidR="00313A6A" w14:paraId="15E5DB9D" w14:textId="6E50387D" w:rsidTr="00FF5E92">
        <w:trPr>
          <w:jc w:val="center"/>
        </w:trPr>
        <w:tc>
          <w:tcPr>
            <w:tcW w:w="990" w:type="dxa"/>
          </w:tcPr>
          <w:p w14:paraId="1718BB6B" w14:textId="14099304" w:rsidR="00313A6A" w:rsidRDefault="00313A6A" w:rsidP="00BC5C65">
            <w:pPr>
              <w:jc w:val="center"/>
            </w:pPr>
            <w:r>
              <w:t>Chapter</w:t>
            </w:r>
          </w:p>
        </w:tc>
        <w:tc>
          <w:tcPr>
            <w:tcW w:w="3150" w:type="dxa"/>
            <w:vAlign w:val="center"/>
          </w:tcPr>
          <w:p w14:paraId="4C422093" w14:textId="033E9C94" w:rsidR="00313A6A" w:rsidRDefault="00313A6A" w:rsidP="00313A6A">
            <w:pPr>
              <w:jc w:val="center"/>
            </w:pPr>
            <w:r>
              <w:t xml:space="preserve">Incorrect </w:t>
            </w:r>
          </w:p>
        </w:tc>
        <w:tc>
          <w:tcPr>
            <w:tcW w:w="3240" w:type="dxa"/>
            <w:vAlign w:val="center"/>
          </w:tcPr>
          <w:p w14:paraId="1FE89673" w14:textId="546438F5" w:rsidR="00313A6A" w:rsidRDefault="00313A6A" w:rsidP="00BC5C65">
            <w:pPr>
              <w:jc w:val="center"/>
            </w:pPr>
            <w:r>
              <w:t>Meaning/location</w:t>
            </w:r>
          </w:p>
        </w:tc>
        <w:tc>
          <w:tcPr>
            <w:tcW w:w="4380" w:type="dxa"/>
            <w:vAlign w:val="center"/>
          </w:tcPr>
          <w:p w14:paraId="38E07499" w14:textId="45B519ED" w:rsidR="00313A6A" w:rsidRDefault="00313A6A" w:rsidP="00BC5C65">
            <w:pPr>
              <w:jc w:val="center"/>
            </w:pPr>
            <w:r>
              <w:t>Corrected value</w:t>
            </w:r>
          </w:p>
        </w:tc>
        <w:tc>
          <w:tcPr>
            <w:tcW w:w="3360" w:type="dxa"/>
            <w:vAlign w:val="center"/>
          </w:tcPr>
          <w:p w14:paraId="16940262" w14:textId="115A0674" w:rsidR="00313A6A" w:rsidRDefault="00313A6A" w:rsidP="00BC5C65">
            <w:pPr>
              <w:jc w:val="center"/>
            </w:pPr>
            <w:r>
              <w:t>Reason</w:t>
            </w:r>
          </w:p>
        </w:tc>
      </w:tr>
      <w:tr w:rsidR="00313A6A" w14:paraId="5CCBD191" w14:textId="472C1D87" w:rsidTr="00FF5E92">
        <w:trPr>
          <w:jc w:val="center"/>
        </w:trPr>
        <w:tc>
          <w:tcPr>
            <w:tcW w:w="990" w:type="dxa"/>
            <w:vAlign w:val="center"/>
          </w:tcPr>
          <w:p w14:paraId="24F18438" w14:textId="77777777" w:rsidR="00313A6A" w:rsidRPr="00BC5C65" w:rsidRDefault="00313A6A" w:rsidP="00313A6A">
            <w:pPr>
              <w:rPr>
                <w:rStyle w:val="InLineCode"/>
              </w:rPr>
            </w:pPr>
          </w:p>
        </w:tc>
        <w:tc>
          <w:tcPr>
            <w:tcW w:w="3150" w:type="dxa"/>
            <w:vAlign w:val="center"/>
          </w:tcPr>
          <w:p w14:paraId="27608CAD" w14:textId="0004E85E" w:rsidR="00313A6A" w:rsidRDefault="00313A6A" w:rsidP="00ED7F96">
            <w:proofErr w:type="spellStart"/>
            <w:proofErr w:type="gramStart"/>
            <w:r w:rsidRPr="00BC5C65">
              <w:rPr>
                <w:rStyle w:val="InLineCode"/>
              </w:rPr>
              <w:t>fom</w:t>
            </w:r>
            <w:proofErr w:type="spellEnd"/>
            <w:proofErr w:type="gramEnd"/>
          </w:p>
        </w:tc>
        <w:tc>
          <w:tcPr>
            <w:tcW w:w="3240" w:type="dxa"/>
            <w:vAlign w:val="center"/>
          </w:tcPr>
          <w:p w14:paraId="3E018DC8" w14:textId="7D11D15A" w:rsidR="00313A6A" w:rsidRDefault="00313A6A" w:rsidP="00313A6A">
            <w:r>
              <w:t xml:space="preserve">Figure of merit argument to certain </w:t>
            </w:r>
            <w:r w:rsidRPr="00B57873">
              <w:rPr>
                <w:rStyle w:val="InLineCode"/>
              </w:rPr>
              <w:t>RJafroc</w:t>
            </w:r>
            <w:r>
              <w:t xml:space="preserve"> functions</w:t>
            </w:r>
          </w:p>
        </w:tc>
        <w:tc>
          <w:tcPr>
            <w:tcW w:w="4380" w:type="dxa"/>
            <w:vAlign w:val="center"/>
          </w:tcPr>
          <w:p w14:paraId="5CA90FB1" w14:textId="433601D6" w:rsidR="00313A6A" w:rsidRPr="00BC5C65" w:rsidRDefault="00313A6A" w:rsidP="00313A6A">
            <w:pPr>
              <w:rPr>
                <w:rStyle w:val="InLineCode"/>
              </w:rPr>
            </w:pPr>
            <w:r w:rsidRPr="00BC5C65">
              <w:rPr>
                <w:rStyle w:val="InLineCode"/>
              </w:rPr>
              <w:t>FOM</w:t>
            </w:r>
          </w:p>
        </w:tc>
        <w:tc>
          <w:tcPr>
            <w:tcW w:w="3360" w:type="dxa"/>
            <w:vAlign w:val="center"/>
          </w:tcPr>
          <w:p w14:paraId="0275992A" w14:textId="14F7B17B" w:rsidR="00313A6A" w:rsidRDefault="00313A6A" w:rsidP="00313A6A">
            <w:r>
              <w:t>Corrects inconsistent usage</w:t>
            </w:r>
          </w:p>
        </w:tc>
      </w:tr>
      <w:tr w:rsidR="00313A6A" w14:paraId="336C3868" w14:textId="7481A0EB" w:rsidTr="00FF5E92">
        <w:trPr>
          <w:jc w:val="center"/>
        </w:trPr>
        <w:tc>
          <w:tcPr>
            <w:tcW w:w="990" w:type="dxa"/>
            <w:vAlign w:val="center"/>
          </w:tcPr>
          <w:p w14:paraId="5FDB62E2" w14:textId="59DAE2B1" w:rsidR="00313A6A" w:rsidRPr="00874F84" w:rsidRDefault="00313A6A" w:rsidP="00313A6A">
            <w:r>
              <w:t>8</w:t>
            </w:r>
          </w:p>
        </w:tc>
        <w:tc>
          <w:tcPr>
            <w:tcW w:w="3150" w:type="dxa"/>
            <w:vAlign w:val="center"/>
          </w:tcPr>
          <w:p w14:paraId="60301EFF" w14:textId="606A0F57" w:rsidR="00313A6A" w:rsidRDefault="00313A6A" w:rsidP="00313A6A">
            <w:r w:rsidRPr="00874F84">
              <w:t>0.03953934 0.04900000</w:t>
            </w:r>
          </w:p>
        </w:tc>
        <w:tc>
          <w:tcPr>
            <w:tcW w:w="3240" w:type="dxa"/>
            <w:vAlign w:val="center"/>
          </w:tcPr>
          <w:p w14:paraId="312202FD" w14:textId="21B747BB" w:rsidR="00313A6A" w:rsidRDefault="00313A6A" w:rsidP="00313A6A">
            <w:r>
              <w:t>Approximate confidence interval in §8.3.2</w:t>
            </w:r>
          </w:p>
        </w:tc>
        <w:tc>
          <w:tcPr>
            <w:tcW w:w="4380" w:type="dxa"/>
            <w:vAlign w:val="center"/>
          </w:tcPr>
          <w:p w14:paraId="00D98266" w14:textId="4DD181B2" w:rsidR="00313A6A" w:rsidRDefault="00313A6A" w:rsidP="00313A6A">
            <w:r w:rsidRPr="00874F84">
              <w:t>0.03953934 0.05846066</w:t>
            </w:r>
          </w:p>
        </w:tc>
        <w:tc>
          <w:tcPr>
            <w:tcW w:w="3360" w:type="dxa"/>
            <w:vAlign w:val="center"/>
          </w:tcPr>
          <w:p w14:paraId="2C074E36" w14:textId="3D3782D5" w:rsidR="00313A6A" w:rsidRDefault="00313A6A" w:rsidP="00313A6A">
            <w:r>
              <w:t xml:space="preserve">Shows that </w:t>
            </w:r>
            <w:r w:rsidRPr="00313A6A">
              <w:rPr>
                <w:i/>
              </w:rPr>
              <w:t>where</w:t>
            </w:r>
            <w:r>
              <w:t xml:space="preserve"> one splits a line of </w:t>
            </w:r>
            <w:r w:rsidRPr="00313A6A">
              <w:rPr>
                <w:rStyle w:val="InLineCode"/>
              </w:rPr>
              <w:t>R</w:t>
            </w:r>
            <w:r>
              <w:t xml:space="preserve"> code can make a big difference; study this example carefully</w:t>
            </w:r>
          </w:p>
        </w:tc>
      </w:tr>
      <w:tr w:rsidR="00313A6A" w14:paraId="1EA2F107" w14:textId="77777777" w:rsidTr="00FF5E92">
        <w:trPr>
          <w:jc w:val="center"/>
        </w:trPr>
        <w:tc>
          <w:tcPr>
            <w:tcW w:w="990" w:type="dxa"/>
            <w:vAlign w:val="center"/>
          </w:tcPr>
          <w:p w14:paraId="4294403B" w14:textId="3DB7FBF3" w:rsidR="00313A6A" w:rsidRDefault="00313A6A" w:rsidP="00313A6A">
            <w:r>
              <w:t>13</w:t>
            </w:r>
          </w:p>
        </w:tc>
        <w:tc>
          <w:tcPr>
            <w:tcW w:w="3150" w:type="dxa"/>
            <w:vAlign w:val="center"/>
          </w:tcPr>
          <w:p w14:paraId="7FD6007F" w14:textId="7E6D4F9D" w:rsidR="00313A6A" w:rsidRDefault="00313A6A" w:rsidP="00313A6A">
            <w:proofErr w:type="spellStart"/>
            <w:r w:rsidRPr="00313A6A">
              <w:rPr>
                <w:rStyle w:val="InLineCode"/>
              </w:rPr>
              <w:t>SimulateFrocData</w:t>
            </w:r>
            <w:proofErr w:type="spellEnd"/>
            <w:r w:rsidRPr="00313A6A">
              <w:rPr>
                <w:rStyle w:val="InLineCode"/>
              </w:rPr>
              <w:t>()</w:t>
            </w:r>
          </w:p>
        </w:tc>
        <w:tc>
          <w:tcPr>
            <w:tcW w:w="3240" w:type="dxa"/>
            <w:vAlign w:val="center"/>
          </w:tcPr>
          <w:p w14:paraId="4FDDF695" w14:textId="0653BA39" w:rsidR="00313A6A" w:rsidRDefault="00313A6A" w:rsidP="00313A6A">
            <w:r>
              <w:t>Paragraph preceding §13.10.1</w:t>
            </w:r>
          </w:p>
        </w:tc>
        <w:tc>
          <w:tcPr>
            <w:tcW w:w="4380" w:type="dxa"/>
            <w:vAlign w:val="center"/>
          </w:tcPr>
          <w:p w14:paraId="11498215" w14:textId="5DA62412" w:rsidR="00313A6A" w:rsidRPr="00313A6A" w:rsidRDefault="00313A6A" w:rsidP="00313A6A">
            <w:pPr>
              <w:rPr>
                <w:rStyle w:val="InLineCode"/>
              </w:rPr>
            </w:pPr>
            <w:proofErr w:type="spellStart"/>
            <w:r w:rsidRPr="00313A6A">
              <w:rPr>
                <w:rStyle w:val="InLineCode"/>
              </w:rPr>
              <w:t>SimulateFrocDataset</w:t>
            </w:r>
            <w:proofErr w:type="spellEnd"/>
            <w:r w:rsidRPr="00313A6A">
              <w:rPr>
                <w:rStyle w:val="InLineCode"/>
              </w:rPr>
              <w:t>()</w:t>
            </w:r>
          </w:p>
        </w:tc>
        <w:tc>
          <w:tcPr>
            <w:tcW w:w="3360" w:type="dxa"/>
            <w:vAlign w:val="center"/>
          </w:tcPr>
          <w:p w14:paraId="4C100BD6" w14:textId="0254DEC6" w:rsidR="00313A6A" w:rsidRDefault="00313A6A" w:rsidP="00677EEF">
            <w:r>
              <w:t xml:space="preserve">More </w:t>
            </w:r>
            <w:r w:rsidR="00677EEF">
              <w:t>meaningful</w:t>
            </w:r>
            <w:r>
              <w:t xml:space="preserve"> function name</w:t>
            </w:r>
          </w:p>
        </w:tc>
      </w:tr>
      <w:tr w:rsidR="00313A6A" w14:paraId="1A522682" w14:textId="77777777" w:rsidTr="00FF5E92">
        <w:trPr>
          <w:jc w:val="center"/>
        </w:trPr>
        <w:tc>
          <w:tcPr>
            <w:tcW w:w="990" w:type="dxa"/>
            <w:vAlign w:val="center"/>
          </w:tcPr>
          <w:p w14:paraId="25BC46E5" w14:textId="56496CAC" w:rsidR="00313A6A" w:rsidRPr="00313A6A" w:rsidRDefault="00313A6A" w:rsidP="00313A6A">
            <w:r>
              <w:t>13</w:t>
            </w:r>
          </w:p>
        </w:tc>
        <w:tc>
          <w:tcPr>
            <w:tcW w:w="3150" w:type="dxa"/>
            <w:vAlign w:val="center"/>
          </w:tcPr>
          <w:p w14:paraId="655B70CA" w14:textId="4C70FD8F" w:rsidR="00313A6A" w:rsidRPr="00313A6A" w:rsidRDefault="00313A6A" w:rsidP="00313A6A">
            <w:pPr>
              <w:rPr>
                <w:rStyle w:val="InLineCode"/>
              </w:rPr>
            </w:pPr>
            <w:proofErr w:type="spellStart"/>
            <w:r w:rsidRPr="00313A6A">
              <w:rPr>
                <w:rStyle w:val="InLineCode"/>
              </w:rPr>
              <w:t>PlotEmpiricaOperatingCharacteristics</w:t>
            </w:r>
            <w:proofErr w:type="spellEnd"/>
            <w:r w:rsidRPr="00313A6A">
              <w:rPr>
                <w:rStyle w:val="InLineCode"/>
              </w:rPr>
              <w:t>()</w:t>
            </w:r>
          </w:p>
        </w:tc>
        <w:tc>
          <w:tcPr>
            <w:tcW w:w="3240" w:type="dxa"/>
            <w:vAlign w:val="center"/>
          </w:tcPr>
          <w:p w14:paraId="0002DE5D" w14:textId="346E2927" w:rsidR="00313A6A" w:rsidRDefault="00313A6A" w:rsidP="00313A6A">
            <w:r>
              <w:t>Paragraph preceding §13.10.1</w:t>
            </w:r>
          </w:p>
        </w:tc>
        <w:tc>
          <w:tcPr>
            <w:tcW w:w="4380" w:type="dxa"/>
            <w:vAlign w:val="center"/>
          </w:tcPr>
          <w:p w14:paraId="09193542" w14:textId="798CD45B" w:rsidR="00313A6A" w:rsidRPr="00313A6A" w:rsidRDefault="00313A6A" w:rsidP="00313A6A">
            <w:pPr>
              <w:rPr>
                <w:rStyle w:val="InLineCode"/>
              </w:rPr>
            </w:pPr>
            <w:proofErr w:type="spellStart"/>
            <w:r w:rsidRPr="00313A6A">
              <w:rPr>
                <w:rStyle w:val="InLineCode"/>
              </w:rPr>
              <w:t>PlotEmpiricalOperatingCharacteristics</w:t>
            </w:r>
            <w:proofErr w:type="spellEnd"/>
            <w:r w:rsidRPr="00313A6A">
              <w:rPr>
                <w:rStyle w:val="InLineCode"/>
              </w:rPr>
              <w:t>()</w:t>
            </w:r>
          </w:p>
        </w:tc>
        <w:tc>
          <w:tcPr>
            <w:tcW w:w="3360" w:type="dxa"/>
            <w:vAlign w:val="center"/>
          </w:tcPr>
          <w:p w14:paraId="271CE38C" w14:textId="60C4883B" w:rsidR="00313A6A" w:rsidRDefault="00313A6A" w:rsidP="00677EEF">
            <w:r>
              <w:t>Correct</w:t>
            </w:r>
            <w:r w:rsidR="00677EEF">
              <w:t>ed</w:t>
            </w:r>
            <w:r>
              <w:t xml:space="preserve"> spelling error</w:t>
            </w:r>
          </w:p>
        </w:tc>
      </w:tr>
      <w:tr w:rsidR="00313A6A" w14:paraId="296331A8" w14:textId="77777777" w:rsidTr="00FF5E92">
        <w:trPr>
          <w:jc w:val="center"/>
        </w:trPr>
        <w:tc>
          <w:tcPr>
            <w:tcW w:w="990" w:type="dxa"/>
            <w:vAlign w:val="center"/>
          </w:tcPr>
          <w:p w14:paraId="52760338" w14:textId="572E1FFF" w:rsidR="00313A6A" w:rsidRDefault="00EE2424" w:rsidP="00313A6A">
            <w:r>
              <w:t>12, 13</w:t>
            </w:r>
            <w:r w:rsidR="00EB30A3">
              <w:t>, 19</w:t>
            </w:r>
          </w:p>
        </w:tc>
        <w:tc>
          <w:tcPr>
            <w:tcW w:w="3150" w:type="dxa"/>
            <w:vAlign w:val="center"/>
          </w:tcPr>
          <w:p w14:paraId="6FB1681C" w14:textId="00CA35C9" w:rsidR="00313A6A" w:rsidRPr="00EE2424" w:rsidRDefault="00EE2424" w:rsidP="00313A6A">
            <w:pPr>
              <w:rPr>
                <w:rStyle w:val="InLineCode"/>
              </w:rPr>
            </w:pPr>
            <w:proofErr w:type="spellStart"/>
            <w:r w:rsidRPr="00EE2424">
              <w:rPr>
                <w:rStyle w:val="InLineCode"/>
              </w:rPr>
              <w:t>DfBinDataset</w:t>
            </w:r>
            <w:proofErr w:type="spellEnd"/>
            <w:r w:rsidRPr="00EE2424">
              <w:rPr>
                <w:rStyle w:val="InLineCode"/>
              </w:rPr>
              <w:t>(...)</w:t>
            </w:r>
          </w:p>
        </w:tc>
        <w:tc>
          <w:tcPr>
            <w:tcW w:w="3240" w:type="dxa"/>
            <w:vAlign w:val="center"/>
          </w:tcPr>
          <w:p w14:paraId="03F3FFB3" w14:textId="0AC0581E" w:rsidR="00313A6A" w:rsidRDefault="00EB30A3" w:rsidP="00313A6A">
            <w:r>
              <w:t>Binning routine</w:t>
            </w:r>
          </w:p>
        </w:tc>
        <w:tc>
          <w:tcPr>
            <w:tcW w:w="4380" w:type="dxa"/>
            <w:vAlign w:val="center"/>
          </w:tcPr>
          <w:p w14:paraId="42A51D84" w14:textId="2ED37207" w:rsidR="00313A6A" w:rsidRPr="00EE2424" w:rsidRDefault="00EE2424" w:rsidP="00EE2424">
            <w:pPr>
              <w:rPr>
                <w:rStyle w:val="InLineCode"/>
              </w:rPr>
            </w:pPr>
            <w:proofErr w:type="spellStart"/>
            <w:r w:rsidRPr="00EE2424">
              <w:rPr>
                <w:rStyle w:val="InLineCode"/>
              </w:rPr>
              <w:t>DfBinDataset</w:t>
            </w:r>
            <w:proofErr w:type="spellEnd"/>
            <w:r w:rsidRPr="00EE2424">
              <w:rPr>
                <w:rStyle w:val="InLineCode"/>
              </w:rPr>
              <w:t xml:space="preserve">(..., </w:t>
            </w:r>
            <w:proofErr w:type="spellStart"/>
            <w:r w:rsidRPr="00EE2424">
              <w:rPr>
                <w:rStyle w:val="InLineCode"/>
              </w:rPr>
              <w:t>opChType</w:t>
            </w:r>
            <w:proofErr w:type="spellEnd"/>
            <w:r w:rsidRPr="00EE2424">
              <w:rPr>
                <w:rStyle w:val="InLineCode"/>
              </w:rPr>
              <w:t>)</w:t>
            </w:r>
          </w:p>
        </w:tc>
        <w:tc>
          <w:tcPr>
            <w:tcW w:w="3360" w:type="dxa"/>
            <w:vAlign w:val="center"/>
          </w:tcPr>
          <w:p w14:paraId="536A203A" w14:textId="0EADB2CB" w:rsidR="00313A6A" w:rsidRDefault="00EE2424" w:rsidP="00EE2424">
            <w:r>
              <w:t xml:space="preserve">Binning function needs to know the type of operating characteristic; this is discussed in Online Appendix 21 and </w:t>
            </w:r>
            <w:r w:rsidRPr="00EE2424">
              <w:rPr>
                <w:rStyle w:val="InLineCode"/>
              </w:rPr>
              <w:t>RJafroc</w:t>
            </w:r>
            <w:r>
              <w:t xml:space="preserve"> documentation</w:t>
            </w:r>
          </w:p>
        </w:tc>
      </w:tr>
      <w:tr w:rsidR="00E7251A" w14:paraId="287BC82F" w14:textId="77777777" w:rsidTr="00BE08F1">
        <w:trPr>
          <w:jc w:val="center"/>
        </w:trPr>
        <w:tc>
          <w:tcPr>
            <w:tcW w:w="990" w:type="dxa"/>
            <w:vAlign w:val="center"/>
          </w:tcPr>
          <w:p w14:paraId="18F15090" w14:textId="2FBB899E" w:rsidR="00E7251A" w:rsidRDefault="00E7251A" w:rsidP="00313A6A">
            <w:r>
              <w:lastRenderedPageBreak/>
              <w:t>18</w:t>
            </w:r>
          </w:p>
        </w:tc>
        <w:tc>
          <w:tcPr>
            <w:tcW w:w="14130" w:type="dxa"/>
            <w:gridSpan w:val="4"/>
            <w:vAlign w:val="center"/>
          </w:tcPr>
          <w:p w14:paraId="0FEA3EE6" w14:textId="4A5862E8" w:rsidR="00E7251A" w:rsidRPr="00E7251A" w:rsidRDefault="00E7251A" w:rsidP="00E7251A">
            <w:pPr>
              <w:rPr>
                <w:bCs/>
              </w:rPr>
            </w:pPr>
            <w:r w:rsidRPr="00E7251A">
              <w:rPr>
                <w:rStyle w:val="InLineCode"/>
                <w:rFonts w:ascii="Times New Roman" w:hAnsi="Times New Roman"/>
                <w:b w:val="0"/>
              </w:rPr>
              <w:t>Delete</w:t>
            </w:r>
            <w:r>
              <w:rPr>
                <w:rStyle w:val="InLineCode"/>
                <w:rFonts w:ascii="Times New Roman" w:hAnsi="Times New Roman"/>
                <w:b w:val="0"/>
              </w:rPr>
              <w:t xml:space="preserve"> "For non-ROC datasets, </w:t>
            </w:r>
            <w:r w:rsidRPr="00E7251A">
              <w:rPr>
                <w:rStyle w:val="InLineCode"/>
                <w:rFonts w:ascii="Times New Roman" w:hAnsi="Times New Roman"/>
                <w:b w:val="0"/>
              </w:rPr>
              <w:t>the highest rating method was used to infer the corresponding ROC data.</w:t>
            </w:r>
            <w:r>
              <w:rPr>
                <w:rStyle w:val="InLineCode"/>
                <w:rFonts w:ascii="Times New Roman" w:hAnsi="Times New Roman"/>
                <w:b w:val="0"/>
              </w:rPr>
              <w:t xml:space="preserve">" in paragraph following </w:t>
            </w:r>
            <w:r>
              <w:t>§</w:t>
            </w:r>
            <w:r>
              <w:rPr>
                <w:rStyle w:val="InLineCode"/>
                <w:rFonts w:ascii="Times New Roman" w:hAnsi="Times New Roman"/>
                <w:b w:val="0"/>
              </w:rPr>
              <w:t>18.2.1.</w:t>
            </w:r>
          </w:p>
        </w:tc>
      </w:tr>
      <w:tr w:rsidR="00313A6A" w14:paraId="480D833C" w14:textId="77777777" w:rsidTr="00FF5E92">
        <w:trPr>
          <w:jc w:val="center"/>
        </w:trPr>
        <w:tc>
          <w:tcPr>
            <w:tcW w:w="990" w:type="dxa"/>
            <w:vAlign w:val="center"/>
          </w:tcPr>
          <w:p w14:paraId="38319777" w14:textId="57F09EF0" w:rsidR="00313A6A" w:rsidRDefault="00677EEF" w:rsidP="00313A6A">
            <w:r>
              <w:t>19</w:t>
            </w:r>
          </w:p>
        </w:tc>
        <w:tc>
          <w:tcPr>
            <w:tcW w:w="3150" w:type="dxa"/>
            <w:vAlign w:val="center"/>
          </w:tcPr>
          <w:p w14:paraId="48FF504B" w14:textId="5950DBDC" w:rsidR="00313A6A" w:rsidRPr="00677EEF" w:rsidRDefault="00677EEF" w:rsidP="00313A6A">
            <w:pPr>
              <w:rPr>
                <w:rStyle w:val="InLineCode"/>
              </w:rPr>
            </w:pPr>
            <w:proofErr w:type="spellStart"/>
            <w:r w:rsidRPr="00677EEF">
              <w:rPr>
                <w:rStyle w:val="InLineCode"/>
              </w:rPr>
              <w:t>lesionDistribution</w:t>
            </w:r>
            <w:proofErr w:type="spellEnd"/>
          </w:p>
        </w:tc>
        <w:tc>
          <w:tcPr>
            <w:tcW w:w="3240" w:type="dxa"/>
            <w:vAlign w:val="center"/>
          </w:tcPr>
          <w:p w14:paraId="05B816E8" w14:textId="4D3D0D7A" w:rsidR="00313A6A" w:rsidRDefault="00677EEF" w:rsidP="00313A6A">
            <w:r>
              <w:t>19.5.1, line 27</w:t>
            </w:r>
          </w:p>
        </w:tc>
        <w:tc>
          <w:tcPr>
            <w:tcW w:w="4380" w:type="dxa"/>
            <w:vAlign w:val="center"/>
          </w:tcPr>
          <w:p w14:paraId="0253649A" w14:textId="5052F755" w:rsidR="00313A6A" w:rsidRPr="00677EEF" w:rsidRDefault="00677EEF" w:rsidP="00313A6A">
            <w:pPr>
              <w:rPr>
                <w:rStyle w:val="InLineCode"/>
              </w:rPr>
            </w:pPr>
            <w:proofErr w:type="spellStart"/>
            <w:r w:rsidRPr="00677EEF">
              <w:rPr>
                <w:rStyle w:val="InLineCode"/>
              </w:rPr>
              <w:t>UtilLesionDistribution</w:t>
            </w:r>
            <w:proofErr w:type="spellEnd"/>
          </w:p>
        </w:tc>
        <w:tc>
          <w:tcPr>
            <w:tcW w:w="3360" w:type="dxa"/>
            <w:vAlign w:val="center"/>
          </w:tcPr>
          <w:p w14:paraId="544722C3" w14:textId="4D23A079" w:rsidR="00313A6A" w:rsidRDefault="00677EEF" w:rsidP="00313A6A">
            <w:r>
              <w:t>Renamed function for better organization</w:t>
            </w:r>
          </w:p>
        </w:tc>
      </w:tr>
      <w:tr w:rsidR="00313A6A" w14:paraId="2204B4BF" w14:textId="77777777" w:rsidTr="00FF5E92">
        <w:trPr>
          <w:jc w:val="center"/>
        </w:trPr>
        <w:tc>
          <w:tcPr>
            <w:tcW w:w="990" w:type="dxa"/>
            <w:vAlign w:val="center"/>
          </w:tcPr>
          <w:p w14:paraId="68B35989" w14:textId="2DE0A7D7" w:rsidR="00313A6A" w:rsidRDefault="000771D7" w:rsidP="00313A6A">
            <w:bookmarkStart w:id="0" w:name="_GoBack"/>
            <w:bookmarkEnd w:id="0"/>
            <w:r>
              <w:t>19</w:t>
            </w:r>
          </w:p>
        </w:tc>
        <w:tc>
          <w:tcPr>
            <w:tcW w:w="3150" w:type="dxa"/>
            <w:vAlign w:val="center"/>
          </w:tcPr>
          <w:p w14:paraId="0CFC4B37" w14:textId="15B1BC68" w:rsidR="00313A6A" w:rsidRDefault="000771D7" w:rsidP="007B08CE">
            <w:proofErr w:type="spellStart"/>
            <w:r>
              <w:t>chk</w:t>
            </w:r>
            <w:proofErr w:type="spellEnd"/>
            <w:r>
              <w:t xml:space="preserve"> ref. to inverse correlation paper</w:t>
            </w:r>
          </w:p>
        </w:tc>
        <w:tc>
          <w:tcPr>
            <w:tcW w:w="3240" w:type="dxa"/>
            <w:vAlign w:val="center"/>
          </w:tcPr>
          <w:p w14:paraId="45DE3002" w14:textId="29C42034" w:rsidR="00313A6A" w:rsidRDefault="007B08CE" w:rsidP="00313A6A">
            <w:r>
              <w:t>25, not 31</w:t>
            </w:r>
          </w:p>
        </w:tc>
        <w:tc>
          <w:tcPr>
            <w:tcW w:w="4380" w:type="dxa"/>
            <w:vAlign w:val="center"/>
          </w:tcPr>
          <w:p w14:paraId="77E48AF3" w14:textId="77777777" w:rsidR="00313A6A" w:rsidRDefault="00313A6A" w:rsidP="00313A6A"/>
        </w:tc>
        <w:tc>
          <w:tcPr>
            <w:tcW w:w="3360" w:type="dxa"/>
            <w:vAlign w:val="center"/>
          </w:tcPr>
          <w:p w14:paraId="15B37E65" w14:textId="77777777" w:rsidR="00313A6A" w:rsidRDefault="00313A6A" w:rsidP="00313A6A"/>
        </w:tc>
      </w:tr>
      <w:tr w:rsidR="00313A6A" w14:paraId="3F89A23C" w14:textId="2F503B52" w:rsidTr="00FF5E92">
        <w:trPr>
          <w:jc w:val="center"/>
        </w:trPr>
        <w:tc>
          <w:tcPr>
            <w:tcW w:w="990" w:type="dxa"/>
            <w:vAlign w:val="center"/>
          </w:tcPr>
          <w:p w14:paraId="71D6B1D2" w14:textId="283B73C7" w:rsidR="00313A6A" w:rsidRDefault="007B08CE" w:rsidP="00313A6A">
            <w:r>
              <w:t>19</w:t>
            </w:r>
          </w:p>
        </w:tc>
        <w:tc>
          <w:tcPr>
            <w:tcW w:w="3150" w:type="dxa"/>
            <w:vAlign w:val="center"/>
          </w:tcPr>
          <w:p w14:paraId="59BCADD8" w14:textId="127983B8" w:rsidR="00313A6A" w:rsidRDefault="007B08CE" w:rsidP="00313A6A">
            <w:r>
              <w:t xml:space="preserve">Also references in first </w:t>
            </w:r>
            <w:proofErr w:type="spellStart"/>
            <w:r>
              <w:t>para</w:t>
            </w:r>
            <w:proofErr w:type="spellEnd"/>
            <w:r>
              <w:t xml:space="preserve"> to 19.8</w:t>
            </w:r>
          </w:p>
        </w:tc>
        <w:tc>
          <w:tcPr>
            <w:tcW w:w="3240" w:type="dxa"/>
            <w:vAlign w:val="center"/>
          </w:tcPr>
          <w:p w14:paraId="3666286D" w14:textId="06F1B678" w:rsidR="00313A6A" w:rsidRDefault="007B08CE" w:rsidP="007B08CE">
            <w:r>
              <w:t>29, not 35; 30, not 36</w:t>
            </w:r>
          </w:p>
        </w:tc>
        <w:tc>
          <w:tcPr>
            <w:tcW w:w="4380" w:type="dxa"/>
            <w:vAlign w:val="center"/>
          </w:tcPr>
          <w:p w14:paraId="08299D71" w14:textId="77777777" w:rsidR="00313A6A" w:rsidRDefault="00313A6A" w:rsidP="00313A6A"/>
        </w:tc>
        <w:tc>
          <w:tcPr>
            <w:tcW w:w="3360" w:type="dxa"/>
            <w:vAlign w:val="center"/>
          </w:tcPr>
          <w:p w14:paraId="34007A21" w14:textId="77777777" w:rsidR="00313A6A" w:rsidRDefault="00313A6A" w:rsidP="00313A6A"/>
        </w:tc>
      </w:tr>
      <w:tr w:rsidR="00E716D0" w14:paraId="0B2A4DC9" w14:textId="77777777" w:rsidTr="00FF5E92">
        <w:trPr>
          <w:jc w:val="center"/>
        </w:trPr>
        <w:tc>
          <w:tcPr>
            <w:tcW w:w="990" w:type="dxa"/>
            <w:vAlign w:val="center"/>
          </w:tcPr>
          <w:p w14:paraId="46F1A691" w14:textId="67D30AFE" w:rsidR="00E716D0" w:rsidRDefault="00E716D0" w:rsidP="00313A6A">
            <w:r>
              <w:t>19.8</w:t>
            </w:r>
          </w:p>
        </w:tc>
        <w:tc>
          <w:tcPr>
            <w:tcW w:w="3150" w:type="dxa"/>
            <w:vAlign w:val="center"/>
          </w:tcPr>
          <w:p w14:paraId="3F8FDED9" w14:textId="564F6FF6" w:rsidR="00E716D0" w:rsidRDefault="00E716D0" w:rsidP="00313A6A">
            <w:r>
              <w:t>Missing ref 31</w:t>
            </w:r>
          </w:p>
        </w:tc>
        <w:tc>
          <w:tcPr>
            <w:tcW w:w="3240" w:type="dxa"/>
            <w:vAlign w:val="center"/>
          </w:tcPr>
          <w:p w14:paraId="0D64F0F8" w14:textId="17EB9578" w:rsidR="00E716D0" w:rsidRDefault="00E716D0" w:rsidP="007B08CE">
            <w:r w:rsidRPr="00E716D0">
              <w:t>and influential researchers still continue to advocate ignoring localizat</w:t>
            </w:r>
            <w:r>
              <w:t>i</w:t>
            </w:r>
            <w:r w:rsidRPr="00E716D0">
              <w:t>on information</w:t>
            </w:r>
            <w:r w:rsidRPr="00E716D0">
              <w:rPr>
                <w:vertAlign w:val="superscript"/>
              </w:rPr>
              <w:t>31</w:t>
            </w:r>
          </w:p>
        </w:tc>
        <w:tc>
          <w:tcPr>
            <w:tcW w:w="4380" w:type="dxa"/>
            <w:vAlign w:val="center"/>
          </w:tcPr>
          <w:p w14:paraId="747D0E2B" w14:textId="77777777" w:rsidR="00E716D0" w:rsidRDefault="00E716D0" w:rsidP="00313A6A"/>
        </w:tc>
        <w:tc>
          <w:tcPr>
            <w:tcW w:w="3360" w:type="dxa"/>
            <w:vAlign w:val="center"/>
          </w:tcPr>
          <w:p w14:paraId="7C956AAC" w14:textId="77777777" w:rsidR="00E716D0" w:rsidRDefault="00E716D0" w:rsidP="00313A6A"/>
        </w:tc>
      </w:tr>
      <w:tr w:rsidR="00FF5E92" w14:paraId="4FA2D69A" w14:textId="77777777" w:rsidTr="00FF5E92">
        <w:trPr>
          <w:jc w:val="center"/>
        </w:trPr>
        <w:tc>
          <w:tcPr>
            <w:tcW w:w="990" w:type="dxa"/>
            <w:vAlign w:val="center"/>
          </w:tcPr>
          <w:p w14:paraId="01DBD1EB" w14:textId="77777777" w:rsidR="00FF5E92" w:rsidRDefault="00FF5E92" w:rsidP="00313A6A"/>
        </w:tc>
        <w:tc>
          <w:tcPr>
            <w:tcW w:w="3150" w:type="dxa"/>
            <w:vAlign w:val="center"/>
          </w:tcPr>
          <w:p w14:paraId="6910DB24" w14:textId="350FB2E7" w:rsidR="00FF5E92" w:rsidRPr="00FF5E92" w:rsidRDefault="00FF5E92" w:rsidP="00313A6A">
            <w:pPr>
              <w:rPr>
                <w:rStyle w:val="InLineCode"/>
              </w:rPr>
            </w:pPr>
            <w:r w:rsidRPr="00FF5E92">
              <w:rPr>
                <w:rStyle w:val="InLineCode"/>
              </w:rPr>
              <w:t>SignificanceTesting()</w:t>
            </w:r>
          </w:p>
        </w:tc>
        <w:tc>
          <w:tcPr>
            <w:tcW w:w="3240" w:type="dxa"/>
            <w:vAlign w:val="center"/>
          </w:tcPr>
          <w:p w14:paraId="46B3EBD1" w14:textId="77777777" w:rsidR="00FF5E92" w:rsidRPr="00E716D0" w:rsidRDefault="00FF5E92" w:rsidP="007B08CE"/>
        </w:tc>
        <w:tc>
          <w:tcPr>
            <w:tcW w:w="4380" w:type="dxa"/>
            <w:vAlign w:val="center"/>
          </w:tcPr>
          <w:p w14:paraId="7F6A8571" w14:textId="59AD61CA" w:rsidR="00FF5E92" w:rsidRPr="00FF5E92" w:rsidRDefault="00FF5E92" w:rsidP="00313A6A">
            <w:pPr>
              <w:rPr>
                <w:rStyle w:val="InLineCode"/>
              </w:rPr>
            </w:pPr>
            <w:proofErr w:type="spellStart"/>
            <w:r w:rsidRPr="00FF5E92">
              <w:rPr>
                <w:rStyle w:val="InLineCode"/>
              </w:rPr>
              <w:t>StSignificanceTesting</w:t>
            </w:r>
            <w:proofErr w:type="spellEnd"/>
            <w:r w:rsidRPr="00FF5E92">
              <w:rPr>
                <w:rStyle w:val="InLineCode"/>
              </w:rPr>
              <w:t>()</w:t>
            </w:r>
          </w:p>
        </w:tc>
        <w:tc>
          <w:tcPr>
            <w:tcW w:w="3360" w:type="dxa"/>
            <w:vAlign w:val="center"/>
          </w:tcPr>
          <w:p w14:paraId="348E3C0F" w14:textId="77777777" w:rsidR="00FF5E92" w:rsidRDefault="00FF5E92" w:rsidP="00313A6A"/>
        </w:tc>
      </w:tr>
      <w:tr w:rsidR="003A0892" w14:paraId="0D25CD28" w14:textId="77777777" w:rsidTr="00FF5E92">
        <w:trPr>
          <w:jc w:val="center"/>
        </w:trPr>
        <w:tc>
          <w:tcPr>
            <w:tcW w:w="990" w:type="dxa"/>
            <w:vAlign w:val="center"/>
          </w:tcPr>
          <w:p w14:paraId="7EB87ADE" w14:textId="7E3C29F4" w:rsidR="003A0892" w:rsidRDefault="003A0892" w:rsidP="00313A6A">
            <w:r>
              <w:t>19</w:t>
            </w:r>
          </w:p>
        </w:tc>
        <w:tc>
          <w:tcPr>
            <w:tcW w:w="3150" w:type="dxa"/>
            <w:vAlign w:val="center"/>
          </w:tcPr>
          <w:p w14:paraId="064E83D3" w14:textId="25F8187F" w:rsidR="003A0892" w:rsidRPr="00FF5E92" w:rsidRDefault="003A0892" w:rsidP="0010706C">
            <w:pPr>
              <w:rPr>
                <w:rStyle w:val="InLineCode"/>
              </w:rPr>
            </w:pPr>
            <w:r w:rsidRPr="00F020EC">
              <w:t>Online Appendix 19.C.</w:t>
            </w:r>
            <w:r w:rsidR="0010706C">
              <w:t>xx</w:t>
            </w:r>
          </w:p>
        </w:tc>
        <w:tc>
          <w:tcPr>
            <w:tcW w:w="3240" w:type="dxa"/>
            <w:vAlign w:val="center"/>
          </w:tcPr>
          <w:p w14:paraId="0D23DBCB" w14:textId="30F038BE" w:rsidR="003A0892" w:rsidRPr="00E716D0" w:rsidRDefault="0010706C" w:rsidP="007B08CE">
            <w:r>
              <w:t>Chapter 19.7</w:t>
            </w:r>
          </w:p>
        </w:tc>
        <w:tc>
          <w:tcPr>
            <w:tcW w:w="4380" w:type="dxa"/>
            <w:vAlign w:val="center"/>
          </w:tcPr>
          <w:p w14:paraId="33B3BFAE" w14:textId="12AFDD7F" w:rsidR="003A0892" w:rsidRPr="00FF5E92" w:rsidRDefault="003A0892" w:rsidP="0010706C">
            <w:pPr>
              <w:rPr>
                <w:rStyle w:val="InLineCode"/>
              </w:rPr>
            </w:pPr>
            <w:r w:rsidRPr="00F020EC">
              <w:t>Online Appendix 19.</w:t>
            </w:r>
            <w:r>
              <w:t>D</w:t>
            </w:r>
            <w:r w:rsidRPr="00F020EC">
              <w:t>.</w:t>
            </w:r>
            <w:r w:rsidR="0010706C">
              <w:t>xx</w:t>
            </w:r>
          </w:p>
        </w:tc>
        <w:tc>
          <w:tcPr>
            <w:tcW w:w="3360" w:type="dxa"/>
            <w:vAlign w:val="center"/>
          </w:tcPr>
          <w:p w14:paraId="11CD5440" w14:textId="367A1973" w:rsidR="003A0892" w:rsidRDefault="003A0892" w:rsidP="00313A6A"/>
        </w:tc>
      </w:tr>
      <w:tr w:rsidR="00E800D3" w14:paraId="34B6FC44" w14:textId="77777777" w:rsidTr="00FF5E92">
        <w:trPr>
          <w:jc w:val="center"/>
        </w:trPr>
        <w:tc>
          <w:tcPr>
            <w:tcW w:w="990" w:type="dxa"/>
            <w:vAlign w:val="center"/>
          </w:tcPr>
          <w:p w14:paraId="3F355731" w14:textId="6AF89005" w:rsidR="00E800D3" w:rsidRDefault="00E800D3" w:rsidP="00313A6A">
            <w:r>
              <w:t>22.3.1</w:t>
            </w:r>
          </w:p>
        </w:tc>
        <w:tc>
          <w:tcPr>
            <w:tcW w:w="3150" w:type="dxa"/>
            <w:vAlign w:val="center"/>
          </w:tcPr>
          <w:p w14:paraId="7C5EDA6C" w14:textId="735D5CA4" w:rsidR="00E800D3" w:rsidRPr="00F020EC" w:rsidRDefault="00E800D3" w:rsidP="00E800D3">
            <w:r>
              <w:t>Code listing</w:t>
            </w:r>
          </w:p>
        </w:tc>
        <w:tc>
          <w:tcPr>
            <w:tcW w:w="3240" w:type="dxa"/>
            <w:vAlign w:val="center"/>
          </w:tcPr>
          <w:p w14:paraId="5DEE6974" w14:textId="77777777" w:rsidR="00E800D3" w:rsidRDefault="00E800D3" w:rsidP="007B08CE"/>
        </w:tc>
        <w:tc>
          <w:tcPr>
            <w:tcW w:w="4380" w:type="dxa"/>
            <w:vAlign w:val="center"/>
          </w:tcPr>
          <w:p w14:paraId="1E5069AC" w14:textId="3EB64473" w:rsidR="00E800D3" w:rsidRPr="00F020EC" w:rsidRDefault="00E800D3" w:rsidP="00E800D3">
            <w:r w:rsidRPr="00F020EC">
              <w:t xml:space="preserve">Online Appendix </w:t>
            </w:r>
            <w:r>
              <w:t>22</w:t>
            </w:r>
            <w:r w:rsidRPr="00F020EC">
              <w:t>.</w:t>
            </w:r>
            <w:r>
              <w:t>3</w:t>
            </w:r>
            <w:r w:rsidRPr="00F020EC">
              <w:t>.</w:t>
            </w:r>
            <w:r>
              <w:t>1</w:t>
            </w:r>
          </w:p>
        </w:tc>
        <w:tc>
          <w:tcPr>
            <w:tcW w:w="3360" w:type="dxa"/>
            <w:vAlign w:val="center"/>
          </w:tcPr>
          <w:p w14:paraId="0DF2BFDB" w14:textId="77777777" w:rsidR="00E800D3" w:rsidRDefault="00E800D3" w:rsidP="00313A6A"/>
        </w:tc>
      </w:tr>
    </w:tbl>
    <w:p w14:paraId="797A48DC" w14:textId="16EE097C" w:rsidR="00953679" w:rsidRPr="00953679" w:rsidRDefault="00953679" w:rsidP="00B57873">
      <w:pPr>
        <w:pStyle w:val="Caption"/>
        <w:jc w:val="center"/>
      </w:pPr>
    </w:p>
    <w:sectPr w:rsidR="00953679" w:rsidRPr="00953679" w:rsidSect="00BC5C65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50FD" w14:textId="77777777" w:rsidR="005402B9" w:rsidRDefault="005402B9" w:rsidP="005402B9">
      <w:r>
        <w:separator/>
      </w:r>
    </w:p>
  </w:endnote>
  <w:endnote w:type="continuationSeparator" w:id="0">
    <w:p w14:paraId="52C50AA0" w14:textId="77777777" w:rsidR="005402B9" w:rsidRDefault="005402B9" w:rsidP="0054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066D2" w14:textId="77777777" w:rsidR="005402B9" w:rsidRDefault="005402B9" w:rsidP="005402B9">
      <w:r>
        <w:separator/>
      </w:r>
    </w:p>
  </w:footnote>
  <w:footnote w:type="continuationSeparator" w:id="0">
    <w:p w14:paraId="5EE3EDC6" w14:textId="77777777" w:rsidR="005402B9" w:rsidRDefault="005402B9" w:rsidP="00540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2071&lt;/item&gt;&lt;item&gt;2528&lt;/item&gt;&lt;/record-ids&gt;&lt;/item&gt;&lt;/Libraries&gt;"/>
  </w:docVars>
  <w:rsids>
    <w:rsidRoot w:val="00723409"/>
    <w:rsid w:val="00057861"/>
    <w:rsid w:val="00070A44"/>
    <w:rsid w:val="000771D7"/>
    <w:rsid w:val="000C45DE"/>
    <w:rsid w:val="000E31FA"/>
    <w:rsid w:val="0010706C"/>
    <w:rsid w:val="0011578E"/>
    <w:rsid w:val="00127B7E"/>
    <w:rsid w:val="00155CB6"/>
    <w:rsid w:val="001912A6"/>
    <w:rsid w:val="001D729A"/>
    <w:rsid w:val="001F14E8"/>
    <w:rsid w:val="00246FCD"/>
    <w:rsid w:val="00286E48"/>
    <w:rsid w:val="00313A6A"/>
    <w:rsid w:val="003359B1"/>
    <w:rsid w:val="003650B4"/>
    <w:rsid w:val="003A0892"/>
    <w:rsid w:val="0040448C"/>
    <w:rsid w:val="00436C6F"/>
    <w:rsid w:val="00462EBC"/>
    <w:rsid w:val="005402B9"/>
    <w:rsid w:val="005C6764"/>
    <w:rsid w:val="005D277A"/>
    <w:rsid w:val="006613CB"/>
    <w:rsid w:val="00677EEF"/>
    <w:rsid w:val="00723409"/>
    <w:rsid w:val="00781CF3"/>
    <w:rsid w:val="007822D0"/>
    <w:rsid w:val="007B08CE"/>
    <w:rsid w:val="00874F84"/>
    <w:rsid w:val="008961B4"/>
    <w:rsid w:val="00917F78"/>
    <w:rsid w:val="00930B69"/>
    <w:rsid w:val="00953679"/>
    <w:rsid w:val="00A30B35"/>
    <w:rsid w:val="00A73E26"/>
    <w:rsid w:val="00A95D41"/>
    <w:rsid w:val="00B0408C"/>
    <w:rsid w:val="00B57873"/>
    <w:rsid w:val="00BC4A7A"/>
    <w:rsid w:val="00BC5C65"/>
    <w:rsid w:val="00BE379C"/>
    <w:rsid w:val="00C17310"/>
    <w:rsid w:val="00C756ED"/>
    <w:rsid w:val="00DB531B"/>
    <w:rsid w:val="00DE49F2"/>
    <w:rsid w:val="00E03554"/>
    <w:rsid w:val="00E716D0"/>
    <w:rsid w:val="00E7251A"/>
    <w:rsid w:val="00E800D3"/>
    <w:rsid w:val="00EB30A3"/>
    <w:rsid w:val="00EB5069"/>
    <w:rsid w:val="00ED7F96"/>
    <w:rsid w:val="00EE2424"/>
    <w:rsid w:val="00F565B2"/>
    <w:rsid w:val="00F576B5"/>
    <w:rsid w:val="00FA43B7"/>
    <w:rsid w:val="00FF4444"/>
    <w:rsid w:val="00F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0B1B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09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D0"/>
    <w:pPr>
      <w:keepNext/>
      <w:pBdr>
        <w:bottom w:val="single" w:sz="4" w:space="1" w:color="823B0B"/>
      </w:pBdr>
      <w:spacing w:before="240"/>
      <w:jc w:val="center"/>
      <w:outlineLvl w:val="1"/>
    </w:pPr>
    <w:rPr>
      <w:rFonts w:eastAsia="ＭＳ 明朝"/>
      <w:color w:val="833C0B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3409"/>
    <w:rPr>
      <w:caps/>
      <w:color w:val="632423" w:themeColor="accent2" w:themeShade="80"/>
      <w:spacing w:val="20"/>
      <w:sz w:val="28"/>
      <w:szCs w:val="28"/>
      <w:lang w:eastAsia="en-US"/>
    </w:rPr>
  </w:style>
  <w:style w:type="character" w:customStyle="1" w:styleId="InLineCode">
    <w:name w:val="InLineCode"/>
    <w:basedOn w:val="DefaultParagraphFont"/>
    <w:uiPriority w:val="1"/>
    <w:qFormat/>
    <w:rsid w:val="00723409"/>
    <w:rPr>
      <w:rFonts w:ascii="PT Mono" w:hAnsi="PT Mono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13C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13CB"/>
    <w:rPr>
      <w:rFonts w:ascii="Lucida Grande" w:hAnsi="Lucida Grande" w:cs="Lucida Grande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402B9"/>
  </w:style>
  <w:style w:type="character" w:customStyle="1" w:styleId="FootnoteTextChar">
    <w:name w:val="Footnote Text Char"/>
    <w:basedOn w:val="DefaultParagraphFont"/>
    <w:link w:val="FootnoteText"/>
    <w:uiPriority w:val="99"/>
    <w:rsid w:val="005402B9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402B9"/>
    <w:rPr>
      <w:vertAlign w:val="superscript"/>
    </w:rPr>
  </w:style>
  <w:style w:type="paragraph" w:customStyle="1" w:styleId="EndNoteBibliographyTitle">
    <w:name w:val="EndNote Bibliography Title"/>
    <w:basedOn w:val="Normal"/>
    <w:rsid w:val="00DE49F2"/>
    <w:pPr>
      <w:jc w:val="center"/>
    </w:pPr>
  </w:style>
  <w:style w:type="paragraph" w:customStyle="1" w:styleId="EndNoteBibliography">
    <w:name w:val="EndNote Bibliography"/>
    <w:basedOn w:val="Normal"/>
    <w:rsid w:val="00DE49F2"/>
  </w:style>
  <w:style w:type="character" w:customStyle="1" w:styleId="Heading2Char">
    <w:name w:val="Heading 2 Char"/>
    <w:basedOn w:val="DefaultParagraphFont"/>
    <w:link w:val="Heading2"/>
    <w:uiPriority w:val="9"/>
    <w:rsid w:val="007822D0"/>
    <w:rPr>
      <w:rFonts w:eastAsia="ＭＳ 明朝"/>
      <w:color w:val="833C0B"/>
      <w:spacing w:val="15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822D0"/>
    <w:rPr>
      <w:rFonts w:eastAsia="ＭＳ 明朝"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953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2">
    <w:name w:val="code2"/>
    <w:uiPriority w:val="1"/>
    <w:qFormat/>
    <w:rsid w:val="00677EEF"/>
    <w:rPr>
      <w:rFonts w:ascii="PT Mono Bold" w:hAnsi="PT Mono Bold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09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2D0"/>
    <w:pPr>
      <w:keepNext/>
      <w:pBdr>
        <w:bottom w:val="single" w:sz="4" w:space="1" w:color="823B0B"/>
      </w:pBdr>
      <w:spacing w:before="240"/>
      <w:jc w:val="center"/>
      <w:outlineLvl w:val="1"/>
    </w:pPr>
    <w:rPr>
      <w:rFonts w:eastAsia="ＭＳ 明朝"/>
      <w:color w:val="833C0B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3409"/>
    <w:rPr>
      <w:caps/>
      <w:color w:val="632423" w:themeColor="accent2" w:themeShade="80"/>
      <w:spacing w:val="20"/>
      <w:sz w:val="28"/>
      <w:szCs w:val="28"/>
      <w:lang w:eastAsia="en-US"/>
    </w:rPr>
  </w:style>
  <w:style w:type="character" w:customStyle="1" w:styleId="InLineCode">
    <w:name w:val="InLineCode"/>
    <w:basedOn w:val="DefaultParagraphFont"/>
    <w:uiPriority w:val="1"/>
    <w:qFormat/>
    <w:rsid w:val="00723409"/>
    <w:rPr>
      <w:rFonts w:ascii="PT Mono" w:hAnsi="PT Mono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13C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13CB"/>
    <w:rPr>
      <w:rFonts w:ascii="Lucida Grande" w:hAnsi="Lucida Grande" w:cs="Lucida Grande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402B9"/>
  </w:style>
  <w:style w:type="character" w:customStyle="1" w:styleId="FootnoteTextChar">
    <w:name w:val="Footnote Text Char"/>
    <w:basedOn w:val="DefaultParagraphFont"/>
    <w:link w:val="FootnoteText"/>
    <w:uiPriority w:val="99"/>
    <w:rsid w:val="005402B9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402B9"/>
    <w:rPr>
      <w:vertAlign w:val="superscript"/>
    </w:rPr>
  </w:style>
  <w:style w:type="paragraph" w:customStyle="1" w:styleId="EndNoteBibliographyTitle">
    <w:name w:val="EndNote Bibliography Title"/>
    <w:basedOn w:val="Normal"/>
    <w:rsid w:val="00DE49F2"/>
    <w:pPr>
      <w:jc w:val="center"/>
    </w:pPr>
  </w:style>
  <w:style w:type="paragraph" w:customStyle="1" w:styleId="EndNoteBibliography">
    <w:name w:val="EndNote Bibliography"/>
    <w:basedOn w:val="Normal"/>
    <w:rsid w:val="00DE49F2"/>
  </w:style>
  <w:style w:type="character" w:customStyle="1" w:styleId="Heading2Char">
    <w:name w:val="Heading 2 Char"/>
    <w:basedOn w:val="DefaultParagraphFont"/>
    <w:link w:val="Heading2"/>
    <w:uiPriority w:val="9"/>
    <w:rsid w:val="007822D0"/>
    <w:rPr>
      <w:rFonts w:eastAsia="ＭＳ 明朝"/>
      <w:color w:val="833C0B"/>
      <w:spacing w:val="15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822D0"/>
    <w:rPr>
      <w:rFonts w:eastAsia="ＭＳ 明朝"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953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2">
    <w:name w:val="code2"/>
    <w:uiPriority w:val="1"/>
    <w:qFormat/>
    <w:rsid w:val="00677EEF"/>
    <w:rPr>
      <w:rFonts w:ascii="PT Mono Bold" w:hAnsi="PT Mono Bold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59</cp:revision>
  <dcterms:created xsi:type="dcterms:W3CDTF">2016-06-12T22:14:00Z</dcterms:created>
  <dcterms:modified xsi:type="dcterms:W3CDTF">2018-05-07T16:50:00Z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