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3c72"/>
          <w:sz w:val="36"/>
          <w:szCs w:val="36"/>
        </w:rPr>
        <w:t xml:space="preserve">DATA PACKET</w:t>
      </w:r>
    </w:p>
    <w:p>
      <w:pPr>
        <w:spacing w:after="30"/>
        <w:jc w:val="center"/>
      </w:pPr>
      <w:r>
        <w:rPr>
          <w:b/>
          <w:bCs/>
          <w:sz w:val="32"/>
          <w:szCs w:val="32"/>
        </w:rPr>
        <w:t xml:space="preserve">LeadScore AI</w:t>
      </w:r>
    </w:p>
    <w:p>
      <w:pPr>
        <w:spacing w:after="240"/>
        <w:jc w:val="center"/>
      </w:pPr>
      <w:r>
        <w:rPr>
          <w:color w:val="666666"/>
          <w:sz w:val="24"/>
          <w:szCs w:val="24"/>
        </w:rPr>
        <w:t xml:space="preserve">B2B SaaS Platform Archetype</w:t>
      </w:r>
    </w:p>
    <w:p>
      <w:pPr>
        <w:pStyle w:val="Heading1"/>
      </w:pPr>
      <w:r>
        <w:t xml:space="preserve">1. Business Overview</w:t>
      </w:r>
    </w:p>
    <w:p>
      <w:pPr>
        <w:spacing w:after="60"/>
      </w:pPr>
      <w:r>
        <w:rPr>
          <w:b/>
          <w:bCs/>
        </w:rPr>
        <w:t xml:space="preserve">Concept:</w:t>
      </w:r>
    </w:p>
    <w:p>
      <w:pPr>
        <w:spacing w:after="120"/>
      </w:pPr>
      <w:r>
        <w:t xml:space="preserve">LeadScore AI is an AI-powered sales enablement platform that integrates with existing CRM systems (Salesforce, HubSpot, etc.) to analyze prospect data and predict which leads are most likely to convert. The platform helps B2B sales teams prioritize their outreach, improve close rates, and reduce time wasted on low-probability prospects.</w:t>
      </w:r>
    </w:p>
    <w:p>
      <w:pPr>
        <w:spacing w:after="60"/>
      </w:pPr>
      <w:r>
        <w:rPr>
          <w:b/>
          <w:bCs/>
        </w:rPr>
        <w:t xml:space="preserve">Value Proposition:</w:t>
      </w:r>
    </w:p>
    <w:p>
      <w:pPr>
        <w:pStyle w:val="ListParagraph"/>
        <w:numPr>
          <w:ilvl w:val="0"/>
          <w:numId w:val="2"/>
        </w:numPr>
      </w:pPr>
      <w:r>
        <w:t xml:space="preserve">Increase sales productivity 15-30% by focusing reps on highest-potential leads</w:t>
      </w:r>
    </w:p>
    <w:p>
      <w:pPr>
        <w:pStyle w:val="ListParagraph"/>
        <w:numPr>
          <w:ilvl w:val="0"/>
          <w:numId w:val="2"/>
        </w:numPr>
      </w:pPr>
      <w:r>
        <w:t xml:space="preserve">Improve win rates by 20-25% through better lead qualification</w:t>
      </w:r>
    </w:p>
    <w:p>
      <w:pPr>
        <w:pStyle w:val="ListParagraph"/>
        <w:numPr>
          <w:ilvl w:val="0"/>
          <w:numId w:val="2"/>
        </w:numPr>
      </w:pPr>
      <w:r>
        <w:t xml:space="preserve">Reduce sales cycle length by identifying ready-to-buy signals</w:t>
      </w:r>
    </w:p>
    <w:p>
      <w:pPr>
        <w:pStyle w:val="ListParagraph"/>
        <w:numPr>
          <w:ilvl w:val="0"/>
          <w:numId w:val="2"/>
        </w:numPr>
        <w:spacing w:after="120"/>
      </w:pPr>
      <w:r>
        <w:t xml:space="preserve">Easy integration - works with existing CRM, no process disruption</w:t>
      </w:r>
    </w:p>
    <w:p>
      <w:pPr>
        <w:spacing w:after="60"/>
      </w:pPr>
      <w:r>
        <w:rPr>
          <w:b/>
          <w:bCs/>
        </w:rPr>
        <w:t xml:space="preserve">Target Customer:</w:t>
      </w:r>
    </w:p>
    <w:p>
      <w:pPr>
        <w:spacing w:after="60"/>
      </w:pPr>
      <w:r>
        <w:t xml:space="preserve">B2B companies with 20-200 person sales teams, typically mid-market segment (€10M-€500M revenue). Primary verticals: B2B SaaS, professional services, manufacturing, technology consulting. Companies must have:</w:t>
      </w:r>
    </w:p>
    <w:p>
      <w:pPr>
        <w:pStyle w:val="ListParagraph"/>
        <w:numPr>
          <w:ilvl w:val="0"/>
          <w:numId w:val="2"/>
        </w:numPr>
      </w:pPr>
      <w:r>
        <w:t xml:space="preserve">Existing CRM with &gt;6 months data</w:t>
      </w:r>
    </w:p>
    <w:p>
      <w:pPr>
        <w:pStyle w:val="ListParagraph"/>
        <w:numPr>
          <w:ilvl w:val="0"/>
          <w:numId w:val="2"/>
        </w:numPr>
      </w:pPr>
      <w:r>
        <w:t xml:space="preserve">Deal cycles &gt;30 days (not transactional)</w:t>
      </w:r>
    </w:p>
    <w:p>
      <w:pPr>
        <w:pStyle w:val="ListParagraph"/>
        <w:numPr>
          <w:ilvl w:val="0"/>
          <w:numId w:val="2"/>
        </w:numPr>
        <w:spacing w:after="240"/>
      </w:pPr>
      <w:r>
        <w:t xml:space="preserve">Pain around lead qualification / prioritization</w:t>
      </w:r>
    </w:p>
    <w:p>
      <w:pPr>
        <w:pStyle w:val="Heading1"/>
      </w:pPr>
      <w:r>
        <w:t xml:space="preserve">2. Market Size &amp; Segmentation</w:t>
      </w:r>
    </w:p>
    <w:p>
      <w:pPr>
        <w:spacing w:after="60"/>
      </w:pPr>
      <w:r>
        <w:rPr>
          <w:b/>
          <w:bCs/>
        </w:rPr>
        <w:t xml:space="preserve">Total Addressable Market (TAM):</w:t>
      </w:r>
    </w:p>
    <w:p>
      <w:pPr>
        <w:pStyle w:val="ListParagraph"/>
        <w:numPr>
          <w:ilvl w:val="0"/>
          <w:numId w:val="2"/>
        </w:numPr>
      </w:pPr>
      <w:r>
        <w:t xml:space="preserve">All companies in Europe with 20+ person sales teams: ~50,000 companies</w:t>
      </w:r>
    </w:p>
    <w:p>
      <w:pPr>
        <w:pStyle w:val="ListParagraph"/>
        <w:numPr>
          <w:ilvl w:val="0"/>
          <w:numId w:val="2"/>
        </w:numPr>
        <w:spacing w:after="120"/>
      </w:pPr>
      <w:r>
        <w:t xml:space="preserve">At €50K ACV average: €2.5 billion TAM</w:t>
      </w:r>
    </w:p>
    <w:p>
      <w:pPr>
        <w:spacing w:after="60"/>
      </w:pPr>
      <w:r>
        <w:rPr>
          <w:b/>
          <w:bCs/>
        </w:rPr>
        <w:t xml:space="preserve">Serviceable Addressable Market (SAM):</w:t>
      </w:r>
    </w:p>
    <w:p>
      <w:pPr>
        <w:pStyle w:val="ListParagraph"/>
        <w:numPr>
          <w:ilvl w:val="0"/>
          <w:numId w:val="2"/>
        </w:numPr>
      </w:pPr>
      <w:r>
        <w:t xml:space="preserve">Companies with 20-200 sales reps AND modern CRM: ~5,000 companies</w:t>
      </w:r>
    </w:p>
    <w:p>
      <w:pPr>
        <w:pStyle w:val="ListParagraph"/>
        <w:numPr>
          <w:ilvl w:val="0"/>
          <w:numId w:val="2"/>
        </w:numPr>
        <w:spacing w:after="120"/>
      </w:pPr>
      <w:r>
        <w:t xml:space="preserve">At €50K ACV: €250 million SAM</w:t>
      </w:r>
    </w:p>
    <w:p>
      <w:pPr>
        <w:spacing w:after="60"/>
      </w:pPr>
      <w:r>
        <w:rPr>
          <w:b/>
          <w:bCs/>
        </w:rPr>
        <w:t xml:space="preserve">Serviceable Obtainable Market (SOM) - Year 1:</w:t>
      </w:r>
    </w:p>
    <w:p>
      <w:pPr>
        <w:pStyle w:val="ListParagraph"/>
        <w:numPr>
          <w:ilvl w:val="0"/>
          <w:numId w:val="2"/>
        </w:numPr>
      </w:pPr>
      <w:r>
        <w:t xml:space="preserve">Realistic first-year target: 50-150 customers</w:t>
      </w:r>
    </w:p>
    <w:p>
      <w:pPr>
        <w:pStyle w:val="ListParagraph"/>
        <w:numPr>
          <w:ilvl w:val="0"/>
          <w:numId w:val="2"/>
        </w:numPr>
        <w:spacing w:after="240"/>
      </w:pPr>
      <w:r>
        <w:t xml:space="preserve">At €40K ACV (early discount): €2-6 million ARR by end Year 1</w:t>
      </w:r>
    </w:p>
    <w:p>
      <w:pPr>
        <w:pStyle w:val="Heading1"/>
      </w:pPr>
      <w:r>
        <w:t xml:space="preserve">3. SaaS Financial Benchmarks</w:t>
      </w:r>
    </w:p>
    <w:p>
      <w:pPr>
        <w:spacing w:after="120"/>
      </w:pPr>
      <w:r>
        <w:rPr>
          <w:b/>
          <w:bCs/>
        </w:rPr>
        <w:t xml:space="preserve">Industry Standard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shd w:fill="1e3c72" w:val="clear"/>
          </w:tcPr>
          <w:p>
            <w:pPr>
              <w:jc w:val="center"/>
            </w:pPr>
            <w:r>
              <w:rPr>
                <w:b/>
                <w:bCs/>
                <w:color w:val="FFFFFF"/>
              </w:rPr>
              <w:t xml:space="preserve">Metric</w:t>
            </w:r>
          </w:p>
        </w:tc>
        <w:tc>
          <w:tcPr>
            <w:tcW w:type="dxa" w:w="2500"/>
            <w:shd w:fill="1e3c72" w:val="clear"/>
          </w:tcPr>
          <w:p>
            <w:pPr>
              <w:jc w:val="center"/>
            </w:pPr>
            <w:r>
              <w:rPr>
                <w:b/>
                <w:bCs/>
                <w:color w:val="FFFFFF"/>
              </w:rPr>
              <w:t xml:space="preserve">Industry Range</w:t>
            </w:r>
          </w:p>
        </w:tc>
        <w:tc>
          <w:tcPr>
            <w:tcW w:type="dxa" w:w="3360"/>
            <w:shd w:fill="1e3c72" w:val="clear"/>
          </w:tcPr>
          <w:p>
            <w:pPr>
              <w:jc w:val="center"/>
            </w:pPr>
            <w:r>
              <w:rPr>
                <w:b/>
                <w:bCs/>
                <w:color w:val="FFFFFF"/>
              </w:rPr>
              <w:t xml:space="preserve">Notes</w:t>
            </w:r>
          </w:p>
        </w:tc>
      </w:tr>
      <w:tr>
        <w:tc>
          <w:tcPr>
            <w:tcW w:type="dxa" w:w="3500"/>
          </w:tcPr>
          <w:p>
            <w:r>
              <w:t xml:space="preserve">Gross Margin</w:t>
            </w:r>
          </w:p>
        </w:tc>
        <w:tc>
          <w:tcPr>
            <w:tcW w:type="dxa" w:w="2500"/>
          </w:tcPr>
          <w:p>
            <w:r>
              <w:t xml:space="preserve">75-85%</w:t>
            </w:r>
          </w:p>
        </w:tc>
        <w:tc>
          <w:tcPr>
            <w:tcW w:type="dxa" w:w="3360"/>
          </w:tcPr>
          <w:p>
            <w:r>
              <w:t xml:space="preserve">Best-in-class &gt;80%</w:t>
            </w:r>
          </w:p>
        </w:tc>
      </w:tr>
      <w:tr>
        <w:tc>
          <w:tcPr>
            <w:tcW w:type="dxa" w:w="3500"/>
          </w:tcPr>
          <w:p>
            <w:r>
              <w:t xml:space="preserve">Monthly Churn Rate</w:t>
            </w:r>
          </w:p>
        </w:tc>
        <w:tc>
          <w:tcPr>
            <w:tcW w:type="dxa" w:w="2500"/>
          </w:tcPr>
          <w:p>
            <w:r>
              <w:t xml:space="preserve">2-4%</w:t>
            </w:r>
          </w:p>
        </w:tc>
        <w:tc>
          <w:tcPr>
            <w:tcW w:type="dxa" w:w="3360"/>
          </w:tcPr>
          <w:p>
            <w:r>
              <w:t xml:space="preserve">Lower is better; &lt;2% excellent</w:t>
            </w:r>
          </w:p>
        </w:tc>
      </w:tr>
      <w:tr>
        <w:tc>
          <w:tcPr>
            <w:tcW w:type="dxa" w:w="3500"/>
          </w:tcPr>
          <w:p>
            <w:r>
              <w:t xml:space="preserve">Net Dollar Retention</w:t>
            </w:r>
          </w:p>
        </w:tc>
        <w:tc>
          <w:tcPr>
            <w:tcW w:type="dxa" w:w="2500"/>
          </w:tcPr>
          <w:p>
            <w:r>
              <w:t xml:space="preserve">110-130%</w:t>
            </w:r>
          </w:p>
        </w:tc>
        <w:tc>
          <w:tcPr>
            <w:tcW w:type="dxa" w:w="3360"/>
          </w:tcPr>
          <w:p>
            <w:r>
              <w:t xml:space="preserve">Includes upsells/expansion</w:t>
            </w:r>
          </w:p>
        </w:tc>
      </w:tr>
      <w:tr>
        <w:tc>
          <w:tcPr>
            <w:tcW w:type="dxa" w:w="3500"/>
          </w:tcPr>
          <w:p>
            <w:r>
              <w:t xml:space="preserve">CAC Payback Period</w:t>
            </w:r>
          </w:p>
        </w:tc>
        <w:tc>
          <w:tcPr>
            <w:tcW w:type="dxa" w:w="2500"/>
          </w:tcPr>
          <w:p>
            <w:r>
              <w:t xml:space="preserve">12-18 months</w:t>
            </w:r>
          </w:p>
        </w:tc>
        <w:tc>
          <w:tcPr>
            <w:tcW w:type="dxa" w:w="3360"/>
          </w:tcPr>
          <w:p>
            <w:r>
              <w:t xml:space="preserve">Time to recover acquisition cost</w:t>
            </w:r>
          </w:p>
        </w:tc>
      </w:tr>
      <w:tr>
        <w:tc>
          <w:tcPr>
            <w:tcW w:type="dxa" w:w="3500"/>
          </w:tcPr>
          <w:p>
            <w:r>
              <w:t xml:space="preserve">LTV:CAC Ratio</w:t>
            </w:r>
          </w:p>
        </w:tc>
        <w:tc>
          <w:tcPr>
            <w:tcW w:type="dxa" w:w="2500"/>
          </w:tcPr>
          <w:p>
            <w:r>
              <w:t xml:space="preserve">3:1 to 5:1</w:t>
            </w:r>
          </w:p>
        </w:tc>
        <w:tc>
          <w:tcPr>
            <w:tcW w:type="dxa" w:w="3360"/>
          </w:tcPr>
          <w:p>
            <w:r>
              <w:t xml:space="preserve">Minimum 3:1 for viability</w:t>
            </w:r>
          </w:p>
        </w:tc>
      </w:tr>
      <w:tr>
        <w:tc>
          <w:tcPr>
            <w:tcW w:type="dxa" w:w="3500"/>
          </w:tcPr>
          <w:p>
            <w:r>
              <w:t xml:space="preserve">Magic Number</w:t>
            </w:r>
          </w:p>
        </w:tc>
        <w:tc>
          <w:tcPr>
            <w:tcW w:type="dxa" w:w="2500"/>
          </w:tcPr>
          <w:p>
            <w:r>
              <w:t xml:space="preserve">0.75+</w:t>
            </w:r>
          </w:p>
        </w:tc>
        <w:tc>
          <w:tcPr>
            <w:tcW w:type="dxa" w:w="3360"/>
          </w:tcPr>
          <w:p>
            <w:r>
              <w:t xml:space="preserve">ARR growth / S&amp;M spend</w:t>
            </w:r>
          </w:p>
        </w:tc>
      </w:tr>
      <w:tr>
        <w:tc>
          <w:tcPr>
            <w:tcW w:type="dxa" w:w="3500"/>
          </w:tcPr>
          <w:p>
            <w:r>
              <w:t xml:space="preserve">Rule of 40</w:t>
            </w:r>
          </w:p>
        </w:tc>
        <w:tc>
          <w:tcPr>
            <w:tcW w:type="dxa" w:w="2500"/>
          </w:tcPr>
          <w:p>
            <w:r>
              <w:t xml:space="preserve">40%+</w:t>
            </w:r>
          </w:p>
        </w:tc>
        <w:tc>
          <w:tcPr>
            <w:tcW w:type="dxa" w:w="3360"/>
          </w:tcPr>
          <w:p>
            <w:r>
              <w:t xml:space="preserve">Growth rate + profit margin</w:t>
            </w:r>
          </w:p>
        </w:tc>
      </w:tr>
    </w:tbl>
    <w:p>
      <w:pPr>
        <w:spacing w:after="240"/>
      </w:pPr>
      <w:r>
        <w:t xml:space="preserve"/>
      </w:r>
    </w:p>
    <w:p>
      <w:pPr>
        <w:pStyle w:val="Heading1"/>
      </w:pPr>
      <w:r>
        <w:t xml:space="preserve">4. Cost Structure Benchmarks</w:t>
      </w:r>
    </w:p>
    <w:p>
      <w:pPr>
        <w:spacing w:after="60"/>
      </w:pPr>
      <w:r>
        <w:rPr>
          <w:b/>
          <w:bCs/>
        </w:rPr>
        <w:t xml:space="preserve">Infrastructure Costs:</w:t>
      </w:r>
    </w:p>
    <w:p>
      <w:pPr>
        <w:pStyle w:val="ListParagraph"/>
        <w:numPr>
          <w:ilvl w:val="0"/>
          <w:numId w:val="2"/>
        </w:numPr>
      </w:pPr>
      <w:r>
        <w:t xml:space="preserve">Cloud hosting (AWS/GCP): €50-100 per customer per month</w:t>
      </w:r>
    </w:p>
    <w:p>
      <w:pPr>
        <w:pStyle w:val="ListParagraph"/>
        <w:numPr>
          <w:ilvl w:val="0"/>
          <w:numId w:val="2"/>
        </w:numPr>
      </w:pPr>
      <w:r>
        <w:t xml:space="preserve">API calls to AI models: €20-40 per customer per month</w:t>
      </w:r>
    </w:p>
    <w:p>
      <w:pPr>
        <w:pStyle w:val="ListParagraph"/>
        <w:numPr>
          <w:ilvl w:val="0"/>
          <w:numId w:val="2"/>
        </w:numPr>
        <w:spacing w:after="120"/>
      </w:pPr>
      <w:r>
        <w:t xml:space="preserve">Total COGS: €70-140 per customer per month (~15-25% of revenue at €500/month price)</w:t>
      </w:r>
    </w:p>
    <w:p>
      <w:pPr>
        <w:spacing w:after="60"/>
      </w:pPr>
      <w:r>
        <w:rPr>
          <w:b/>
          <w:bCs/>
        </w:rPr>
        <w:t xml:space="preserve">Sales &amp; Marketing Costs:</w:t>
      </w:r>
    </w:p>
    <w:p>
      <w:pPr>
        <w:pStyle w:val="ListParagraph"/>
        <w:numPr>
          <w:ilvl w:val="0"/>
          <w:numId w:val="2"/>
        </w:numPr>
      </w:pPr>
      <w:r>
        <w:t xml:space="preserve">Product-Led Growth (PLG) CAC: €3,000-5,000 per customer</w:t>
      </w:r>
    </w:p>
    <w:p>
      <w:pPr>
        <w:pStyle w:val="ListParagraph"/>
        <w:numPr>
          <w:ilvl w:val="0"/>
          <w:numId w:val="2"/>
        </w:numPr>
      </w:pPr>
      <w:r>
        <w:t xml:space="preserve">Inside Sales CAC: €15,000-25,000 per customer</w:t>
      </w:r>
    </w:p>
    <w:p>
      <w:pPr>
        <w:pStyle w:val="ListParagraph"/>
        <w:numPr>
          <w:ilvl w:val="0"/>
          <w:numId w:val="2"/>
        </w:numPr>
      </w:pPr>
      <w:r>
        <w:t xml:space="preserve">Field Sales CAC: €50,000-80,000 per customer</w:t>
      </w:r>
    </w:p>
    <w:p>
      <w:pPr>
        <w:pStyle w:val="ListParagraph"/>
        <w:numPr>
          <w:ilvl w:val="0"/>
          <w:numId w:val="2"/>
        </w:numPr>
        <w:spacing w:after="120"/>
      </w:pPr>
      <w:r>
        <w:t xml:space="preserve">Sales rep (fully loaded): €150,000/year, typically 20 deals/year</w:t>
      </w:r>
    </w:p>
    <w:p>
      <w:pPr>
        <w:spacing w:after="60"/>
      </w:pPr>
      <w:r>
        <w:rPr>
          <w:b/>
          <w:bCs/>
        </w:rPr>
        <w:t xml:space="preserve">Customer Success:</w:t>
      </w:r>
    </w:p>
    <w:p>
      <w:pPr>
        <w:pStyle w:val="ListParagraph"/>
        <w:numPr>
          <w:ilvl w:val="0"/>
          <w:numId w:val="2"/>
        </w:numPr>
      </w:pPr>
      <w:r>
        <w:t xml:space="preserve">CSM capacity: 1 CSM per 50 customers typical</w:t>
      </w:r>
    </w:p>
    <w:p>
      <w:pPr>
        <w:pStyle w:val="ListParagraph"/>
        <w:numPr>
          <w:ilvl w:val="0"/>
          <w:numId w:val="2"/>
        </w:numPr>
        <w:spacing w:after="120"/>
      </w:pPr>
      <w:r>
        <w:t xml:space="preserve">CSM salary (fully loaded): €80,000-100,000/year</w:t>
      </w:r>
    </w:p>
    <w:p>
      <w:pPr>
        <w:spacing w:after="60"/>
      </w:pPr>
      <w:r>
        <w:rPr>
          <w:b/>
          <w:bCs/>
        </w:rPr>
        <w:t xml:space="preserve">R&amp;D / Engineering:</w:t>
      </w:r>
    </w:p>
    <w:p>
      <w:pPr>
        <w:pStyle w:val="ListParagraph"/>
        <w:numPr>
          <w:ilvl w:val="0"/>
          <w:numId w:val="2"/>
        </w:numPr>
      </w:pPr>
      <w:r>
        <w:t xml:space="preserve">Engineer (fully loaded): €100,000-130,000/year</w:t>
      </w:r>
    </w:p>
    <w:p>
      <w:pPr>
        <w:pStyle w:val="ListParagraph"/>
        <w:numPr>
          <w:ilvl w:val="0"/>
          <w:numId w:val="2"/>
        </w:numPr>
        <w:spacing w:after="240"/>
      </w:pPr>
      <w:r>
        <w:t xml:space="preserve">Typical R&amp;D as % of revenue: 20-30% at scale</w:t>
      </w:r>
    </w:p>
    <w:p>
      <w:pPr>
        <w:pStyle w:val="Heading1"/>
      </w:pPr>
      <w:r>
        <w:t xml:space="preserve">5. Pricing Strategy Options</w:t>
      </w:r>
    </w:p>
    <w:p>
      <w:pPr>
        <w:spacing w:after="60"/>
      </w:pPr>
      <w:r>
        <w:rPr>
          <w:b/>
          <w:bCs/>
        </w:rPr>
        <w:t xml:space="preserve">Competitor Pricing Range:</w:t>
      </w:r>
    </w:p>
    <w:p>
      <w:pPr>
        <w:pStyle w:val="ListParagraph"/>
        <w:numPr>
          <w:ilvl w:val="0"/>
          <w:numId w:val="2"/>
        </w:numPr>
      </w:pPr>
      <w:r>
        <w:t xml:space="preserve">Entry tier: €500-1,000/month (5-10 users)</w:t>
      </w:r>
    </w:p>
    <w:p>
      <w:pPr>
        <w:pStyle w:val="ListParagraph"/>
        <w:numPr>
          <w:ilvl w:val="0"/>
          <w:numId w:val="2"/>
        </w:numPr>
      </w:pPr>
      <w:r>
        <w:t xml:space="preserve">Mid tier: €2,000-3,000/month (20-50 users)</w:t>
      </w:r>
    </w:p>
    <w:p>
      <w:pPr>
        <w:pStyle w:val="ListParagraph"/>
        <w:numPr>
          <w:ilvl w:val="0"/>
          <w:numId w:val="2"/>
        </w:numPr>
        <w:spacing w:after="120"/>
      </w:pPr>
      <w:r>
        <w:t xml:space="preserve">Enterprise: €5,000-10,000/month (100+ users)</w:t>
      </w:r>
    </w:p>
    <w:p>
      <w:pPr>
        <w:spacing w:after="60"/>
      </w:pPr>
      <w:r>
        <w:rPr>
          <w:b/>
          <w:bCs/>
        </w:rPr>
        <w:t xml:space="preserve">You Must Decide:</w:t>
      </w:r>
    </w:p>
    <w:p>
      <w:pPr>
        <w:pStyle w:val="ListParagraph"/>
        <w:numPr>
          <w:ilvl w:val="0"/>
          <w:numId w:val="2"/>
        </w:numPr>
      </w:pPr>
      <w:r>
        <w:t xml:space="preserve">Per-seat pricing vs. per-lead-scored vs. flat tiers?</w:t>
      </w:r>
    </w:p>
    <w:p>
      <w:pPr>
        <w:pStyle w:val="ListParagraph"/>
        <w:numPr>
          <w:ilvl w:val="0"/>
          <w:numId w:val="2"/>
        </w:numPr>
      </w:pPr>
      <w:r>
        <w:t xml:space="preserve">Target ACV (Annual Contract Value): €25K, €50K, or €100K?</w:t>
      </w:r>
    </w:p>
    <w:p>
      <w:pPr>
        <w:pStyle w:val="ListParagraph"/>
        <w:numPr>
          <w:ilvl w:val="0"/>
          <w:numId w:val="2"/>
        </w:numPr>
        <w:spacing w:after="240"/>
      </w:pPr>
      <w:r>
        <w:t xml:space="preserve">Monthly vs. annual contracts? (Annual = better cash but higher friction)</w:t>
      </w:r>
    </w:p>
    <w:p>
      <w:pPr>
        <w:pStyle w:val="Heading1"/>
      </w:pPr>
      <w:r>
        <w:t xml:space="preserve">6. Go-to-Market Strategy Choices</w:t>
      </w:r>
    </w:p>
    <w:p>
      <w:pPr>
        <w:spacing w:after="120"/>
      </w:pPr>
      <w:r>
        <w:rPr>
          <w:b/>
          <w:bCs/>
        </w:rPr>
        <w:t xml:space="preserve">Three Primary GTM Motions:</w:t>
      </w:r>
    </w:p>
    <w:p>
      <w:pPr>
        <w:spacing w:after="60"/>
      </w:pPr>
      <w:r>
        <w:rPr>
          <w:b/>
          <w:bCs/>
        </w:rPr>
        <w:t xml:space="preserve">Option A: Product-Led Growth (PLG)</w:t>
      </w:r>
    </w:p>
    <w:p>
      <w:pPr>
        <w:pStyle w:val="ListParagraph"/>
        <w:numPr>
          <w:ilvl w:val="0"/>
          <w:numId w:val="2"/>
        </w:numPr>
      </w:pPr>
      <w:r>
        <w:t xml:space="preserve">Free trial → paid conversion</w:t>
      </w:r>
    </w:p>
    <w:p>
      <w:pPr>
        <w:pStyle w:val="ListParagraph"/>
        <w:numPr>
          <w:ilvl w:val="0"/>
          <w:numId w:val="2"/>
        </w:numPr>
      </w:pPr>
      <w:r>
        <w:t xml:space="preserve">Lower CAC (€3-5K) but lower ACV (€25K)</w:t>
      </w:r>
    </w:p>
    <w:p>
      <w:pPr>
        <w:pStyle w:val="ListParagraph"/>
        <w:numPr>
          <w:ilvl w:val="0"/>
          <w:numId w:val="2"/>
        </w:numPr>
      </w:pPr>
      <w:r>
        <w:t xml:space="preserve">Requires strong product, viral features, self-serve onboarding</w:t>
      </w:r>
    </w:p>
    <w:p>
      <w:pPr>
        <w:pStyle w:val="ListParagraph"/>
        <w:numPr>
          <w:ilvl w:val="0"/>
          <w:numId w:val="2"/>
        </w:numPr>
        <w:spacing w:after="120"/>
      </w:pPr>
      <w:r>
        <w:t xml:space="preserve">Volume play: need 100+ customers Year 1</w:t>
      </w:r>
    </w:p>
    <w:p>
      <w:pPr>
        <w:spacing w:after="60"/>
      </w:pPr>
      <w:r>
        <w:rPr>
          <w:b/>
          <w:bCs/>
        </w:rPr>
        <w:t xml:space="preserve">Option B: Inside Sales</w:t>
      </w:r>
    </w:p>
    <w:p>
      <w:pPr>
        <w:pStyle w:val="ListParagraph"/>
        <w:numPr>
          <w:ilvl w:val="0"/>
          <w:numId w:val="2"/>
        </w:numPr>
      </w:pPr>
      <w:r>
        <w:t xml:space="preserve">Outbound prospecting + inbound leads → remote demos → close</w:t>
      </w:r>
    </w:p>
    <w:p>
      <w:pPr>
        <w:pStyle w:val="ListParagraph"/>
        <w:numPr>
          <w:ilvl w:val="0"/>
          <w:numId w:val="2"/>
        </w:numPr>
      </w:pPr>
      <w:r>
        <w:t xml:space="preserve">Medium CAC (€15-25K), medium ACV (€50K)</w:t>
      </w:r>
    </w:p>
    <w:p>
      <w:pPr>
        <w:pStyle w:val="ListParagraph"/>
        <w:numPr>
          <w:ilvl w:val="0"/>
          <w:numId w:val="2"/>
        </w:numPr>
      </w:pPr>
      <w:r>
        <w:t xml:space="preserve">Sales rep capacity: 20 deals/year at €50K ACV</w:t>
      </w:r>
    </w:p>
    <w:p>
      <w:pPr>
        <w:pStyle w:val="ListParagraph"/>
        <w:numPr>
          <w:ilvl w:val="0"/>
          <w:numId w:val="2"/>
        </w:numPr>
        <w:spacing w:after="120"/>
      </w:pPr>
      <w:r>
        <w:t xml:space="preserve">Target: 50-70 customers Year 1 with 3-4 reps</w:t>
      </w:r>
    </w:p>
    <w:p>
      <w:pPr>
        <w:spacing w:after="60"/>
      </w:pPr>
      <w:r>
        <w:rPr>
          <w:b/>
          <w:bCs/>
        </w:rPr>
        <w:t xml:space="preserve">Option C: Field Sales (Enterprise)</w:t>
      </w:r>
    </w:p>
    <w:p>
      <w:pPr>
        <w:pStyle w:val="ListParagraph"/>
        <w:numPr>
          <w:ilvl w:val="0"/>
          <w:numId w:val="2"/>
        </w:numPr>
      </w:pPr>
      <w:r>
        <w:t xml:space="preserve">High-touch, on-site meetings, long sales cycles (6-12 months)</w:t>
      </w:r>
    </w:p>
    <w:p>
      <w:pPr>
        <w:pStyle w:val="ListParagraph"/>
        <w:numPr>
          <w:ilvl w:val="0"/>
          <w:numId w:val="2"/>
        </w:numPr>
      </w:pPr>
      <w:r>
        <w:t xml:space="preserve">High CAC (€50-80K), high ACV (€100K+)</w:t>
      </w:r>
    </w:p>
    <w:p>
      <w:pPr>
        <w:pStyle w:val="ListParagraph"/>
        <w:numPr>
          <w:ilvl w:val="0"/>
          <w:numId w:val="2"/>
        </w:numPr>
      </w:pPr>
      <w:r>
        <w:t xml:space="preserve">Sales rep capacity: 10 deals/year at €100K ACV</w:t>
      </w:r>
    </w:p>
    <w:p>
      <w:pPr>
        <w:pStyle w:val="ListParagraph"/>
        <w:numPr>
          <w:ilvl w:val="0"/>
          <w:numId w:val="2"/>
        </w:numPr>
        <w:spacing w:after="240"/>
      </w:pPr>
      <w:r>
        <w:t xml:space="preserve">Target: 20-30 customers Year 1 with 2-3 reps</w:t>
      </w:r>
    </w:p>
    <w:p>
      <w:pPr>
        <w:pStyle w:val="Heading1"/>
      </w:pPr>
      <w:r>
        <w:t xml:space="preserve">7. Key Strategic Choices for Your Model</w:t>
      </w:r>
    </w:p>
    <w:p>
      <w:pPr>
        <w:spacing w:after="60"/>
      </w:pPr>
      <w:r>
        <w:rPr>
          <w:b/>
          <w:bCs/>
        </w:rPr>
        <w:t xml:space="preserve">Investment Model Decisions:</w:t>
      </w:r>
    </w:p>
    <w:p>
      <w:pPr>
        <w:pStyle w:val="ListParagraph"/>
        <w:numPr>
          <w:ilvl w:val="0"/>
          <w:numId w:val="2"/>
        </w:numPr>
      </w:pPr>
      <w:r>
        <w:t xml:space="preserve">Seed round size? (€1-3M typical for this stage)</w:t>
      </w:r>
    </w:p>
    <w:p>
      <w:pPr>
        <w:pStyle w:val="ListParagraph"/>
        <w:numPr>
          <w:ilvl w:val="0"/>
          <w:numId w:val="2"/>
        </w:numPr>
      </w:pPr>
      <w:r>
        <w:t xml:space="preserve">How long should runway be? (18-24 months to Series A typical)</w:t>
      </w:r>
    </w:p>
    <w:p>
      <w:pPr>
        <w:pStyle w:val="ListParagraph"/>
        <w:numPr>
          <w:ilvl w:val="0"/>
          <w:numId w:val="2"/>
        </w:numPr>
        <w:spacing w:after="120"/>
      </w:pPr>
      <w:r>
        <w:t xml:space="preserve">Burn philosophy: aggressive growth or capital efficient?</w:t>
      </w:r>
    </w:p>
    <w:p>
      <w:pPr>
        <w:spacing w:after="60"/>
      </w:pPr>
      <w:r>
        <w:rPr>
          <w:b/>
          <w:bCs/>
        </w:rPr>
        <w:t xml:space="preserve">Revenue Model Decisions:</w:t>
      </w:r>
    </w:p>
    <w:p>
      <w:pPr>
        <w:pStyle w:val="ListParagraph"/>
        <w:numPr>
          <w:ilvl w:val="0"/>
          <w:numId w:val="2"/>
        </w:numPr>
      </w:pPr>
      <w:r>
        <w:t xml:space="preserve">Pricing model and target ACV?</w:t>
      </w:r>
    </w:p>
    <w:p>
      <w:pPr>
        <w:pStyle w:val="ListParagraph"/>
        <w:numPr>
          <w:ilvl w:val="0"/>
          <w:numId w:val="2"/>
        </w:numPr>
      </w:pPr>
      <w:r>
        <w:t xml:space="preserve">GTM motion (PLG, inside sales, or field)?</w:t>
      </w:r>
    </w:p>
    <w:p>
      <w:pPr>
        <w:pStyle w:val="ListParagraph"/>
        <w:numPr>
          <w:ilvl w:val="0"/>
          <w:numId w:val="2"/>
        </w:numPr>
      </w:pPr>
      <w:r>
        <w:t xml:space="preserve">Expansion revenue strategy (land &amp; expand)?</w:t>
      </w:r>
    </w:p>
    <w:p>
      <w:pPr>
        <w:pStyle w:val="ListParagraph"/>
        <w:numPr>
          <w:ilvl w:val="0"/>
          <w:numId w:val="2"/>
        </w:numPr>
        <w:spacing w:after="120"/>
      </w:pPr>
      <w:r>
        <w:t xml:space="preserve">Churn assumption and mitigation strategy?</w:t>
      </w:r>
    </w:p>
    <w:p>
      <w:pPr>
        <w:spacing w:after="60"/>
      </w:pPr>
      <w:r>
        <w:rPr>
          <w:b/>
          <w:bCs/>
        </w:rPr>
        <w:t xml:space="preserve">Cost Model Decisions:</w:t>
      </w:r>
    </w:p>
    <w:p>
      <w:pPr>
        <w:pStyle w:val="ListParagraph"/>
        <w:numPr>
          <w:ilvl w:val="0"/>
          <w:numId w:val="2"/>
        </w:numPr>
      </w:pPr>
      <w:r>
        <w:t xml:space="preserve">How many sales reps Year 1?</w:t>
      </w:r>
    </w:p>
    <w:p>
      <w:pPr>
        <w:pStyle w:val="ListParagraph"/>
        <w:numPr>
          <w:ilvl w:val="0"/>
          <w:numId w:val="2"/>
        </w:numPr>
      </w:pPr>
      <w:r>
        <w:t xml:space="preserve">How many engineers?</w:t>
      </w:r>
    </w:p>
    <w:p>
      <w:pPr>
        <w:pStyle w:val="ListParagraph"/>
        <w:numPr>
          <w:ilvl w:val="0"/>
          <w:numId w:val="2"/>
        </w:numPr>
      </w:pPr>
      <w:r>
        <w:t xml:space="preserve">Marketing spend level?</w:t>
      </w:r>
    </w:p>
    <w:p>
      <w:pPr>
        <w:pStyle w:val="ListParagraph"/>
        <w:numPr>
          <w:ilvl w:val="0"/>
          <w:numId w:val="2"/>
        </w:numPr>
        <w:spacing w:after="120"/>
      </w:pPr>
      <w:r>
        <w:t xml:space="preserve">CAC payback target?</w:t>
      </w:r>
    </w:p>
    <w:p>
      <w:pPr>
        <w:spacing w:after="60"/>
      </w:pPr>
      <w:r>
        <w:rPr>
          <w:b/>
          <w:bCs/>
        </w:rPr>
        <w:t xml:space="preserve">Cash Model Decisions:</w:t>
      </w:r>
    </w:p>
    <w:p>
      <w:pPr>
        <w:pStyle w:val="ListParagraph"/>
        <w:numPr>
          <w:ilvl w:val="0"/>
          <w:numId w:val="2"/>
        </w:numPr>
      </w:pPr>
      <w:r>
        <w:t xml:space="preserve">Annual contracts (better cash) vs. monthly (lower friction)?</w:t>
      </w:r>
    </w:p>
    <w:p>
      <w:pPr>
        <w:pStyle w:val="ListParagraph"/>
        <w:numPr>
          <w:ilvl w:val="0"/>
          <w:numId w:val="2"/>
        </w:numPr>
      </w:pPr>
      <w:r>
        <w:t xml:space="preserve">Upfront payment vs. monthly billing?</w:t>
      </w:r>
    </w:p>
    <w:p>
      <w:pPr>
        <w:pStyle w:val="ListParagraph"/>
        <w:numPr>
          <w:ilvl w:val="0"/>
          <w:numId w:val="2"/>
        </w:numPr>
        <w:spacing w:after="240"/>
      </w:pPr>
      <w:r>
        <w:t xml:space="preserve">What's acceptable burn rate given your strategy?</w:t>
      </w:r>
    </w:p>
    <w:p>
      <w:pPr>
        <w:pStyle w:val="Heading1"/>
      </w:pPr>
      <w:r>
        <w:t xml:space="preserve">8. Success Metrics to Track</w:t>
      </w:r>
    </w:p>
    <w:p>
      <w:pPr>
        <w:spacing w:after="60"/>
      </w:pPr>
      <w:r>
        <w:rPr>
          <w:b/>
          <w:bCs/>
        </w:rPr>
        <w:t xml:space="preserve">Year 1 Target Ranges (depends on strategy):</w:t>
      </w:r>
    </w:p>
    <w:p>
      <w:pPr>
        <w:pStyle w:val="ListParagraph"/>
        <w:numPr>
          <w:ilvl w:val="0"/>
          <w:numId w:val="2"/>
        </w:numPr>
      </w:pPr>
      <w:r>
        <w:t xml:space="preserve">ARR: €2M-6M</w:t>
      </w:r>
    </w:p>
    <w:p>
      <w:pPr>
        <w:pStyle w:val="ListParagraph"/>
        <w:numPr>
          <w:ilvl w:val="0"/>
          <w:numId w:val="2"/>
        </w:numPr>
      </w:pPr>
      <w:r>
        <w:t xml:space="preserve">Customer count: 20-150 (depends on ACV)</w:t>
      </w:r>
    </w:p>
    <w:p>
      <w:pPr>
        <w:pStyle w:val="ListParagraph"/>
        <w:numPr>
          <w:ilvl w:val="0"/>
          <w:numId w:val="2"/>
        </w:numPr>
      </w:pPr>
      <w:r>
        <w:t xml:space="preserve">Monthly churn: &lt;4%</w:t>
      </w:r>
    </w:p>
    <w:p>
      <w:pPr>
        <w:pStyle w:val="ListParagraph"/>
        <w:numPr>
          <w:ilvl w:val="0"/>
          <w:numId w:val="2"/>
        </w:numPr>
      </w:pPr>
      <w:r>
        <w:t xml:space="preserve">Gross margin: &gt;75%</w:t>
      </w:r>
    </w:p>
    <w:p>
      <w:pPr>
        <w:pStyle w:val="ListParagraph"/>
        <w:numPr>
          <w:ilvl w:val="0"/>
          <w:numId w:val="2"/>
        </w:numPr>
      </w:pPr>
      <w:r>
        <w:t xml:space="preserve">CAC payback: &lt;18 months</w:t>
      </w:r>
    </w:p>
    <w:p>
      <w:pPr>
        <w:pStyle w:val="ListParagraph"/>
        <w:numPr>
          <w:ilvl w:val="0"/>
          <w:numId w:val="2"/>
        </w:numPr>
        <w:spacing w:after="120"/>
      </w:pPr>
      <w:r>
        <w:t xml:space="preserve">Burn rate: €100-200K/month</w:t>
      </w:r>
    </w:p>
    <w:p>
      <w:pPr>
        <w:spacing w:after="60"/>
      </w:pPr>
      <w:r>
        <w:rPr>
          <w:b/>
          <w:bCs/>
        </w:rPr>
        <w:t xml:space="preserve">Year 5 Aspirational Targets:</w:t>
      </w:r>
    </w:p>
    <w:p>
      <w:pPr>
        <w:pStyle w:val="ListParagraph"/>
        <w:numPr>
          <w:ilvl w:val="0"/>
          <w:numId w:val="2"/>
        </w:numPr>
      </w:pPr>
      <w:r>
        <w:t xml:space="preserve">ARR: €30-50M</w:t>
      </w:r>
    </w:p>
    <w:p>
      <w:pPr>
        <w:pStyle w:val="ListParagraph"/>
        <w:numPr>
          <w:ilvl w:val="0"/>
          <w:numId w:val="2"/>
        </w:numPr>
      </w:pPr>
      <w:r>
        <w:t xml:space="preserve">EBITDA positive or approaching breakeven</w:t>
      </w:r>
    </w:p>
    <w:p>
      <w:pPr>
        <w:pStyle w:val="ListParagraph"/>
        <w:numPr>
          <w:ilvl w:val="0"/>
          <w:numId w:val="2"/>
        </w:numPr>
      </w:pPr>
      <w:r>
        <w:t xml:space="preserve">Rule of 40 score: &gt;40%</w:t>
      </w:r>
    </w:p>
    <w:p>
      <w:pPr>
        <w:pStyle w:val="ListParagraph"/>
        <w:numPr>
          <w:ilvl w:val="0"/>
          <w:numId w:val="2"/>
        </w:numPr>
        <w:spacing w:after="240"/>
      </w:pPr>
      <w:r>
        <w:t xml:space="preserve">Path to IPO or strategic acquisition clear</w:t>
      </w:r>
    </w:p>
    <w:p>
      <w:pPr>
        <w:pStyle w:val="Heading1"/>
      </w:pPr>
      <w:r>
        <w:t xml:space="preserve">9. How the Four Models Apply</w:t>
      </w:r>
    </w:p>
    <w:p>
      <w:pPr>
        <w:spacing w:after="60"/>
      </w:pPr>
      <w:r>
        <w:rPr>
          <w:b/>
          <w:bCs/>
        </w:rPr>
        <w:t xml:space="preserve">Investment Model (Assets/Equity):</w:t>
      </w:r>
    </w:p>
    <w:p>
      <w:pPr>
        <w:spacing w:after="60"/>
      </w:pPr>
      <w:r>
        <w:t xml:space="preserve">SaaS is relatively asset-light. Your main 'assets' are the software platform and customer relationships (reflected in ARR). Capital needs driven primarily by:</w:t>
      </w:r>
    </w:p>
    <w:p>
      <w:pPr>
        <w:pStyle w:val="ListParagraph"/>
        <w:numPr>
          <w:ilvl w:val="0"/>
          <w:numId w:val="2"/>
        </w:numPr>
      </w:pPr>
      <w:r>
        <w:t xml:space="preserve">Sales &amp; marketing investment</w:t>
      </w:r>
    </w:p>
    <w:p>
      <w:pPr>
        <w:pStyle w:val="ListParagraph"/>
        <w:numPr>
          <w:ilvl w:val="0"/>
          <w:numId w:val="2"/>
        </w:numPr>
      </w:pPr>
      <w:r>
        <w:t xml:space="preserve">R&amp;D to build product</w:t>
      </w:r>
    </w:p>
    <w:p>
      <w:pPr>
        <w:pStyle w:val="ListParagraph"/>
        <w:numPr>
          <w:ilvl w:val="0"/>
          <w:numId w:val="2"/>
        </w:numPr>
        <w:spacing w:after="120"/>
      </w:pPr>
      <w:r>
        <w:t xml:space="preserve">Working capital for operations</w:t>
      </w:r>
    </w:p>
    <w:p>
      <w:pPr>
        <w:spacing w:after="60"/>
      </w:pPr>
      <w:r>
        <w:rPr>
          <w:b/>
          <w:bCs/>
        </w:rPr>
        <w:t xml:space="preserve">Revenue Model (Income/Assets):</w:t>
      </w:r>
    </w:p>
    <w:p>
      <w:pPr>
        <w:spacing w:after="60"/>
      </w:pPr>
      <w:r>
        <w:t xml:space="preserve">SaaS companies can achieve high asset turnover because they don't need much physical infrastructure. Focus on:</w:t>
      </w:r>
    </w:p>
    <w:p>
      <w:pPr>
        <w:pStyle w:val="ListParagraph"/>
        <w:numPr>
          <w:ilvl w:val="0"/>
          <w:numId w:val="2"/>
        </w:numPr>
      </w:pPr>
      <w:r>
        <w:t xml:space="preserve">MRR/ARR growth</w:t>
      </w:r>
    </w:p>
    <w:p>
      <w:pPr>
        <w:pStyle w:val="ListParagraph"/>
        <w:numPr>
          <w:ilvl w:val="0"/>
          <w:numId w:val="2"/>
        </w:numPr>
      </w:pPr>
      <w:r>
        <w:t xml:space="preserve">Cohort analysis and churn</w:t>
      </w:r>
    </w:p>
    <w:p>
      <w:pPr>
        <w:pStyle w:val="ListParagraph"/>
        <w:numPr>
          <w:ilvl w:val="0"/>
          <w:numId w:val="2"/>
        </w:numPr>
        <w:spacing w:after="120"/>
      </w:pPr>
      <w:r>
        <w:t xml:space="preserve">Expansion revenue (net dollar retention &gt;100%)</w:t>
      </w:r>
    </w:p>
    <w:p>
      <w:pPr>
        <w:spacing w:after="60"/>
      </w:pPr>
      <w:r>
        <w:rPr>
          <w:b/>
          <w:bCs/>
        </w:rPr>
        <w:t xml:space="preserve">Cost Model (Profit/Income):</w:t>
      </w:r>
    </w:p>
    <w:p>
      <w:pPr>
        <w:spacing w:after="60"/>
      </w:pPr>
      <w:r>
        <w:t xml:space="preserve">Gross margin should be 75-85%. Operating costs dominated by:</w:t>
      </w:r>
    </w:p>
    <w:p>
      <w:pPr>
        <w:pStyle w:val="ListParagraph"/>
        <w:numPr>
          <w:ilvl w:val="0"/>
          <w:numId w:val="2"/>
        </w:numPr>
      </w:pPr>
      <w:r>
        <w:t xml:space="preserve">COGS (infrastructure): 15-25% of revenue</w:t>
      </w:r>
    </w:p>
    <w:p>
      <w:pPr>
        <w:pStyle w:val="ListParagraph"/>
        <w:numPr>
          <w:ilvl w:val="0"/>
          <w:numId w:val="2"/>
        </w:numPr>
      </w:pPr>
      <w:r>
        <w:t xml:space="preserve">S&amp;M: 40-60% of revenue (investment phase)</w:t>
      </w:r>
    </w:p>
    <w:p>
      <w:pPr>
        <w:pStyle w:val="ListParagraph"/>
        <w:numPr>
          <w:ilvl w:val="0"/>
          <w:numId w:val="2"/>
        </w:numPr>
      </w:pPr>
      <w:r>
        <w:t xml:space="preserve">R&amp;D: 20-30% of revenue</w:t>
      </w:r>
    </w:p>
    <w:p>
      <w:pPr>
        <w:pStyle w:val="ListParagraph"/>
        <w:numPr>
          <w:ilvl w:val="0"/>
          <w:numId w:val="2"/>
        </w:numPr>
        <w:spacing w:after="120"/>
      </w:pPr>
      <w:r>
        <w:t xml:space="preserve">G&amp;A: 10-15% of revenue</w:t>
      </w:r>
    </w:p>
    <w:p>
      <w:pPr>
        <w:spacing w:after="60"/>
      </w:pPr>
      <w:r>
        <w:rPr>
          <w:b/>
          <w:bCs/>
        </w:rPr>
        <w:t xml:space="preserve">Cash Model (Cash/Profit):</w:t>
      </w:r>
    </w:p>
    <w:p>
      <w:pPr>
        <w:spacing w:after="60"/>
      </w:pPr>
      <w:r>
        <w:t xml:space="preserve">Annual contracts create positive cash dynamics. Key factors:</w:t>
      </w:r>
    </w:p>
    <w:p>
      <w:pPr>
        <w:pStyle w:val="ListParagraph"/>
        <w:numPr>
          <w:ilvl w:val="0"/>
          <w:numId w:val="2"/>
        </w:numPr>
      </w:pPr>
      <w:r>
        <w:t xml:space="preserve">Annual upfront payment = cash today for revenue recognized over 12 months</w:t>
      </w:r>
    </w:p>
    <w:p>
      <w:pPr>
        <w:pStyle w:val="ListParagraph"/>
        <w:numPr>
          <w:ilvl w:val="0"/>
          <w:numId w:val="2"/>
        </w:numPr>
      </w:pPr>
      <w:r>
        <w:t xml:space="preserve">Deferred revenue on balance sheet</w:t>
      </w:r>
    </w:p>
    <w:p>
      <w:pPr>
        <w:pStyle w:val="ListParagraph"/>
        <w:numPr>
          <w:ilvl w:val="0"/>
          <w:numId w:val="2"/>
        </w:numPr>
        <w:spacing w:after="240"/>
      </w:pPr>
      <w:r>
        <w:t xml:space="preserve">Minimal working capital needs (no inventory, fast collection)</w:t>
      </w:r>
    </w:p>
    <w:p>
      <w:pPr>
        <w:pStyle w:val="Heading1"/>
      </w:pPr>
      <w:r>
        <w:t xml:space="preserve">10. Example Scenarios for Reference</w:t>
      </w:r>
    </w:p>
    <w:p>
      <w:pPr>
        <w:spacing w:after="60"/>
      </w:pPr>
      <w:r>
        <w:rPr>
          <w:b/>
          <w:bCs/>
        </w:rPr>
        <w:t xml:space="preserve">Scenario A: PLG Motion</w:t>
      </w:r>
    </w:p>
    <w:p>
      <w:pPr>
        <w:pStyle w:val="ListParagraph"/>
        <w:numPr>
          <w:ilvl w:val="0"/>
          <w:numId w:val="2"/>
        </w:numPr>
      </w:pPr>
      <w:r>
        <w:t xml:space="preserve">€25K ACV, 100 customers Year 1 → €2.5M ARR</w:t>
      </w:r>
    </w:p>
    <w:p>
      <w:pPr>
        <w:pStyle w:val="ListParagraph"/>
        <w:numPr>
          <w:ilvl w:val="0"/>
          <w:numId w:val="2"/>
        </w:numPr>
      </w:pPr>
      <w:r>
        <w:t xml:space="preserve">€5K CAC × 100 = €500K S&amp;M spend</w:t>
      </w:r>
    </w:p>
    <w:p>
      <w:pPr>
        <w:pStyle w:val="ListParagraph"/>
        <w:numPr>
          <w:ilvl w:val="0"/>
          <w:numId w:val="2"/>
        </w:numPr>
      </w:pPr>
      <w:r>
        <w:t xml:space="preserve">10 person team (5 eng, 2 sales, 2 CSM, 1 marketing)</w:t>
      </w:r>
    </w:p>
    <w:p>
      <w:pPr>
        <w:pStyle w:val="ListParagraph"/>
        <w:numPr>
          <w:ilvl w:val="0"/>
          <w:numId w:val="2"/>
        </w:numPr>
        <w:spacing w:after="120"/>
      </w:pPr>
      <w:r>
        <w:t xml:space="preserve">€150K/month burn → Need €2.7M seed for 18-month runway</w:t>
      </w:r>
    </w:p>
    <w:p>
      <w:pPr>
        <w:spacing w:after="60"/>
      </w:pPr>
      <w:r>
        <w:rPr>
          <w:b/>
          <w:bCs/>
        </w:rPr>
        <w:t xml:space="preserve">Scenario B: Inside Sales Motion</w:t>
      </w:r>
    </w:p>
    <w:p>
      <w:pPr>
        <w:pStyle w:val="ListParagraph"/>
        <w:numPr>
          <w:ilvl w:val="0"/>
          <w:numId w:val="2"/>
        </w:numPr>
      </w:pPr>
      <w:r>
        <w:t xml:space="preserve">€50K ACV, 60 customers Year 1 → €3M ARR</w:t>
      </w:r>
    </w:p>
    <w:p>
      <w:pPr>
        <w:pStyle w:val="ListParagraph"/>
        <w:numPr>
          <w:ilvl w:val="0"/>
          <w:numId w:val="2"/>
        </w:numPr>
      </w:pPr>
      <w:r>
        <w:t xml:space="preserve">€20K CAC × 60 = €1.2M S&amp;M spend</w:t>
      </w:r>
    </w:p>
    <w:p>
      <w:pPr>
        <w:pStyle w:val="ListParagraph"/>
        <w:numPr>
          <w:ilvl w:val="0"/>
          <w:numId w:val="2"/>
        </w:numPr>
      </w:pPr>
      <w:r>
        <w:t xml:space="preserve">12 person team (4 eng, 4 sales, 2 CSM, 2 ops)</w:t>
      </w:r>
    </w:p>
    <w:p>
      <w:pPr>
        <w:pStyle w:val="ListParagraph"/>
        <w:numPr>
          <w:ilvl w:val="0"/>
          <w:numId w:val="2"/>
        </w:numPr>
        <w:spacing w:after="120"/>
      </w:pPr>
      <w:r>
        <w:t xml:space="preserve">€180K/month burn → Need €3.2M seed for 18-month runway</w:t>
      </w:r>
    </w:p>
    <w:p>
      <w:pPr>
        <w:spacing w:after="60"/>
      </w:pPr>
      <w:r>
        <w:rPr>
          <w:b/>
          <w:bCs/>
        </w:rPr>
        <w:t xml:space="preserve">Scenario C: Field Sales Motion</w:t>
      </w:r>
    </w:p>
    <w:p>
      <w:pPr>
        <w:pStyle w:val="ListParagraph"/>
        <w:numPr>
          <w:ilvl w:val="0"/>
          <w:numId w:val="2"/>
        </w:numPr>
      </w:pPr>
      <w:r>
        <w:t xml:space="preserve">€100K ACV, 25 customers Year 1 → €2.5M ARR</w:t>
      </w:r>
    </w:p>
    <w:p>
      <w:pPr>
        <w:pStyle w:val="ListParagraph"/>
        <w:numPr>
          <w:ilvl w:val="0"/>
          <w:numId w:val="2"/>
        </w:numPr>
      </w:pPr>
      <w:r>
        <w:t xml:space="preserve">€60K CAC × 25 = €1.5M S&amp;M spend</w:t>
      </w:r>
    </w:p>
    <w:p>
      <w:pPr>
        <w:pStyle w:val="ListParagraph"/>
        <w:numPr>
          <w:ilvl w:val="0"/>
          <w:numId w:val="2"/>
        </w:numPr>
      </w:pPr>
      <w:r>
        <w:t xml:space="preserve">10 person team (4 eng, 3 sales, 1 CSM, 2 ops)</w:t>
      </w:r>
    </w:p>
    <w:p>
      <w:pPr>
        <w:pStyle w:val="ListParagraph"/>
        <w:numPr>
          <w:ilvl w:val="0"/>
          <w:numId w:val="2"/>
        </w:numPr>
        <w:spacing w:after="240"/>
      </w:pPr>
      <w:r>
        <w:t xml:space="preserve">€200K/month burn → Need €3.6M seed for 18-month runway</w:t>
      </w:r>
    </w:p>
    <w:p>
      <w:pPr>
        <w:spacing w:after="240"/>
      </w:pPr>
      <w:r>
        <w:rPr>
          <w:b/>
          <w:bCs/>
        </w:rPr>
        <w:t xml:space="preserve">Note: </w:t>
      </w:r>
      <w:r>
        <w:t xml:space="preserve">These are illustrative scenarios. Your group should make your own strategic choices and build the model from first principles using the benchmarks provided.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1e3c72"/>
      <w:sz w:val="32"/>
      <w:szCs w:val="32"/>
    </w:rPr>
  </w:style>
  <w:style w:type="paragraph" w:styleId="Heading2">
    <w:name w:val="Heading 2"/>
    <w:basedOn w:val="Normal"/>
    <w:next w:val="Normal"/>
    <w:qFormat/>
    <w:pPr>
      <w:spacing w:before="180" w:after="90"/>
      <w:outlineLvl w:val="1"/>
    </w:pPr>
    <w:rPr>
      <w:rFonts w:ascii="Calibri" w:cs="Calibri" w:eastAsia="Calibri" w:hAnsi="Calibri"/>
      <w:b/>
      <w:bCs/>
      <w:color w:val="1e3c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2026-01-07T15:20:40.935Z</dcterms:created>
  <dcterms:modified xsi:type="dcterms:W3CDTF">2026-01-07T15:20:40.937Z</dcterms:modified>
</cp:coreProperties>
</file>

<file path=docProps/custom.xml><?xml version="1.0" encoding="utf-8"?>
<Properties xmlns="http://schemas.openxmlformats.org/officeDocument/2006/custom-properties" xmlns:vt="http://schemas.openxmlformats.org/officeDocument/2006/docPropsVTypes"/>
</file>