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c72"/>
          <w:sz w:val="36"/>
          <w:szCs w:val="36"/>
        </w:rPr>
        <w:t xml:space="preserve">DATA PACKET</w:t>
      </w:r>
    </w:p>
    <w:p>
      <w:pPr>
        <w:spacing w:after="30"/>
        <w:jc w:val="center"/>
      </w:pPr>
      <w:r>
        <w:rPr>
          <w:b/>
          <w:bCs/>
          <w:sz w:val="32"/>
          <w:szCs w:val="32"/>
        </w:rPr>
        <w:t xml:space="preserve">VitalConnect</w:t>
      </w:r>
    </w:p>
    <w:p>
      <w:pPr>
        <w:spacing w:after="240"/>
        <w:jc w:val="center"/>
      </w:pPr>
      <w:r>
        <w:rPr>
          <w:color w:val="666666"/>
          <w:sz w:val="24"/>
          <w:szCs w:val="24"/>
        </w:rPr>
        <w:t xml:space="preserve">Healthcare Tech Platform Archetype</w:t>
      </w:r>
    </w:p>
    <w:p>
      <w:pPr>
        <w:pStyle w:val="Heading1"/>
      </w:pPr>
      <w:r>
        <w:t xml:space="preserve">1. Business Overview</w:t>
      </w:r>
    </w:p>
    <w:p>
      <w:pPr>
        <w:spacing w:after="60"/>
      </w:pPr>
      <w:r>
        <w:rPr>
          <w:b/>
          <w:bCs/>
        </w:rPr>
        <w:t xml:space="preserve">Concept:</w:t>
      </w:r>
    </w:p>
    <w:p>
      <w:pPr>
        <w:spacing w:after="120"/>
      </w:pPr>
      <w:r>
        <w:t xml:space="preserve">VitalConnect provides IoT wearable sensors plus cloud platform for remote monitoring of chronic disease patients (diabetes, hypertension, heart failure). Sensors track vitals continuously and alert care teams to concerning trends before hospitalization is needed. Revenue from NHS/insurance reimbursement plus platform subscription fees.</w:t>
      </w:r>
    </w:p>
    <w:p>
      <w:pPr>
        <w:spacing w:after="60"/>
      </w:pPr>
      <w:r>
        <w:rPr>
          <w:b/>
          <w:bCs/>
        </w:rPr>
        <w:t xml:space="preserve">Value Proposition:</w:t>
      </w:r>
    </w:p>
    <w:p>
      <w:pPr>
        <w:pStyle w:val="ListParagraph"/>
        <w:numPr>
          <w:ilvl w:val="0"/>
          <w:numId w:val="2"/>
        </w:numPr>
      </w:pPr>
      <w:r>
        <w:t xml:space="preserve">Reduce hospital readmissions 25-40% through early intervention</w:t>
      </w:r>
    </w:p>
    <w:p>
      <w:pPr>
        <w:pStyle w:val="ListParagraph"/>
        <w:numPr>
          <w:ilvl w:val="0"/>
          <w:numId w:val="2"/>
        </w:numPr>
      </w:pPr>
      <w:r>
        <w:t xml:space="preserve">Improve patient outcomes and quality of life</w:t>
      </w:r>
    </w:p>
    <w:p>
      <w:pPr>
        <w:pStyle w:val="ListParagraph"/>
        <w:numPr>
          <w:ilvl w:val="0"/>
          <w:numId w:val="2"/>
        </w:numPr>
      </w:pPr>
      <w:r>
        <w:t xml:space="preserve">Lower total healthcare costs (prevention vs. crisis care)</w:t>
      </w:r>
    </w:p>
    <w:p>
      <w:pPr>
        <w:pStyle w:val="ListParagraph"/>
        <w:numPr>
          <w:ilvl w:val="0"/>
          <w:numId w:val="2"/>
        </w:numPr>
        <w:spacing w:after="120"/>
      </w:pPr>
      <w:r>
        <w:t xml:space="preserve">Scalable monitoring without proportional staff increases</w:t>
      </w:r>
    </w:p>
    <w:p>
      <w:pPr>
        <w:spacing w:after="60"/>
      </w:pPr>
      <w:r>
        <w:rPr>
          <w:b/>
          <w:bCs/>
        </w:rPr>
        <w:t xml:space="preserve">Target Market:</w:t>
      </w:r>
    </w:p>
    <w:p>
      <w:pPr>
        <w:spacing w:after="240"/>
      </w:pPr>
      <w:r>
        <w:t xml:space="preserve">NHS trusts and private insurers covering chronic disease patients. UK has 15 million chronic disease patients - targeting 200,000 by Year 5. Initial focus: heart failure patients (high readmission rates, clear ROI).</w:t>
      </w:r>
    </w:p>
    <w:p>
      <w:pPr>
        <w:pStyle w:val="Heading1"/>
      </w:pPr>
      <w:r>
        <w:t xml:space="preserve">2. Market Size &amp; Economics</w:t>
      </w:r>
    </w:p>
    <w:p>
      <w:pPr>
        <w:spacing w:after="60"/>
      </w:pPr>
      <w:r>
        <w:rPr>
          <w:b/>
          <w:bCs/>
        </w:rPr>
        <w:t xml:space="preserve">Market:</w:t>
      </w:r>
    </w:p>
    <w:p>
      <w:pPr>
        <w:pStyle w:val="ListParagraph"/>
        <w:numPr>
          <w:ilvl w:val="0"/>
          <w:numId w:val="2"/>
        </w:numPr>
      </w:pPr>
      <w:r>
        <w:t xml:space="preserve">UK chronic disease patients: 15 million</w:t>
      </w:r>
    </w:p>
    <w:p>
      <w:pPr>
        <w:pStyle w:val="ListParagraph"/>
        <w:numPr>
          <w:ilvl w:val="0"/>
          <w:numId w:val="2"/>
        </w:numPr>
      </w:pPr>
      <w:r>
        <w:t xml:space="preserve">Addressable with current solution: 3 million (highest-risk)</w:t>
      </w:r>
    </w:p>
    <w:p>
      <w:pPr>
        <w:pStyle w:val="ListParagraph"/>
        <w:numPr>
          <w:ilvl w:val="0"/>
          <w:numId w:val="2"/>
        </w:numPr>
        <w:spacing w:after="120"/>
      </w:pPr>
      <w:r>
        <w:t xml:space="preserve">Year 5 target: 200,000 patients (6.7% penetration)</w:t>
      </w:r>
    </w:p>
    <w:p>
      <w:pPr>
        <w:spacing w:after="60"/>
      </w:pPr>
      <w:r>
        <w:rPr>
          <w:b/>
          <w:bCs/>
        </w:rPr>
        <w:t xml:space="preserve">Device Economics:</w:t>
      </w:r>
    </w:p>
    <w:p>
      <w:pPr>
        <w:pStyle w:val="ListParagraph"/>
        <w:numPr>
          <w:ilvl w:val="0"/>
          <w:numId w:val="2"/>
        </w:numPr>
      </w:pPr>
      <w:r>
        <w:t xml:space="preserve">Device COGS: £120 each</w:t>
      </w:r>
    </w:p>
    <w:p>
      <w:pPr>
        <w:pStyle w:val="ListParagraph"/>
        <w:numPr>
          <w:ilvl w:val="0"/>
          <w:numId w:val="2"/>
        </w:numPr>
      </w:pPr>
      <w:r>
        <w:t xml:space="preserve">Subsidized price to patient: £50-200 (adoption barrier)</w:t>
      </w:r>
    </w:p>
    <w:p>
      <w:pPr>
        <w:pStyle w:val="ListParagraph"/>
        <w:numPr>
          <w:ilvl w:val="0"/>
          <w:numId w:val="2"/>
        </w:numPr>
      </w:pPr>
      <w:r>
        <w:t xml:space="preserve">Device useful life: 18 months average</w:t>
      </w:r>
    </w:p>
    <w:p>
      <w:pPr>
        <w:pStyle w:val="ListParagraph"/>
        <w:numPr>
          <w:ilvl w:val="0"/>
          <w:numId w:val="2"/>
        </w:numPr>
        <w:spacing w:after="120"/>
      </w:pPr>
      <w:r>
        <w:t xml:space="preserve">Replacement needed (ongoing hardware revenue)</w:t>
      </w:r>
    </w:p>
    <w:p>
      <w:pPr>
        <w:spacing w:after="60"/>
      </w:pPr>
      <w:r>
        <w:rPr>
          <w:b/>
          <w:bCs/>
        </w:rPr>
        <w:t xml:space="preserve">Revenue Model:</w:t>
      </w:r>
    </w:p>
    <w:p>
      <w:pPr>
        <w:pStyle w:val="ListParagraph"/>
        <w:numPr>
          <w:ilvl w:val="0"/>
          <w:numId w:val="2"/>
        </w:numPr>
      </w:pPr>
      <w:r>
        <w:t xml:space="preserve">NHS reimbursement: £40-60 per patient per month</w:t>
      </w:r>
    </w:p>
    <w:p>
      <w:pPr>
        <w:pStyle w:val="ListParagraph"/>
        <w:numPr>
          <w:ilvl w:val="0"/>
          <w:numId w:val="2"/>
        </w:numPr>
      </w:pPr>
      <w:r>
        <w:t xml:space="preserve">Platform subscription (to provider): £20 per patient per month</w:t>
      </w:r>
    </w:p>
    <w:p>
      <w:pPr>
        <w:pStyle w:val="ListParagraph"/>
        <w:numPr>
          <w:ilvl w:val="0"/>
          <w:numId w:val="2"/>
        </w:numPr>
      </w:pPr>
      <w:r>
        <w:t xml:space="preserve">Total recurring: £60-80 per patient per month</w:t>
      </w:r>
    </w:p>
    <w:p>
      <w:pPr>
        <w:pStyle w:val="ListParagraph"/>
        <w:numPr>
          <w:ilvl w:val="0"/>
          <w:numId w:val="2"/>
        </w:numPr>
        <w:spacing w:after="120"/>
      </w:pPr>
      <w:r>
        <w:t xml:space="preserve">Plus initial device revenue (one-time)</w:t>
      </w:r>
    </w:p>
    <w:p>
      <w:pPr>
        <w:spacing w:after="60"/>
      </w:pPr>
      <w:r>
        <w:rPr>
          <w:b/>
          <w:bCs/>
        </w:rPr>
        <w:t xml:space="preserve">Operating Costs:</w:t>
      </w:r>
    </w:p>
    <w:p>
      <w:pPr>
        <w:pStyle w:val="ListParagraph"/>
        <w:numPr>
          <w:ilvl w:val="0"/>
          <w:numId w:val="2"/>
        </w:numPr>
      </w:pPr>
      <w:r>
        <w:t xml:space="preserve">Clinical support team: £45,000/year per 1,000 patients</w:t>
      </w:r>
    </w:p>
    <w:p>
      <w:pPr>
        <w:pStyle w:val="ListParagraph"/>
        <w:numPr>
          <w:ilvl w:val="0"/>
          <w:numId w:val="2"/>
        </w:numPr>
      </w:pPr>
      <w:r>
        <w:t xml:space="preserve">Technology platform: £5 per patient per month</w:t>
      </w:r>
    </w:p>
    <w:p>
      <w:pPr>
        <w:pStyle w:val="ListParagraph"/>
        <w:numPr>
          <w:ilvl w:val="0"/>
          <w:numId w:val="2"/>
        </w:numPr>
        <w:spacing w:after="240"/>
      </w:pPr>
      <w:r>
        <w:t xml:space="preserve">Device replacement cycle: ongoing COGS</w:t>
      </w:r>
    </w:p>
    <w:p>
      <w:pPr>
        <w:pStyle w:val="Heading1"/>
      </w:pPr>
      <w:r>
        <w:t xml:space="preserve">3. Critical Challenges (MOST COMPLEX ARCHETYPE)</w:t>
      </w:r>
    </w:p>
    <w:p>
      <w:pPr>
        <w:spacing w:after="60"/>
      </w:pPr>
      <w:r>
        <w:rPr>
          <w:b/>
          <w:bCs/>
        </w:rPr>
        <w:t xml:space="preserve">Challenge 1: Long Sales Cycles</w:t>
      </w:r>
    </w:p>
    <w:p>
      <w:pPr>
        <w:pStyle w:val="ListParagraph"/>
        <w:numPr>
          <w:ilvl w:val="0"/>
          <w:numId w:val="2"/>
        </w:numPr>
      </w:pPr>
      <w:r>
        <w:t xml:space="preserve">NHS procurement: 9-12 months typical</w:t>
      </w:r>
    </w:p>
    <w:p>
      <w:pPr>
        <w:pStyle w:val="ListParagraph"/>
        <w:numPr>
          <w:ilvl w:val="0"/>
          <w:numId w:val="2"/>
        </w:numPr>
      </w:pPr>
      <w:r>
        <w:t xml:space="preserve">Pilot programs before full contracts</w:t>
      </w:r>
    </w:p>
    <w:p>
      <w:pPr>
        <w:pStyle w:val="ListParagraph"/>
        <w:numPr>
          <w:ilvl w:val="0"/>
          <w:numId w:val="2"/>
        </w:numPr>
      </w:pPr>
      <w:r>
        <w:t xml:space="preserve">Clinical validation required (6-12 months)</w:t>
      </w:r>
    </w:p>
    <w:p>
      <w:pPr>
        <w:pStyle w:val="ListParagraph"/>
        <w:numPr>
          <w:ilvl w:val="0"/>
          <w:numId w:val="2"/>
        </w:numPr>
        <w:spacing w:after="120"/>
      </w:pPr>
      <w:r>
        <w:t xml:space="preserve">Revenue delayed, cash burn extended</w:t>
      </w:r>
    </w:p>
    <w:p>
      <w:pPr>
        <w:spacing w:after="60"/>
      </w:pPr>
      <w:r>
        <w:rPr>
          <w:b/>
          <w:bCs/>
        </w:rPr>
        <w:t xml:space="preserve">Challenge 2: Device Subsidy</w:t>
      </w:r>
    </w:p>
    <w:p>
      <w:pPr>
        <w:pStyle w:val="ListParagraph"/>
        <w:numPr>
          <w:ilvl w:val="0"/>
          <w:numId w:val="2"/>
        </w:numPr>
      </w:pPr>
      <w:r>
        <w:t xml:space="preserve">COGS £120, patient pays £50-200</w:t>
      </w:r>
    </w:p>
    <w:p>
      <w:pPr>
        <w:pStyle w:val="ListParagraph"/>
        <w:numPr>
          <w:ilvl w:val="0"/>
          <w:numId w:val="2"/>
        </w:numPr>
      </w:pPr>
      <w:r>
        <w:t xml:space="preserve">You absorb £0-70 per device upfront</w:t>
      </w:r>
    </w:p>
    <w:p>
      <w:pPr>
        <w:pStyle w:val="ListParagraph"/>
        <w:numPr>
          <w:ilvl w:val="0"/>
          <w:numId w:val="2"/>
        </w:numPr>
      </w:pPr>
      <w:r>
        <w:t xml:space="preserve">Recoup through subscription over 18 months</w:t>
      </w:r>
    </w:p>
    <w:p>
      <w:pPr>
        <w:pStyle w:val="ListParagraph"/>
        <w:numPr>
          <w:ilvl w:val="0"/>
          <w:numId w:val="2"/>
        </w:numPr>
        <w:spacing w:after="120"/>
      </w:pPr>
      <w:r>
        <w:t xml:space="preserve">Huge working capital need as you scale</w:t>
      </w:r>
    </w:p>
    <w:p>
      <w:pPr>
        <w:spacing w:after="60"/>
      </w:pPr>
      <w:r>
        <w:rPr>
          <w:b/>
          <w:bCs/>
        </w:rPr>
        <w:t xml:space="preserve">Challenge 3: Reimbursement Complexity</w:t>
      </w:r>
    </w:p>
    <w:p>
      <w:pPr>
        <w:pStyle w:val="ListParagraph"/>
        <w:numPr>
          <w:ilvl w:val="0"/>
          <w:numId w:val="2"/>
        </w:numPr>
      </w:pPr>
      <w:r>
        <w:t xml:space="preserve">Must demonstrate clinical outcomes for reimbursement</w:t>
      </w:r>
    </w:p>
    <w:p>
      <w:pPr>
        <w:pStyle w:val="ListParagraph"/>
        <w:numPr>
          <w:ilvl w:val="0"/>
          <w:numId w:val="2"/>
        </w:numPr>
      </w:pPr>
      <w:r>
        <w:t xml:space="preserve">Reimbursement rates vary by condition and payer</w:t>
      </w:r>
    </w:p>
    <w:p>
      <w:pPr>
        <w:pStyle w:val="ListParagraph"/>
        <w:numPr>
          <w:ilvl w:val="0"/>
          <w:numId w:val="2"/>
        </w:numPr>
        <w:spacing w:after="240"/>
      </w:pPr>
      <w:r>
        <w:t xml:space="preserve">Regulatory approval required (MHRA/CE marking)</w:t>
      </w:r>
    </w:p>
    <w:p>
      <w:pPr>
        <w:pStyle w:val="Heading1"/>
      </w:pPr>
      <w:r>
        <w:t xml:space="preserve">4. Strategic Choices</w:t>
      </w:r>
    </w:p>
    <w:p>
      <w:pPr>
        <w:spacing w:after="60"/>
      </w:pPr>
      <w:r>
        <w:rPr>
          <w:b/>
          <w:bCs/>
        </w:rPr>
        <w:t xml:space="preserve">Business Model:</w:t>
      </w:r>
    </w:p>
    <w:p>
      <w:pPr>
        <w:pStyle w:val="ListParagraph"/>
        <w:numPr>
          <w:ilvl w:val="0"/>
          <w:numId w:val="2"/>
        </w:numPr>
      </w:pPr>
      <w:r>
        <w:t xml:space="preserve">B2B (sell to NHS/insurers) - easier scale, longer sales</w:t>
      </w:r>
    </w:p>
    <w:p>
      <w:pPr>
        <w:pStyle w:val="ListParagraph"/>
        <w:numPr>
          <w:ilvl w:val="0"/>
          <w:numId w:val="2"/>
        </w:numPr>
      </w:pPr>
      <w:r>
        <w:t xml:space="preserve">B2B2C (NHS + direct to patients) - complex but diversified</w:t>
      </w:r>
    </w:p>
    <w:p>
      <w:pPr>
        <w:pStyle w:val="ListParagraph"/>
        <w:numPr>
          <w:ilvl w:val="0"/>
          <w:numId w:val="2"/>
        </w:numPr>
        <w:spacing w:after="120"/>
      </w:pPr>
      <w:r>
        <w:t xml:space="preserve">B2C (direct to consumers) - fastest but lower reimbursement</w:t>
      </w:r>
    </w:p>
    <w:p>
      <w:pPr>
        <w:spacing w:after="60"/>
      </w:pPr>
      <w:r>
        <w:rPr>
          <w:b/>
          <w:bCs/>
        </w:rPr>
        <w:t xml:space="preserve">Device Strategy:</w:t>
      </w:r>
    </w:p>
    <w:p>
      <w:pPr>
        <w:pStyle w:val="ListParagraph"/>
        <w:numPr>
          <w:ilvl w:val="0"/>
          <w:numId w:val="2"/>
        </w:numPr>
      </w:pPr>
      <w:r>
        <w:t xml:space="preserve">Heavy subsidy for adoption vs. charge more upfront?</w:t>
      </w:r>
    </w:p>
    <w:p>
      <w:pPr>
        <w:pStyle w:val="ListParagraph"/>
        <w:numPr>
          <w:ilvl w:val="0"/>
          <w:numId w:val="2"/>
        </w:numPr>
      </w:pPr>
      <w:r>
        <w:t xml:space="preserve">Impact on working capital is enormous</w:t>
      </w:r>
    </w:p>
    <w:p>
      <w:pPr>
        <w:pStyle w:val="ListParagraph"/>
        <w:numPr>
          <w:ilvl w:val="0"/>
          <w:numId w:val="2"/>
        </w:numPr>
        <w:spacing w:after="120"/>
      </w:pPr>
      <w:r>
        <w:t xml:space="preserve">Trade-off: Adoption speed vs. cash conservation</w:t>
      </w:r>
    </w:p>
    <w:p>
      <w:pPr>
        <w:spacing w:after="60"/>
      </w:pPr>
      <w:r>
        <w:rPr>
          <w:b/>
          <w:bCs/>
        </w:rPr>
        <w:t xml:space="preserve">Clinical Validation:</w:t>
      </w:r>
    </w:p>
    <w:p>
      <w:pPr>
        <w:pStyle w:val="ListParagraph"/>
        <w:numPr>
          <w:ilvl w:val="0"/>
          <w:numId w:val="2"/>
        </w:numPr>
      </w:pPr>
      <w:r>
        <w:t xml:space="preserve">How much to invest in pilot studies?</w:t>
      </w:r>
    </w:p>
    <w:p>
      <w:pPr>
        <w:pStyle w:val="ListParagraph"/>
        <w:numPr>
          <w:ilvl w:val="0"/>
          <w:numId w:val="2"/>
        </w:numPr>
      </w:pPr>
      <w:r>
        <w:t xml:space="preserve">Delays revenue but strengthens reimbursement case</w:t>
      </w:r>
    </w:p>
    <w:p>
      <w:pPr>
        <w:pStyle w:val="ListParagraph"/>
        <w:numPr>
          <w:ilvl w:val="0"/>
          <w:numId w:val="2"/>
        </w:numPr>
        <w:spacing w:after="120"/>
      </w:pPr>
      <w:r>
        <w:t xml:space="preserve">Partner with academic medical centers?</w:t>
      </w:r>
    </w:p>
    <w:p>
      <w:pPr>
        <w:spacing w:after="60"/>
      </w:pPr>
      <w:r>
        <w:rPr>
          <w:b/>
          <w:bCs/>
        </w:rPr>
        <w:t xml:space="preserve">Capital Strategy:</w:t>
      </w:r>
    </w:p>
    <w:p>
      <w:pPr>
        <w:pStyle w:val="ListParagraph"/>
        <w:numPr>
          <w:ilvl w:val="0"/>
          <w:numId w:val="2"/>
        </w:numPr>
      </w:pPr>
      <w:r>
        <w:t xml:space="preserve">Need significant capital: device subsidy + long sales cycles</w:t>
      </w:r>
    </w:p>
    <w:p>
      <w:pPr>
        <w:pStyle w:val="ListParagraph"/>
        <w:numPr>
          <w:ilvl w:val="0"/>
          <w:numId w:val="2"/>
        </w:numPr>
      </w:pPr>
      <w:r>
        <w:t xml:space="preserve">Seed: £2-4M (higher than other archetypes)</w:t>
      </w:r>
    </w:p>
    <w:p>
      <w:pPr>
        <w:pStyle w:val="ListParagraph"/>
        <w:numPr>
          <w:ilvl w:val="0"/>
          <w:numId w:val="2"/>
        </w:numPr>
        <w:spacing w:after="240"/>
      </w:pPr>
      <w:r>
        <w:t xml:space="preserve">Series A timing: after clinical validation complete</w:t>
      </w:r>
    </w:p>
    <w:p>
      <w:pPr>
        <w:pStyle w:val="Heading1"/>
      </w:pPr>
      <w:r>
        <w:t xml:space="preserve">5. How the Four Models Apply</w:t>
      </w:r>
    </w:p>
    <w:p>
      <w:pPr>
        <w:spacing w:after="60"/>
      </w:pPr>
      <w:r>
        <w:rPr>
          <w:b/>
          <w:bCs/>
        </w:rPr>
        <w:t xml:space="preserve">Investment Model:</w:t>
      </w:r>
      <w:r>
        <w:t xml:space="preserve"> Capital intensive due to device subsidy. As you scale, working capital needs explode. Clinical validation costs add to upfront investment.</w:t>
      </w:r>
    </w:p>
    <w:p>
      <w:pPr>
        <w:spacing w:after="60"/>
      </w:pPr>
      <w:r>
        <w:rPr>
          <w:b/>
          <w:bCs/>
        </w:rPr>
        <w:t xml:space="preserve">Revenue Model:</w:t>
      </w:r>
      <w:r>
        <w:t xml:space="preserve"> Hybrid: device revenue (one-time) + subscription (recurring). Subscription has SaaS-like characteristics but with hardware dependency.</w:t>
      </w:r>
    </w:p>
    <w:p>
      <w:pPr>
        <w:spacing w:after="60"/>
      </w:pPr>
      <w:r>
        <w:rPr>
          <w:b/>
          <w:bCs/>
        </w:rPr>
        <w:t xml:space="preserve">Cost Model:</w:t>
      </w:r>
      <w:r>
        <w:t xml:space="preserve"> Device COGS + clinical support + platform costs. Economies of scale emerge slowly due to clinical support needs.</w:t>
      </w:r>
    </w:p>
    <w:p>
      <w:pPr>
        <w:spacing w:after="240"/>
      </w:pPr>
      <w:r>
        <w:rPr>
          <w:b/>
          <w:bCs/>
        </w:rPr>
        <w:t xml:space="preserve">Cash Model:</w:t>
      </w:r>
      <w:r>
        <w:t xml:space="preserve"> THE CRITICAL MODEL. Device subsidy upfront, subscription monthly with lag, long sales cycles. Can be profitable but cash-starved.</w:t>
      </w:r>
    </w:p>
    <w:p>
      <w:pPr>
        <w:pStyle w:val="Heading1"/>
      </w:pPr>
      <w:r>
        <w:t xml:space="preserve">6. Example Scenarios</w:t>
      </w:r>
    </w:p>
    <w:p>
      <w:pPr>
        <w:spacing w:after="60"/>
      </w:pPr>
      <w:r>
        <w:rPr>
          <w:b/>
          <w:bCs/>
        </w:rPr>
        <w:t xml:space="preserve">Scenario A: B2B NHS Focus</w:t>
      </w:r>
    </w:p>
    <w:p>
      <w:pPr>
        <w:pStyle w:val="ListParagraph"/>
        <w:numPr>
          <w:ilvl w:val="0"/>
          <w:numId w:val="2"/>
        </w:numPr>
      </w:pPr>
      <w:r>
        <w:t xml:space="preserve">6-month pilot with 100 patients</w:t>
      </w:r>
    </w:p>
    <w:p>
      <w:pPr>
        <w:pStyle w:val="ListParagraph"/>
        <w:numPr>
          <w:ilvl w:val="0"/>
          <w:numId w:val="2"/>
        </w:numPr>
      </w:pPr>
      <w:r>
        <w:t xml:space="preserve">Device subsidy: £70 per patient (£7K upfront)</w:t>
      </w:r>
    </w:p>
    <w:p>
      <w:pPr>
        <w:pStyle w:val="ListParagraph"/>
        <w:numPr>
          <w:ilvl w:val="0"/>
          <w:numId w:val="2"/>
        </w:numPr>
      </w:pPr>
      <w:r>
        <w:t xml:space="preserve">After pilot: 12-month NHS contract for 2,000 patients</w:t>
      </w:r>
    </w:p>
    <w:p>
      <w:pPr>
        <w:pStyle w:val="ListParagraph"/>
        <w:numPr>
          <w:ilvl w:val="0"/>
          <w:numId w:val="2"/>
        </w:numPr>
      </w:pPr>
      <w:r>
        <w:t xml:space="preserve">Year 1 revenue: £100K (pilot) + £1.4M (contract) = £1.5M</w:t>
      </w:r>
    </w:p>
    <w:p>
      <w:pPr>
        <w:pStyle w:val="ListParagraph"/>
        <w:numPr>
          <w:ilvl w:val="0"/>
          <w:numId w:val="2"/>
        </w:numPr>
      </w:pPr>
      <w:r>
        <w:t xml:space="preserve">Device subsidy: £140K upfront</w:t>
      </w:r>
    </w:p>
    <w:p>
      <w:pPr>
        <w:pStyle w:val="ListParagraph"/>
        <w:numPr>
          <w:ilvl w:val="0"/>
          <w:numId w:val="2"/>
        </w:numPr>
        <w:spacing w:after="120"/>
      </w:pPr>
      <w:r>
        <w:t xml:space="preserve">Raise: £3M seed (validation + subsidy + 18-month runway)</w:t>
      </w:r>
    </w:p>
    <w:p>
      <w:pPr>
        <w:spacing w:after="60"/>
      </w:pPr>
      <w:r>
        <w:rPr>
          <w:b/>
          <w:bCs/>
        </w:rPr>
        <w:t xml:space="preserve">Scenario B: B2B2C Hybrid</w:t>
      </w:r>
    </w:p>
    <w:p>
      <w:pPr>
        <w:pStyle w:val="ListParagraph"/>
        <w:numPr>
          <w:ilvl w:val="0"/>
          <w:numId w:val="2"/>
        </w:numPr>
      </w:pPr>
      <w:r>
        <w:t xml:space="preserve">NHS coverage + direct patient sales</w:t>
      </w:r>
    </w:p>
    <w:p>
      <w:pPr>
        <w:pStyle w:val="ListParagraph"/>
        <w:numPr>
          <w:ilvl w:val="0"/>
          <w:numId w:val="2"/>
        </w:numPr>
      </w:pPr>
      <w:r>
        <w:t xml:space="preserve">Patients pay more (£150-200) reducing subsidy</w:t>
      </w:r>
    </w:p>
    <w:p>
      <w:pPr>
        <w:pStyle w:val="ListParagraph"/>
        <w:numPr>
          <w:ilvl w:val="0"/>
          <w:numId w:val="2"/>
        </w:numPr>
      </w:pPr>
      <w:r>
        <w:t xml:space="preserve">Lower device subsidy but slower adoption</w:t>
      </w:r>
    </w:p>
    <w:p>
      <w:pPr>
        <w:pStyle w:val="ListParagraph"/>
        <w:numPr>
          <w:ilvl w:val="0"/>
          <w:numId w:val="2"/>
        </w:numPr>
      </w:pPr>
      <w:r>
        <w:t xml:space="preserve">Year 1: 1,500 patients, £1.2M revenue</w:t>
      </w:r>
    </w:p>
    <w:p>
      <w:pPr>
        <w:pStyle w:val="ListParagraph"/>
        <w:numPr>
          <w:ilvl w:val="0"/>
          <w:numId w:val="2"/>
        </w:numPr>
        <w:spacing w:after="120"/>
      </w:pPr>
      <w:r>
        <w:t xml:space="preserve">Raise: £2.5M seed (lower subsidy need)</w:t>
      </w:r>
    </w:p>
    <w:p>
      <w:pPr>
        <w:spacing w:after="240"/>
      </w:pPr>
      <w:r>
        <w:rPr>
          <w:b/>
          <w:bCs/>
        </w:rPr>
        <w:t xml:space="preserve">Note:</w:t>
      </w:r>
      <w:r>
        <w:t xml:space="preserve"> This is the most complex archetype. Requires understanding of hardware + software + healthcare reimbursement. Best for ambitious groups comfortable with complexity.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pPr>
      <w:spacing w:before="240" w:after="120"/>
    </w:pPr>
    <w:rPr>
      <w:b/>
      <w:bCs/>
      <w:color w:val="1e3c72"/>
      <w:sz w:val="32"/>
      <w:szCs w:val="32"/>
    </w:rPr>
  </w:style>
  <w:style w:type="paragraph" w:styleId="Heading2">
    <w:pPr>
      <w:spacing w:before="180" w:after="90"/>
    </w:pPr>
    <w:rPr>
      <w:b/>
      <w:bCs/>
      <w:color w:val="1e3c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2026-01-08T09:28:08.524Z</dcterms:created>
  <dcterms:modified xsi:type="dcterms:W3CDTF">2026-01-08T09:28:08.525Z</dcterms:modified>
</cp:coreProperties>
</file>

<file path=docProps/custom.xml><?xml version="1.0" encoding="utf-8"?>
<Properties xmlns="http://schemas.openxmlformats.org/officeDocument/2006/custom-properties" xmlns:vt="http://schemas.openxmlformats.org/officeDocument/2006/docPropsVTypes"/>
</file>