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3e3d2259bdbd2f5d75119e3fa5efe3048d64cd0"/>
    <w:p>
      <w:pPr>
        <w:pStyle w:val="Heading1"/>
      </w:pPr>
      <w:r>
        <w:t xml:space="preserve">Домашнее задание по курсу Компьютерный практикум 2025, модуль 3, задание 2</w:t>
      </w:r>
    </w:p>
    <w:bookmarkStart w:id="20" w:name="тема-компьютерная-графика-шейдеры"/>
    <w:p>
      <w:pPr>
        <w:pStyle w:val="Heading2"/>
      </w:pPr>
      <w:r>
        <w:t xml:space="preserve">Тема: Компьютерная графика (шейдеры)</w:t>
      </w:r>
    </w:p>
    <w:p>
      <w:pPr>
        <w:pStyle w:val="Compact"/>
        <w:numPr>
          <w:ilvl w:val="0"/>
          <w:numId w:val="1001"/>
        </w:numPr>
      </w:pPr>
      <w:hyperlink w:anchor="X3e3d2259bdbd2f5d75119e3fa5efe3048d64cd0">
        <w:r>
          <w:rPr>
            <w:rStyle w:val="Hyperlink"/>
          </w:rPr>
          <w:t xml:space="preserve">Домашнее задание по курсу Компьютерный практикум 2025, модуль 3, задание 2</w:t>
        </w:r>
      </w:hyperlink>
    </w:p>
    <w:p>
      <w:pPr>
        <w:pStyle w:val="Compact"/>
        <w:numPr>
          <w:ilvl w:val="1"/>
          <w:numId w:val="1002"/>
        </w:numPr>
      </w:pPr>
      <w:hyperlink w:anchor="тема-компьютерная-графика-шейдеры">
        <w:r>
          <w:rPr>
            <w:rStyle w:val="Hyperlink"/>
          </w:rPr>
          <w:t xml:space="preserve">Тема: Компьютерная графика (шейдеры)</w:t>
        </w:r>
      </w:hyperlink>
    </w:p>
    <w:p>
      <w:pPr>
        <w:pStyle w:val="Compact"/>
        <w:numPr>
          <w:ilvl w:val="1"/>
          <w:numId w:val="1002"/>
        </w:numPr>
      </w:pPr>
      <w:hyperlink w:anchor="введение">
        <w:r>
          <w:rPr>
            <w:rStyle w:val="Hyperlink"/>
          </w:rPr>
          <w:t xml:space="preserve">Введение</w:t>
        </w:r>
      </w:hyperlink>
    </w:p>
    <w:p>
      <w:pPr>
        <w:pStyle w:val="Compact"/>
        <w:numPr>
          <w:ilvl w:val="1"/>
          <w:numId w:val="1002"/>
        </w:numPr>
      </w:pPr>
      <w:hyperlink w:anchor="заготовки">
        <w:r>
          <w:rPr>
            <w:rStyle w:val="Hyperlink"/>
          </w:rPr>
          <w:t xml:space="preserve">Заготовки</w:t>
        </w:r>
      </w:hyperlink>
    </w:p>
    <w:p>
      <w:pPr>
        <w:pStyle w:val="Compact"/>
        <w:numPr>
          <w:ilvl w:val="2"/>
          <w:numId w:val="1003"/>
        </w:numPr>
      </w:pPr>
      <w:hyperlink w:anchor="Xe2e993a32f4ef26ad7c1ed131ea86c22ab62d47">
        <w:r>
          <w:rPr>
            <w:rStyle w:val="Hyperlink"/>
          </w:rPr>
          <w:t xml:space="preserve">Условие задачи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</w:t>
        </w:r>
        <w:r>
          <w:rPr>
            <w:rStyle w:val="Hyperlink"/>
          </w:rPr>
          <w:t xml:space="preserve">Создать анимацию по выбранной теме</w:t>
        </w:r>
        <w:r>
          <w:rPr>
            <w:rStyle w:val="Hyperlink"/>
          </w:rPr>
          <w:t xml:space="preserve">”</w:t>
        </w:r>
      </w:hyperlink>
    </w:p>
    <w:p>
      <w:pPr>
        <w:pStyle w:val="Compact"/>
        <w:numPr>
          <w:ilvl w:val="1"/>
          <w:numId w:val="1002"/>
        </w:numPr>
      </w:pPr>
      <w:hyperlink w:anchor="штрафы">
        <w:r>
          <w:rPr>
            <w:rStyle w:val="Hyperlink"/>
          </w:rPr>
          <w:t xml:space="preserve">Штрафы</w:t>
        </w:r>
      </w:hyperlink>
    </w:p>
    <w:p>
      <w:pPr>
        <w:pStyle w:val="Compact"/>
        <w:numPr>
          <w:ilvl w:val="1"/>
          <w:numId w:val="1002"/>
        </w:numPr>
      </w:pPr>
      <w:hyperlink w:anchor="ссылки">
        <w:r>
          <w:rPr>
            <w:rStyle w:val="Hyperlink"/>
          </w:rPr>
          <w:t xml:space="preserve">Ссылки</w:t>
        </w:r>
      </w:hyperlink>
      <w:r>
        <w:t xml:space="preserve"> </w:t>
      </w:r>
    </w:p>
    <w:bookmarkEnd w:id="20"/>
    <w:bookmarkStart w:id="23" w:name="введение"/>
    <w:p>
      <w:pPr>
        <w:pStyle w:val="Heading2"/>
      </w:pPr>
      <w:r>
        <w:t xml:space="preserve">Введение</w:t>
      </w:r>
    </w:p>
    <w:p>
      <w:pPr>
        <w:pStyle w:val="FirstParagraph"/>
      </w:pPr>
      <w:r>
        <w:t xml:space="preserve">На семинарах были рассмотрены следующие темы:</w:t>
      </w:r>
    </w:p>
    <w:p>
      <w:pPr>
        <w:pStyle w:val="Compact"/>
        <w:numPr>
          <w:ilvl w:val="0"/>
          <w:numId w:val="1004"/>
        </w:numPr>
      </w:pPr>
      <w:r>
        <w:t xml:space="preserve">общие теоретические сведения о шейдерах, их связи с математикой</w:t>
      </w:r>
    </w:p>
    <w:p>
      <w:pPr>
        <w:pStyle w:val="Compact"/>
        <w:numPr>
          <w:ilvl w:val="0"/>
          <w:numId w:val="1004"/>
        </w:numPr>
      </w:pPr>
      <w:r>
        <w:t xml:space="preserve">поле расстояний со знаком</w:t>
      </w:r>
      <w:r>
        <w:t xml:space="preserve"> </w:t>
      </w:r>
      <w:r>
        <w:rPr>
          <w:rStyle w:val="VerbatimChar"/>
        </w:rPr>
        <w:t xml:space="preserve">SDF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SDF</w:t>
      </w:r>
      <w:r>
        <w:t xml:space="preserve"> </w:t>
      </w:r>
      <w:r>
        <w:t xml:space="preserve">для примитивов</w:t>
      </w:r>
    </w:p>
    <w:p>
      <w:pPr>
        <w:pStyle w:val="Compact"/>
        <w:numPr>
          <w:ilvl w:val="1"/>
          <w:numId w:val="1005"/>
        </w:numPr>
      </w:pPr>
      <w:r>
        <w:t xml:space="preserve">операции над</w:t>
      </w:r>
      <w:r>
        <w:t xml:space="preserve"> </w:t>
      </w:r>
      <w:r>
        <w:rPr>
          <w:rStyle w:val="VerbatimChar"/>
        </w:rPr>
        <w:t xml:space="preserve">SDF</w:t>
      </w:r>
    </w:p>
    <w:p>
      <w:pPr>
        <w:pStyle w:val="Compact"/>
        <w:numPr>
          <w:ilvl w:val="1"/>
          <w:numId w:val="1005"/>
        </w:numPr>
      </w:pPr>
      <w:r>
        <w:t xml:space="preserve">большой ресурс с реализациями</w:t>
      </w:r>
      <w:r>
        <w:t xml:space="preserve"> </w:t>
      </w:r>
      <w:r>
        <w:rPr>
          <w:rStyle w:val="VerbatimChar"/>
        </w:rPr>
        <w:t xml:space="preserve">SDF</w:t>
      </w:r>
      <w:r>
        <w:t xml:space="preserve"> </w:t>
      </w:r>
      <w:hyperlink r:id="rId21">
        <w:r>
          <w:rPr>
            <w:rStyle w:val="Hyperlink"/>
          </w:rPr>
          <w:t xml:space="preserve">iquilezles.org</w:t>
        </w:r>
      </w:hyperlink>
    </w:p>
    <w:p>
      <w:pPr>
        <w:pStyle w:val="Compact"/>
        <w:numPr>
          <w:ilvl w:val="0"/>
          <w:numId w:val="1004"/>
        </w:numPr>
      </w:pPr>
      <w:r>
        <w:t xml:space="preserve">линейные преобразования пространства</w:t>
      </w:r>
    </w:p>
    <w:p>
      <w:pPr>
        <w:pStyle w:val="Compact"/>
        <w:numPr>
          <w:ilvl w:val="1"/>
          <w:numId w:val="1006"/>
        </w:numPr>
      </w:pPr>
      <w:r>
        <w:t xml:space="preserve">параллельный перенос</w:t>
      </w:r>
    </w:p>
    <w:p>
      <w:pPr>
        <w:pStyle w:val="Compact"/>
        <w:numPr>
          <w:ilvl w:val="1"/>
          <w:numId w:val="1006"/>
        </w:numPr>
      </w:pPr>
      <w:r>
        <w:t xml:space="preserve">поворот</w:t>
      </w:r>
    </w:p>
    <w:p>
      <w:pPr>
        <w:pStyle w:val="Compact"/>
        <w:numPr>
          <w:ilvl w:val="1"/>
          <w:numId w:val="1006"/>
        </w:numPr>
      </w:pPr>
      <w:r>
        <w:t xml:space="preserve">масштабирование</w:t>
      </w:r>
    </w:p>
    <w:p>
      <w:pPr>
        <w:pStyle w:val="Compact"/>
        <w:numPr>
          <w:ilvl w:val="0"/>
          <w:numId w:val="1004"/>
        </w:numPr>
      </w:pPr>
      <w:r>
        <w:t xml:space="preserve">нелинейные преобразования пространства</w:t>
      </w:r>
    </w:p>
    <w:p>
      <w:pPr>
        <w:pStyle w:val="Compact"/>
        <w:numPr>
          <w:ilvl w:val="1"/>
          <w:numId w:val="1007"/>
        </w:numPr>
      </w:pPr>
      <w:r>
        <w:t xml:space="preserve">отражение</w:t>
      </w:r>
    </w:p>
    <w:p>
      <w:pPr>
        <w:pStyle w:val="Compact"/>
        <w:numPr>
          <w:ilvl w:val="1"/>
          <w:numId w:val="1007"/>
        </w:numPr>
      </w:pPr>
      <w:r>
        <w:t xml:space="preserve">повторение</w:t>
      </w:r>
    </w:p>
    <w:p>
      <w:pPr>
        <w:pStyle w:val="Compact"/>
        <w:numPr>
          <w:ilvl w:val="0"/>
          <w:numId w:val="1004"/>
        </w:numPr>
      </w:pPr>
      <w:r>
        <w:t xml:space="preserve">некоторые сглаживающие функции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smoothstep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smoothmin</w:t>
      </w:r>
    </w:p>
    <w:p>
      <w:pPr>
        <w:pStyle w:val="Compact"/>
        <w:numPr>
          <w:ilvl w:val="0"/>
          <w:numId w:val="1004"/>
        </w:numPr>
      </w:pPr>
      <w:r>
        <w:t xml:space="preserve">инструмент для визуального построения функций</w:t>
      </w:r>
      <w:r>
        <w:t xml:space="preserve"> </w:t>
      </w:r>
      <w:hyperlink r:id="rId22">
        <w:r>
          <w:rPr>
            <w:rStyle w:val="Hyperlink"/>
          </w:rPr>
          <w:t xml:space="preserve">graphtoy.com</w:t>
        </w:r>
      </w:hyperlink>
    </w:p>
    <w:p>
      <w:pPr>
        <w:pStyle w:val="Compact"/>
        <w:numPr>
          <w:ilvl w:val="0"/>
          <w:numId w:val="1004"/>
        </w:numPr>
      </w:pPr>
      <w:r>
        <w:t xml:space="preserve">простейшая работа с цветами</w:t>
      </w:r>
    </w:p>
    <w:p>
      <w:pPr>
        <w:pStyle w:val="Compact"/>
        <w:numPr>
          <w:ilvl w:val="1"/>
          <w:numId w:val="1009"/>
        </w:numPr>
      </w:pPr>
      <w:r>
        <w:t xml:space="preserve">ограничение</w:t>
      </w:r>
      <w:r>
        <w:t xml:space="preserve"> </w:t>
      </w:r>
      <w:r>
        <w:rPr>
          <w:rStyle w:val="VerbatimChar"/>
        </w:rPr>
        <w:t xml:space="preserve">clamp</w:t>
      </w:r>
    </w:p>
    <w:p>
      <w:pPr>
        <w:pStyle w:val="Compact"/>
        <w:numPr>
          <w:ilvl w:val="1"/>
          <w:numId w:val="1009"/>
        </w:numPr>
      </w:pPr>
      <w:r>
        <w:t xml:space="preserve">смешивание</w:t>
      </w:r>
      <w:r>
        <w:t xml:space="preserve"> </w:t>
      </w:r>
      <w:r>
        <w:rPr>
          <w:rStyle w:val="VerbatimChar"/>
        </w:rPr>
        <w:t xml:space="preserve">mix</w:t>
      </w:r>
    </w:p>
    <w:p>
      <w:pPr>
        <w:pStyle w:val="Compact"/>
        <w:numPr>
          <w:ilvl w:val="0"/>
          <w:numId w:val="1004"/>
        </w:numPr>
      </w:pPr>
      <w:r>
        <w:t xml:space="preserve">библиотека</w:t>
      </w:r>
      <w:r>
        <w:t xml:space="preserve"> </w:t>
      </w:r>
      <w:r>
        <w:rPr>
          <w:rStyle w:val="VerbatimChar"/>
        </w:rPr>
        <w:t xml:space="preserve">Taichi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позволяющая создавать шейдеры на</w:t>
      </w:r>
      <w:r>
        <w:t xml:space="preserve"> </w:t>
      </w:r>
      <w:r>
        <w:rPr>
          <w:rStyle w:val="VerbatimChar"/>
        </w:rPr>
        <w:t xml:space="preserve">Python</w:t>
      </w:r>
    </w:p>
    <w:p>
      <w:pPr>
        <w:pStyle w:val="Compact"/>
        <w:numPr>
          <w:ilvl w:val="1"/>
          <w:numId w:val="1010"/>
        </w:numPr>
      </w:pPr>
      <w:r>
        <w:t xml:space="preserve">модули</w:t>
      </w:r>
      <w:r>
        <w:t xml:space="preserve"> </w:t>
      </w:r>
      <w:r>
        <w:rPr>
          <w:rStyle w:val="VerbatimChar"/>
        </w:rPr>
        <w:t xml:space="preserve">taichi</w:t>
      </w:r>
      <w:r>
        <w:t xml:space="preserve">,</w:t>
      </w:r>
      <w:r>
        <w:t xml:space="preserve"> </w:t>
      </w:r>
      <w:r>
        <w:rPr>
          <w:rStyle w:val="VerbatimChar"/>
        </w:rPr>
        <w:t xml:space="preserve">taichi.math</w:t>
      </w:r>
    </w:p>
    <w:p>
      <w:pPr>
        <w:pStyle w:val="Compact"/>
        <w:numPr>
          <w:ilvl w:val="1"/>
          <w:numId w:val="1010"/>
        </w:numPr>
      </w:pPr>
      <w:r>
        <w:t xml:space="preserve">декораторы функций</w:t>
      </w:r>
      <w:r>
        <w:t xml:space="preserve"> </w:t>
      </w:r>
      <w:r>
        <w:rPr>
          <w:rStyle w:val="VerbatimChar"/>
        </w:rPr>
        <w:t xml:space="preserve">ti.func</w:t>
      </w:r>
      <w:r>
        <w:t xml:space="preserve">,</w:t>
      </w:r>
      <w:r>
        <w:t xml:space="preserve"> </w:t>
      </w:r>
      <w:r>
        <w:rPr>
          <w:rStyle w:val="VerbatimChar"/>
        </w:rPr>
        <w:t xml:space="preserve">ti.kernel</w:t>
      </w:r>
    </w:p>
    <w:p>
      <w:pPr>
        <w:pStyle w:val="Compact"/>
        <w:numPr>
          <w:ilvl w:val="1"/>
          <w:numId w:val="1010"/>
        </w:numPr>
      </w:pPr>
      <w:r>
        <w:t xml:space="preserve">декоратор классов</w:t>
      </w:r>
      <w:r>
        <w:t xml:space="preserve"> </w:t>
      </w:r>
      <w:r>
        <w:rPr>
          <w:rStyle w:val="VerbatimChar"/>
        </w:rPr>
        <w:t xml:space="preserve">ti.data_oriented</w:t>
      </w:r>
    </w:p>
    <w:p>
      <w:pPr>
        <w:pStyle w:val="Compact"/>
        <w:numPr>
          <w:ilvl w:val="1"/>
          <w:numId w:val="1010"/>
        </w:numPr>
      </w:pPr>
      <w:r>
        <w:t xml:space="preserve">массивы данных (поля в терминологии</w:t>
      </w:r>
      <w:r>
        <w:t xml:space="preserve"> </w:t>
      </w:r>
      <w:r>
        <w:rPr>
          <w:rStyle w:val="VerbatimChar"/>
        </w:rPr>
        <w:t xml:space="preserve">taichi</w:t>
      </w:r>
      <w:r>
        <w:t xml:space="preserve">):</w:t>
      </w:r>
      <w:r>
        <w:t xml:space="preserve"> </w:t>
      </w:r>
      <w:r>
        <w:rPr>
          <w:rStyle w:val="VerbatimChar"/>
        </w:rPr>
        <w:t xml:space="preserve">ti.field</w:t>
      </w:r>
      <w:r>
        <w:t xml:space="preserve">,</w:t>
      </w:r>
      <w:r>
        <w:t xml:space="preserve"> </w:t>
      </w:r>
      <w:r>
        <w:rPr>
          <w:rStyle w:val="VerbatimChar"/>
        </w:rPr>
        <w:t xml:space="preserve">ti.Vector.field</w:t>
      </w:r>
    </w:p>
    <w:p>
      <w:pPr>
        <w:pStyle w:val="Compact"/>
        <w:numPr>
          <w:ilvl w:val="1"/>
          <w:numId w:val="1010"/>
        </w:numPr>
      </w:pPr>
      <w:r>
        <w:t xml:space="preserve">создание окна и вывод кадра на экран</w:t>
      </w:r>
    </w:p>
    <w:p>
      <w:pPr>
        <w:pStyle w:val="Compact"/>
        <w:numPr>
          <w:ilvl w:val="0"/>
          <w:numId w:val="1004"/>
        </w:numPr>
      </w:pPr>
      <w:r>
        <w:t xml:space="preserve">построение нескольких анимаций как функций пространства и времени</w:t>
      </w:r>
    </w:p>
    <w:bookmarkEnd w:id="23"/>
    <w:bookmarkStart w:id="25" w:name="заготовки"/>
    <w:p>
      <w:pPr>
        <w:pStyle w:val="Heading2"/>
      </w:pPr>
      <w:r>
        <w:t xml:space="preserve">Заготовки</w:t>
      </w:r>
    </w:p>
    <w:p>
      <w:pPr>
        <w:pStyle w:val="FirstParagraph"/>
      </w:pPr>
      <w:r>
        <w:t xml:space="preserve">В папке с материалами к третьему модулю находятся файлы, которые можно использовать при решении этого задания.</w:t>
      </w:r>
      <w:r>
        <w:t xml:space="preserve"> </w:t>
      </w:r>
      <w:r>
        <w:t xml:space="preserve">Если эти файлы будут использованы, то необходимо в них, также как и в Вашем коде, задокументировать</w:t>
      </w:r>
      <w:r>
        <w:t xml:space="preserve"> </w:t>
      </w:r>
      <w:r>
        <w:t xml:space="preserve">все функции / методы / классы.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core.py</w:t>
      </w:r>
      <w:r>
        <w:t xml:space="preserve"> </w:t>
      </w:r>
      <w:r>
        <w:t xml:space="preserve">- набор базовых функций (хэш-функции, сглаживающие функции и др.)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gui.py</w:t>
      </w:r>
      <w:r>
        <w:t xml:space="preserve"> </w:t>
      </w:r>
      <w:r>
        <w:t xml:space="preserve">- код, рассмотренный на семинарах оформлен в виде класса</w:t>
      </w:r>
      <w:r>
        <w:t xml:space="preserve"> </w:t>
      </w:r>
      <w:r>
        <w:rPr>
          <w:rStyle w:val="VerbatimChar"/>
        </w:rPr>
        <w:t xml:space="preserve">BaseShader</w:t>
      </w:r>
      <w:r>
        <w:t xml:space="preserve">;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colors.py</w:t>
      </w:r>
      <w:r>
        <w:t xml:space="preserve"> </w:t>
      </w:r>
      <w:r>
        <w:t xml:space="preserve">- цвета и палитры (функции для расчета цветов);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sdf.py</w:t>
      </w:r>
      <w:r>
        <w:t xml:space="preserve"> </w:t>
      </w:r>
      <w:r>
        <w:t xml:space="preserve">- реализация некоторых</w:t>
      </w:r>
      <w:r>
        <w:t xml:space="preserve"> </w:t>
      </w:r>
      <w:r>
        <w:rPr>
          <w:rStyle w:val="VerbatimChar"/>
        </w:rPr>
        <w:t xml:space="preserve">SDF</w:t>
      </w:r>
      <w:r>
        <w:t xml:space="preserve">;</w:t>
      </w:r>
    </w:p>
    <w:p>
      <w:pPr>
        <w:pStyle w:val="FirstParagraph"/>
      </w:pPr>
      <w:r>
        <w:t xml:space="preserve">Для работы Вашего шейдера необходимо:</w:t>
      </w:r>
    </w:p>
    <w:p>
      <w:pPr>
        <w:pStyle w:val="Compact"/>
        <w:numPr>
          <w:ilvl w:val="0"/>
          <w:numId w:val="1012"/>
        </w:numPr>
      </w:pPr>
      <w:r>
        <w:t xml:space="preserve">унаследовать свой класс от</w:t>
      </w:r>
      <w:r>
        <w:t xml:space="preserve"> </w:t>
      </w:r>
      <w:r>
        <w:rPr>
          <w:rStyle w:val="VerbatimChar"/>
        </w:rPr>
        <w:t xml:space="preserve">BaseShader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перегрузить метод</w:t>
      </w:r>
      <w:r>
        <w:t xml:space="preserve"> </w:t>
      </w:r>
      <w:r>
        <w:rPr>
          <w:rStyle w:val="VerbatimChar"/>
        </w:rPr>
        <w:t xml:space="preserve">main_image</w:t>
      </w:r>
      <w:r>
        <w:t xml:space="preserve">,</w:t>
      </w:r>
    </w:p>
    <w:p>
      <w:pPr>
        <w:pStyle w:val="Compact"/>
        <w:numPr>
          <w:ilvl w:val="0"/>
          <w:numId w:val="1012"/>
        </w:numPr>
      </w:pPr>
      <w:r>
        <w:t xml:space="preserve">написать блок</w:t>
      </w:r>
      <w:r>
        <w:t xml:space="preserve"> </w:t>
      </w:r>
      <w:r>
        <w:rPr>
          <w:rStyle w:val="VerbatimChar"/>
        </w:rPr>
        <w:t xml:space="preserve">if __name__ == "__main": ...</w:t>
      </w:r>
      <w:r>
        <w:t xml:space="preserve"> </w:t>
      </w:r>
      <w:r>
        <w:t xml:space="preserve">(пример - в файле</w:t>
      </w:r>
      <w:r>
        <w:t xml:space="preserve"> </w:t>
      </w:r>
      <w:r>
        <w:rPr>
          <w:rStyle w:val="VerbatimChar"/>
        </w:rPr>
        <w:t xml:space="preserve">gui.py</w:t>
      </w:r>
      <w:r>
        <w:t xml:space="preserve">)</w:t>
      </w:r>
    </w:p>
    <w:bookmarkStart w:id="24" w:name="Xe2e993a32f4ef26ad7c1ed131ea86c22ab62d47"/>
    <w:p>
      <w:pPr>
        <w:pStyle w:val="Heading3"/>
      </w:pPr>
      <w:r>
        <w:t xml:space="preserve">Условие задачи</w:t>
      </w:r>
      <w:r>
        <w:t xml:space="preserve"> </w:t>
      </w:r>
      <w:r>
        <w:t xml:space="preserve">“</w:t>
      </w:r>
      <w:r>
        <w:t xml:space="preserve">Создать анимацию по выбранной теме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Дано:</w:t>
      </w:r>
    </w:p>
    <w:p>
      <w:pPr>
        <w:pStyle w:val="Compact"/>
        <w:numPr>
          <w:ilvl w:val="0"/>
          <w:numId w:val="1013"/>
        </w:numPr>
      </w:pPr>
      <w:r>
        <w:t xml:space="preserve">таблица для выбора темы</w:t>
      </w:r>
    </w:p>
    <w:p>
      <w:pPr>
        <w:pStyle w:val="Compact"/>
        <w:numPr>
          <w:ilvl w:val="0"/>
          <w:numId w:val="1013"/>
        </w:numPr>
      </w:pPr>
      <w:r>
        <w:t xml:space="preserve">ограничения на анимацию:</w:t>
      </w:r>
    </w:p>
    <w:p>
      <w:pPr>
        <w:numPr>
          <w:ilvl w:val="1"/>
          <w:numId w:val="1014"/>
        </w:numPr>
      </w:pPr>
      <w:r>
        <w:t xml:space="preserve">не менее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элементов</w:t>
      </w:r>
    </w:p>
    <w:p>
      <w:pPr>
        <w:numPr>
          <w:ilvl w:val="1"/>
          <w:numId w:val="1014"/>
        </w:numPr>
      </w:pPr>
      <w:r>
        <w:t xml:space="preserve">присутствие всех видов элементов:</w:t>
      </w:r>
    </w:p>
    <w:p>
      <w:pPr>
        <w:pStyle w:val="Compact"/>
        <w:numPr>
          <w:ilvl w:val="2"/>
          <w:numId w:val="1015"/>
        </w:numPr>
      </w:pPr>
      <w:r>
        <w:rPr>
          <w:rStyle w:val="VerbatimChar"/>
        </w:rPr>
        <w:t xml:space="preserve">SDF</w:t>
      </w:r>
    </w:p>
    <w:p>
      <w:pPr>
        <w:pStyle w:val="Compact"/>
        <w:numPr>
          <w:ilvl w:val="2"/>
          <w:numId w:val="1015"/>
        </w:numPr>
      </w:pPr>
      <w:r>
        <w:t xml:space="preserve">функции вида</w:t>
      </w:r>
      <w:r>
        <w:t xml:space="preserve"> </w:t>
      </w:r>
      <w:r>
        <w:rPr>
          <w:rStyle w:val="VerbatimChar"/>
        </w:rPr>
        <w:t xml:space="preserve">f(x)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f(x, t)</w:t>
      </w:r>
    </w:p>
    <w:p>
      <w:pPr>
        <w:pStyle w:val="Compact"/>
        <w:numPr>
          <w:ilvl w:val="2"/>
          <w:numId w:val="1015"/>
        </w:numPr>
      </w:pPr>
      <w:r>
        <w:t xml:space="preserve">преобразования пространства линейные</w:t>
      </w:r>
    </w:p>
    <w:p>
      <w:pPr>
        <w:pStyle w:val="Compact"/>
        <w:numPr>
          <w:ilvl w:val="2"/>
          <w:numId w:val="1015"/>
        </w:numPr>
      </w:pPr>
      <w:r>
        <w:t xml:space="preserve">преобразования пространства нелинейные</w:t>
      </w:r>
    </w:p>
    <w:p>
      <w:pPr>
        <w:pStyle w:val="Compact"/>
        <w:numPr>
          <w:ilvl w:val="2"/>
          <w:numId w:val="1015"/>
        </w:numPr>
      </w:pPr>
      <w:r>
        <w:t xml:space="preserve">сглаживающие функции</w:t>
      </w:r>
    </w:p>
    <w:p>
      <w:pPr>
        <w:pStyle w:val="Compact"/>
        <w:numPr>
          <w:ilvl w:val="2"/>
          <w:numId w:val="1015"/>
        </w:numPr>
      </w:pPr>
      <w:r>
        <w:t xml:space="preserve">смешивание цветов</w:t>
      </w:r>
    </w:p>
    <w:p>
      <w:pPr>
        <w:pStyle w:val="FirstParagraph"/>
      </w:pPr>
      <w:r>
        <w:rPr>
          <w:b/>
          <w:bCs/>
        </w:rPr>
        <w:t xml:space="preserve">Требуется:</w:t>
      </w:r>
    </w:p>
    <w:p>
      <w:pPr>
        <w:pStyle w:val="Compact"/>
        <w:numPr>
          <w:ilvl w:val="0"/>
          <w:numId w:val="1016"/>
        </w:numPr>
      </w:pPr>
      <w:r>
        <w:t xml:space="preserve">заполнить свою строку в таблице для выбора темы (тема и краткое описание);</w:t>
      </w:r>
    </w:p>
    <w:p>
      <w:pPr>
        <w:pStyle w:val="Compact"/>
        <w:numPr>
          <w:ilvl w:val="0"/>
          <w:numId w:val="1016"/>
        </w:numPr>
      </w:pPr>
      <w:r>
        <w:t xml:space="preserve">используя библиотеку</w:t>
      </w:r>
      <w:r>
        <w:t xml:space="preserve"> </w:t>
      </w:r>
      <w:r>
        <w:rPr>
          <w:rStyle w:val="VerbatimChar"/>
        </w:rPr>
        <w:t xml:space="preserve">Taichi</w:t>
      </w:r>
      <w:r>
        <w:t xml:space="preserve"> </w:t>
      </w:r>
      <w:r>
        <w:t xml:space="preserve">создать анимацию по выбранной теме с учетом указанных ограничений;</w:t>
      </w:r>
    </w:p>
    <w:p>
      <w:pPr>
        <w:pStyle w:val="Compact"/>
        <w:numPr>
          <w:ilvl w:val="0"/>
          <w:numId w:val="1016"/>
        </w:numPr>
      </w:pPr>
      <w:r>
        <w:t xml:space="preserve">задокументировать все функции / методы / классы;</w:t>
      </w:r>
    </w:p>
    <w:p>
      <w:pPr>
        <w:pStyle w:val="Compact"/>
        <w:numPr>
          <w:ilvl w:val="0"/>
          <w:numId w:val="1016"/>
        </w:numPr>
      </w:pPr>
      <w:r>
        <w:t xml:space="preserve">прокомментировать все реализованные элементы в коде;</w:t>
      </w:r>
    </w:p>
    <w:bookmarkEnd w:id="24"/>
    <w:bookmarkEnd w:id="25"/>
    <w:bookmarkStart w:id="26" w:name="штрафы"/>
    <w:p>
      <w:pPr>
        <w:pStyle w:val="Heading2"/>
      </w:pPr>
      <w:r>
        <w:t xml:space="preserve">Штрафы</w:t>
      </w:r>
    </w:p>
    <w:p>
      <w:pPr>
        <w:pStyle w:val="Compact"/>
        <w:numPr>
          <w:ilvl w:val="0"/>
          <w:numId w:val="1017"/>
        </w:numPr>
      </w:pPr>
      <w:r>
        <w:t xml:space="preserve">не выполнена документирование функций / методов / классов - 20</w:t>
      </w:r>
    </w:p>
    <w:p>
      <w:pPr>
        <w:pStyle w:val="Compact"/>
        <w:numPr>
          <w:ilvl w:val="0"/>
          <w:numId w:val="1017"/>
        </w:numPr>
      </w:pPr>
      <w:r>
        <w:t xml:space="preserve">нет комментариев к реализованным элементам - 20</w:t>
      </w:r>
    </w:p>
    <w:p>
      <w:pPr>
        <w:pStyle w:val="Compact"/>
        <w:numPr>
          <w:ilvl w:val="0"/>
          <w:numId w:val="1017"/>
        </w:numPr>
      </w:pPr>
      <w:r>
        <w:t xml:space="preserve">менее 10 элементов анимации - 5 * max(0, 10 - количество выполненных элементов)</w:t>
      </w:r>
    </w:p>
    <w:p>
      <w:pPr>
        <w:pStyle w:val="Compact"/>
        <w:numPr>
          <w:ilvl w:val="0"/>
          <w:numId w:val="1017"/>
        </w:numPr>
      </w:pPr>
      <w:r>
        <w:t xml:space="preserve">не все типы элементов представлены - 10 * max(0, 6 - количество представленных типов)</w:t>
      </w:r>
    </w:p>
    <w:bookmarkEnd w:id="26"/>
    <w:bookmarkStart w:id="29" w:name="ссылки"/>
    <w:p>
      <w:pPr>
        <w:pStyle w:val="Heading2"/>
      </w:pPr>
      <w:r>
        <w:t xml:space="preserve">Ссылки</w:t>
      </w:r>
    </w:p>
    <w:p>
      <w:pPr>
        <w:pStyle w:val="Compact"/>
        <w:numPr>
          <w:ilvl w:val="0"/>
          <w:numId w:val="1018"/>
        </w:numPr>
      </w:pPr>
      <w:hyperlink r:id="rId21">
        <w:r>
          <w:rPr>
            <w:rStyle w:val="Hyperlink"/>
          </w:rPr>
          <w:t xml:space="preserve">iquilezles.org</w:t>
        </w:r>
      </w:hyperlink>
    </w:p>
    <w:p>
      <w:pPr>
        <w:pStyle w:val="Compact"/>
        <w:numPr>
          <w:ilvl w:val="0"/>
          <w:numId w:val="1018"/>
        </w:numPr>
      </w:pPr>
      <w:hyperlink r:id="rId22">
        <w:r>
          <w:rPr>
            <w:rStyle w:val="Hyperlink"/>
          </w:rPr>
          <w:t xml:space="preserve">graphtoy.com</w:t>
        </w:r>
      </w:hyperlink>
    </w:p>
    <w:p>
      <w:pPr>
        <w:pStyle w:val="Compact"/>
        <w:numPr>
          <w:ilvl w:val="0"/>
          <w:numId w:val="1018"/>
        </w:numPr>
      </w:pPr>
      <w:hyperlink r:id="rId27">
        <w:r>
          <w:rPr>
            <w:rStyle w:val="Hyperlink"/>
          </w:rPr>
          <w:t xml:space="preserve">Палитры</w:t>
        </w:r>
      </w:hyperlink>
    </w:p>
    <w:p>
      <w:pPr>
        <w:pStyle w:val="Compact"/>
        <w:numPr>
          <w:ilvl w:val="0"/>
          <w:numId w:val="1018"/>
        </w:numPr>
      </w:pPr>
      <w:hyperlink r:id="rId28">
        <w:r>
          <w:rPr>
            <w:rStyle w:val="Hyperlink"/>
          </w:rPr>
          <w:t xml:space="preserve">www.taichi-lang.org</w:t>
        </w:r>
      </w:hyperlink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://graphtoy.com" TargetMode="External" /><Relationship Type="http://schemas.openxmlformats.org/officeDocument/2006/relationships/hyperlink" Id="rId21" Target="https://iquilezles.org/" TargetMode="External" /><Relationship Type="http://schemas.openxmlformats.org/officeDocument/2006/relationships/hyperlink" Id="rId27" Target="https://www.shadertoy.com/view/4dsSzr" TargetMode="External" /><Relationship Type="http://schemas.openxmlformats.org/officeDocument/2006/relationships/hyperlink" Id="rId28" Target="https://www.taichi-lang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://graphtoy.com" TargetMode="External" /><Relationship Type="http://schemas.openxmlformats.org/officeDocument/2006/relationships/hyperlink" Id="rId21" Target="https://iquilezles.org/" TargetMode="External" /><Relationship Type="http://schemas.openxmlformats.org/officeDocument/2006/relationships/hyperlink" Id="rId27" Target="https://www.shadertoy.com/view/4dsSzr" TargetMode="External" /><Relationship Type="http://schemas.openxmlformats.org/officeDocument/2006/relationships/hyperlink" Id="rId28" Target="https://www.taichi-lang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2026-03-30T09:23:08Z</dcterms:created>
  <dcterms:modified xsi:type="dcterms:W3CDTF">2026-03-30T09:23:08Z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