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abelle"/>
        <w:keepNext w:val="true"/>
        <w:spacing w:before="120" w:after="120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Tabelle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 Inclusion and exclusion criteria of enrolled participants</w:t>
      </w:r>
    </w:p>
    <w:tbl>
      <w:tblPr>
        <w:tblStyle w:val="Tabellenraster"/>
        <w:tblW w:w="9068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40"/>
        <w:gridCol w:w="4528"/>
      </w:tblGrid>
      <w:tr>
        <w:trPr/>
        <w:tc>
          <w:tcPr>
            <w:tcW w:w="454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b/>
                <w:bCs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Inclusion criteria</w:t>
            </w:r>
          </w:p>
        </w:tc>
        <w:tc>
          <w:tcPr>
            <w:tcW w:w="45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b/>
                <w:bCs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Exclusion criteria</w:t>
            </w:r>
          </w:p>
        </w:tc>
      </w:tr>
      <w:tr>
        <w:trPr/>
        <w:tc>
          <w:tcPr>
            <w:tcW w:w="454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Male and female patients with a clinical diagnosis of Parkinson's disease according to the current MDS criteriac [PMID: 26474316]</w:t>
            </w:r>
          </w:p>
        </w:tc>
        <w:tc>
          <w:tcPr>
            <w:tcW w:w="45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Atypical and secondary parkinsonian syndromes</w:t>
            </w:r>
          </w:p>
        </w:tc>
      </w:tr>
      <w:tr>
        <w:trPr/>
        <w:tc>
          <w:tcPr>
            <w:tcW w:w="454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Age between 45 and 100 years</w:t>
            </w:r>
          </w:p>
        </w:tc>
        <w:tc>
          <w:tcPr>
            <w:tcW w:w="45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Concomitant diseases such as neoplasias in the brain, mania or congestive heart failure (NYHA stage IV)</w:t>
            </w:r>
          </w:p>
        </w:tc>
      </w:tr>
      <w:tr>
        <w:trPr/>
        <w:tc>
          <w:tcPr>
            <w:tcW w:w="454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Ability to provide informed consent</w:t>
            </w:r>
          </w:p>
        </w:tc>
        <w:tc>
          <w:tcPr>
            <w:tcW w:w="45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Severe depressive episode or history of depression (BDI-II score &gt; 29)</w:t>
            </w:r>
          </w:p>
        </w:tc>
      </w:tr>
      <w:tr>
        <w:trPr/>
        <w:tc>
          <w:tcPr>
            <w:tcW w:w="454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Stability of Parkinson's medication for at least four weeks</w:t>
            </w:r>
          </w:p>
        </w:tc>
        <w:tc>
          <w:tcPr>
            <w:tcW w:w="45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Signs of Parkinson dementia (PANDA Score &lt; 14 ) [PMID: 17707678] or dementia in healthy control subjects (MMSE score &lt; 19)</w:t>
            </w:r>
          </w:p>
        </w:tc>
      </w:tr>
      <w:tr>
        <w:trPr/>
        <w:tc>
          <w:tcPr>
            <w:tcW w:w="454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Examination period preferably within two weeks</w:t>
            </w:r>
          </w:p>
        </w:tc>
        <w:tc>
          <w:tcPr>
            <w:tcW w:w="45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Expected non-complicance</w:t>
            </w:r>
          </w:p>
        </w:tc>
      </w:tr>
      <w:tr>
        <w:trPr/>
        <w:tc>
          <w:tcPr>
            <w:tcW w:w="4540" w:type="dxa"/>
            <w:tcBorders/>
          </w:tcPr>
          <w:p>
            <w:pPr>
              <w:pStyle w:val="BodyText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45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Unpredictable ON/OFF fluctuations</w:t>
            </w:r>
          </w:p>
        </w:tc>
      </w:tr>
      <w:tr>
        <w:trPr/>
        <w:tc>
          <w:tcPr>
            <w:tcW w:w="454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45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 w:cs="" w:ascii="Calibri" w:hAnsi="Calibri"/>
                <w:kern w:val="2"/>
                <w:sz w:val="22"/>
                <w:szCs w:val="22"/>
                <w:shd w:fill="auto" w:val="clear"/>
                <w:lang w:val="de-DE" w:eastAsia="en-US" w:bidi="ar-SA"/>
              </w:rPr>
              <w:t>Treatment with Deep Brain Stimulation (DBS)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9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Tabelle">
    <w:name w:val="Tabelle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LibreOffice/25.8.3.2$Linux_X86_64 LibreOffice_project/580$Build-2</Application>
  <AppVersion>15.0000</AppVersion>
  <Pages>1</Pages>
  <Words>122</Words>
  <Characters>732</Characters>
  <CharactersWithSpaces>840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2025-01-01T21:02:02Z</dcterms:created>
  <dc:creator/>
  <dc:description/>
  <dc:language>de-DE</dc:language>
  <cp:lastModifiedBy>David Pedrosa</cp:lastModifiedBy>
  <dcterms:modified xsi:type="dcterms:W3CDTF">2025-11-16T12:48:07Z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