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Databases:</w:t>
      </w:r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/>
      </w:pPr>
      <w:r>
        <w:rPr>
          <w:rFonts w:eastAsia="Calibri" w:cs="Calibri"/>
        </w:rPr>
        <w:t xml:space="preserve">MEDLINE –  </w:t>
      </w:r>
      <w:hyperlink r:id="rId2">
        <w:r>
          <w:rPr>
            <w:rStyle w:val="Internetverknpfung"/>
            <w:rFonts w:eastAsia="Calibri" w:cs="Calibri"/>
          </w:rPr>
          <w:t>https://ovidsp.ovid.com/ovidweb.cgi?T=JS&amp;CSC=Y&amp;NEWS=N&amp;PAGE=titles&amp;SEARCHNAME=total_-wTremor&amp;SEARCHTYPE=ps&amp;SEARCHLEVEL=pin&amp;D=mesz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200"/>
        <w:ind w:left="72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PsycINFO – </w:t>
      </w:r>
    </w:p>
    <w:p>
      <w:pPr>
        <w:pStyle w:val="Normal"/>
        <w:spacing w:lineRule="auto" w:line="276" w:before="0" w:after="200"/>
        <w:ind w:left="720" w:hanging="0"/>
        <w:rPr/>
      </w:pPr>
      <w:hyperlink r:id="rId3">
        <w:r>
          <w:rPr>
            <w:rStyle w:val="Internetverknpfung"/>
            <w:rFonts w:eastAsia="Calibri" w:cs="Calibri"/>
          </w:rPr>
          <w:t>https://hds.hebis.de/ubmr/Record/HEB101886756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200"/>
        <w:ind w:left="1080" w:hanging="360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Suchstrategie: </w:t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1. tremor.ti,ab.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2. tremor/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3. 1 or 2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4. parkinson$.ti,ab.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5. parkinson disease/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6. 4 or 5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7. 3 and 6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  <w:lang w:val="en-GB"/>
        </w:rPr>
      </w:pPr>
      <w:r>
        <w:rPr>
          <w:rFonts w:eastAsia="Calibri" w:cs="Calibri"/>
          <w:lang w:val="en-GB"/>
        </w:rPr>
        <w:t xml:space="preserve">8. (treat$ or manag$ or appl$ or surg$ or interv$ or administ$ or use$ or therap$ or usage).ti,ab.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9. 7 and 8 </w:t>
        <w:tab/>
      </w:r>
    </w:p>
    <w:p>
      <w:pPr>
        <w:pStyle w:val="Normal"/>
        <w:numPr>
          <w:ilvl w:val="0"/>
          <w:numId w:val="2"/>
        </w:numPr>
        <w:spacing w:lineRule="auto" w:line="276" w:before="0" w:after="200"/>
        <w:ind w:left="1843" w:hanging="425"/>
        <w:rPr>
          <w:rFonts w:ascii="Calibri" w:hAnsi="Calibri" w:eastAsia="Calibri" w:cs="Calibri"/>
        </w:rPr>
      </w:pPr>
      <w:r>
        <w:rPr>
          <w:rFonts w:eastAsia="Calibri" w:cs="Calibri"/>
        </w:rPr>
        <w:t>10. limit 9 to humans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u w:val="single"/>
        </w:rPr>
      </w:pPr>
      <w:r>
        <w:rPr>
          <w:rFonts w:eastAsia="Calibri" w:cs="Calibri"/>
          <w:u w:val="single"/>
        </w:rPr>
        <w:t>Software: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/>
        </w:rPr>
        <w:t>(Git)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</w:rPr>
      </w:pPr>
      <w:r>
        <w:rPr>
          <w:rFonts w:eastAsia="Calibri" w:cs="Calibri"/>
        </w:rPr>
        <w:t>Jabref</w:t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eastAsia="Calibri" w:cs="Calibri"/>
          <w:u w:val="single"/>
        </w:rPr>
        <w:t>Fehlende Studien (Auswahl):</w:t>
      </w:r>
    </w:p>
    <w:p>
      <w:pPr>
        <w:pStyle w:val="Normal"/>
        <w:spacing w:lineRule="auto" w:line="276" w:before="0" w:after="200"/>
        <w:rPr/>
      </w:pPr>
      <w:r>
        <w:rPr>
          <w:lang w:val="en-GB"/>
        </w:rPr>
        <w:t xml:space="preserve">Giladi N, Boroojerdi B, Korczyn AD, et al. Rotigotine transdermal patch in early Parkinson's disease: a randomized, double-blind, controlled study versus placebo and ropinirole. </w:t>
      </w:r>
      <w:r>
        <w:rPr>
          <w:i/>
          <w:iCs/>
        </w:rPr>
        <w:t>Mov Disord</w:t>
      </w:r>
      <w:r>
        <w:rPr/>
        <w:t>. 2007;22(16):2398‐2404. doi:10.1002/mds.21741</w:t>
      </w:r>
    </w:p>
    <w:p>
      <w:pPr>
        <w:pStyle w:val="Normal"/>
        <w:spacing w:lineRule="auto" w:line="276" w:before="0" w:after="200"/>
        <w:rPr/>
      </w:pPr>
      <w:r>
        <w:rPr>
          <w:lang w:val="en-GB"/>
        </w:rPr>
        <w:t xml:space="preserve">Poewe WH, Rascol O, Quinn N, et al. Efficacy of pramipexole and transdermal rotigotine in advanced Parkinson's disease: a double-blind, double-dummy, randomised controlled trial. </w:t>
      </w:r>
      <w:r>
        <w:rPr>
          <w:i/>
          <w:iCs/>
        </w:rPr>
        <w:t>Lancet Neurol</w:t>
      </w:r>
      <w:r>
        <w:rPr/>
        <w:t>. 2007;6(6):513‐520. doi:10.1016/S1474-4422(07)70108-4</w:t>
      </w:r>
    </w:p>
    <w:p>
      <w:pPr>
        <w:pStyle w:val="Normal"/>
        <w:spacing w:lineRule="auto" w:line="276" w:before="0" w:after="200"/>
        <w:rPr/>
      </w:pPr>
      <w:r>
        <w:rPr>
          <w:lang w:val="en-GB"/>
        </w:rPr>
        <w:t xml:space="preserve">Zhang ZX, Liu CF, Tao EX, et al. Rotigotine transdermal patch in Chinese patients with advanced Parkinson's disease: A randomized, double-blind, placebo-controlled pivotal study. </w:t>
      </w:r>
      <w:r>
        <w:rPr>
          <w:i/>
          <w:iCs/>
        </w:rPr>
        <w:t>Parkinsonism Relat Disord</w:t>
      </w:r>
      <w:r>
        <w:rPr/>
        <w:t>. 2017;44:6‐12. doi:10.1016/j.parkreldis.2017.08.015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456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6f6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Calibri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Calibri" w:hAnsi="Calibri" w:eastAsia="Calibri" w:cs="Calibri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f6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vidsp.ovid.com/ovidweb.cgi?T=JS&amp;CSC=Y&amp;NEWS=N&amp;PAGE=titles&amp;SEARCHNAME=total_-wTremor&amp;SEARCHTYPE=ps&amp;SEARCHLEVEL=pin&amp;D=mesz" TargetMode="External"/><Relationship Id="rId3" Type="http://schemas.openxmlformats.org/officeDocument/2006/relationships/hyperlink" Target="https://hds.hebis.de/ubmr/Record/HEB10188675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158</Words>
  <Characters>1112</Characters>
  <CharactersWithSpaces>1258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2019-11-17T16:27:00Z</dcterms:created>
  <dc:creator/>
  <dc:description/>
  <dc:language>de-DE</dc:language>
  <cp:lastModifiedBy/>
  <dcterms:modified xsi:type="dcterms:W3CDTF">2020-09-28T00:13:09Z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