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864D59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9E0B50">
        <w:rPr>
          <w:rFonts w:ascii="Helvetica" w:hAnsi="Helvetica"/>
          <w:sz w:val="22"/>
          <w:szCs w:val="22"/>
        </w:rPr>
        <w:t>14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AE1F61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15827">
              <w:rPr>
                <w:rFonts w:ascii="Helvetica" w:hAnsi="Helvetica"/>
                <w:sz w:val="22"/>
                <w:szCs w:val="22"/>
              </w:rPr>
              <w:t>Timothy Brannan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5799B6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15827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AD3324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15827" w:rsidRPr="00515827">
              <w:rPr>
                <w:rFonts w:ascii="Helvetica" w:hAnsi="Helvetica"/>
                <w:sz w:val="22"/>
                <w:szCs w:val="22"/>
              </w:rPr>
              <w:t>Comparative Study of Selegiline Plus L-Dopa-Carbidopa Versus L-Dopa-Carbidopa Alone in the Treatment of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09F3A07A" w:rsidR="00330845" w:rsidRPr="00330845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CD4F8A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069CFCB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05782A9E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8095375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00032D87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02262D0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B004C7C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D5B6A9F" w:rsidR="00330845" w:rsidRPr="00330845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6861EDE" w:rsidR="00330845" w:rsidRPr="00330845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8B4DF72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051B3C6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1824AE5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E45D7E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810D0BC" w:rsidR="00330845" w:rsidRPr="00330845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0C5534B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5E11966" w:rsidR="00330845" w:rsidRPr="00F50513" w:rsidRDefault="0051582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EB4499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30845"/>
    <w:rsid w:val="003F238A"/>
    <w:rsid w:val="004C508E"/>
    <w:rsid w:val="004D3A6A"/>
    <w:rsid w:val="00515827"/>
    <w:rsid w:val="005E502A"/>
    <w:rsid w:val="0061561E"/>
    <w:rsid w:val="00965DFF"/>
    <w:rsid w:val="009E0B50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2021-05-14T13:04:00Z</dcterms:created>
  <dcterms:modified xsi:type="dcterms:W3CDTF">2021-05-14T13:06:00Z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