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45AB36D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23535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6E00062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23535E">
        <w:rPr>
          <w:rFonts w:ascii="Helvetica" w:hAnsi="Helvetica"/>
          <w:sz w:val="22"/>
          <w:szCs w:val="22"/>
        </w:rPr>
        <w:t xml:space="preserve"> 06.01.2020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2BAA75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2A4C0F">
              <w:rPr>
                <w:rFonts w:ascii="Helvetica" w:hAnsi="Helvetica"/>
                <w:sz w:val="22"/>
                <w:szCs w:val="22"/>
              </w:rPr>
              <w:t xml:space="preserve"> Mark A. Hellmann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8D12C4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2A4C0F">
              <w:rPr>
                <w:rFonts w:ascii="Helvetica" w:hAnsi="Helvetica"/>
                <w:sz w:val="22"/>
                <w:szCs w:val="22"/>
              </w:rPr>
              <w:t xml:space="preserve"> 2008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589457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2A4C0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A4C0F" w:rsidRPr="002A4C0F">
              <w:rPr>
                <w:rFonts w:ascii="Helvetica" w:hAnsi="Helvetica"/>
                <w:sz w:val="22"/>
                <w:szCs w:val="22"/>
              </w:rPr>
              <w:t>Effect of subcutaneous apomorphine on tremor in idiopathic Parkinson's disease</w:t>
            </w:r>
          </w:p>
        </w:tc>
      </w:tr>
    </w:tbl>
    <w:p w14:paraId="2E89A62F" w14:textId="5859FDBA" w:rsidR="004D3A6A" w:rsidRPr="002A4C0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2A4C0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1DB26623" w:rsidR="00330845" w:rsidRPr="00330845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00502A9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B440535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B8886BD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FA5DB3F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8D8F0E2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59DBE48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F99A221" w:rsidR="00330845" w:rsidRPr="00330845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3ED9AE3" w:rsidR="00330845" w:rsidRPr="00330845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D5BDA92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7DCE04A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F955B23" w:rsidR="00330845" w:rsidRPr="00330845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FD628E8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5EC01EF" w:rsidR="00330845" w:rsidRPr="00F50513" w:rsidRDefault="002A4C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2A4C0F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2A4C0F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23535E"/>
    <w:rsid w:val="002A4C0F"/>
    <w:rsid w:val="00330845"/>
    <w:rsid w:val="003F238A"/>
    <w:rsid w:val="004D3A6A"/>
    <w:rsid w:val="0061561E"/>
    <w:rsid w:val="00834ECA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2021-01-06T12:36:00Z</dcterms:created>
  <dcterms:modified xsi:type="dcterms:W3CDTF">2021-01-06T18:57:00Z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