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7741A786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D93FFF">
        <w:rPr>
          <w:rFonts w:ascii="Helvetica" w:hAnsi="Helvetica"/>
          <w:sz w:val="22"/>
          <w:szCs w:val="22"/>
        </w:rPr>
        <w:t xml:space="preserve"> 31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EF109C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93FFF">
              <w:rPr>
                <w:rFonts w:ascii="Helvetica" w:hAnsi="Helvetica"/>
                <w:sz w:val="22"/>
                <w:szCs w:val="22"/>
              </w:rPr>
              <w:t>Joseph Jankovic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CA3CB9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93FFF">
              <w:rPr>
                <w:rFonts w:ascii="Helvetica" w:hAnsi="Helvetica"/>
                <w:sz w:val="22"/>
                <w:szCs w:val="22"/>
              </w:rPr>
              <w:t>2014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A9C1832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93FFF" w:rsidRPr="00D93FFF">
              <w:rPr>
                <w:rFonts w:ascii="Helvetica" w:hAnsi="Helvetica"/>
                <w:sz w:val="22"/>
                <w:szCs w:val="22"/>
              </w:rPr>
              <w:t>Symptom</w:t>
            </w:r>
            <w:r w:rsidR="00D93FFF">
              <w:rPr>
                <w:rFonts w:ascii="Helvetica" w:hAnsi="Helvetica"/>
                <w:sz w:val="22"/>
                <w:szCs w:val="22"/>
              </w:rPr>
              <w:t>a</w:t>
            </w:r>
            <w:r w:rsidR="00D93FFF" w:rsidRPr="00D93FFF">
              <w:rPr>
                <w:rFonts w:ascii="Helvetica" w:hAnsi="Helvetica"/>
                <w:sz w:val="22"/>
                <w:szCs w:val="22"/>
              </w:rPr>
              <w:t>tic efficacy of ras</w:t>
            </w:r>
            <w:r w:rsidR="00D93FFF">
              <w:rPr>
                <w:rFonts w:ascii="Helvetica" w:hAnsi="Helvetica"/>
                <w:sz w:val="22"/>
                <w:szCs w:val="22"/>
              </w:rPr>
              <w:t>a</w:t>
            </w:r>
            <w:r w:rsidR="00D93FFF" w:rsidRPr="00D93FFF">
              <w:rPr>
                <w:rFonts w:ascii="Helvetica" w:hAnsi="Helvetica"/>
                <w:sz w:val="22"/>
                <w:szCs w:val="22"/>
              </w:rPr>
              <w:t>giline monotherapy in early Parkinson's disease: Post-hoc analyses from the ADAGIO trial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43E98C4B" w:rsidR="00330845" w:rsidRPr="00F50513" w:rsidRDefault="00D93FF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2C753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5AC37011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93FFF"/>
    <w:rsid w:val="00DA736A"/>
    <w:rsid w:val="00EE62A6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2021-05-31T13:00:00Z</dcterms:created>
  <dcterms:modified xsi:type="dcterms:W3CDTF">2021-05-31T13:05:00Z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