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4BE9A5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9A54B6">
              <w:rPr>
                <w:rFonts w:ascii="Helvetica" w:hAnsi="Helvetica"/>
                <w:sz w:val="22"/>
                <w:szCs w:val="22"/>
              </w:rPr>
              <w:t xml:space="preserve">Mark </w:t>
            </w:r>
            <w:proofErr w:type="spellStart"/>
            <w:r w:rsidR="009A54B6">
              <w:rPr>
                <w:rFonts w:ascii="Helvetica" w:hAnsi="Helvetica"/>
                <w:sz w:val="22"/>
                <w:szCs w:val="22"/>
              </w:rPr>
              <w:t>F.Lew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F15D86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24D4D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E8963D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24D4D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="00F24D4D">
              <w:rPr>
                <w:rFonts w:ascii="Helvetica" w:hAnsi="Helvetica"/>
                <w:sz w:val="22"/>
                <w:szCs w:val="22"/>
              </w:rPr>
              <w:t xml:space="preserve"> treatment effects on parkinsonian tremor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31A25E7" w:rsidR="00330845" w:rsidRPr="00F50513" w:rsidRDefault="00FC1D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2D9A84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0BBD73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D2CF4E4" w:rsidR="00330845" w:rsidRPr="00330845" w:rsidRDefault="00FC1DF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5AC37011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9A54B6"/>
    <w:rsid w:val="00A01E93"/>
    <w:rsid w:val="00CA58A3"/>
    <w:rsid w:val="00D348DB"/>
    <w:rsid w:val="00DA736A"/>
    <w:rsid w:val="00F24D4D"/>
    <w:rsid w:val="00F50513"/>
    <w:rsid w:val="00FA2E6E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2021-06-11T14:34:00Z</dcterms:created>
  <dcterms:modified xsi:type="dcterms:W3CDTF">2021-06-11T14:41:00Z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