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539C5122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BE65F3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1438B22E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BE65F3">
        <w:rPr>
          <w:rFonts w:ascii="Helvetica" w:hAnsi="Helvetica"/>
          <w:sz w:val="22"/>
          <w:szCs w:val="22"/>
        </w:rPr>
        <w:t xml:space="preserve"> 06.01.2020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5824F848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BE65F3">
              <w:rPr>
                <w:rFonts w:ascii="Helvetica" w:hAnsi="Helvetica"/>
                <w:sz w:val="22"/>
                <w:szCs w:val="22"/>
              </w:rPr>
              <w:t xml:space="preserve"> Enrico Mailland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5B3C1D8B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BE65F3">
              <w:rPr>
                <w:rFonts w:ascii="Helvetica" w:hAnsi="Helvetica"/>
                <w:sz w:val="22"/>
                <w:szCs w:val="22"/>
              </w:rPr>
              <w:t xml:space="preserve"> 2004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413F7922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Article </w:t>
            </w:r>
            <w:r w:rsidRPr="00C8524F">
              <w:rPr>
                <w:rFonts w:ascii="Helvetica" w:hAnsi="Helvetica"/>
                <w:sz w:val="22"/>
                <w:szCs w:val="22"/>
              </w:rPr>
              <w:t>Title</w:t>
            </w:r>
            <w:r w:rsidR="00BE65F3">
              <w:rPr>
                <w:rFonts w:ascii="Helvetica" w:hAnsi="Helvetica"/>
                <w:sz w:val="22"/>
                <w:szCs w:val="22"/>
              </w:rPr>
              <w:t xml:space="preserve"> Alpha-dihydroergocryptine in the Long-term Therapy of Parkinson’s Disease</w:t>
            </w:r>
          </w:p>
        </w:tc>
      </w:tr>
    </w:tbl>
    <w:p w14:paraId="2E89A62F" w14:textId="5859FDBA" w:rsidR="004D3A6A" w:rsidRPr="00BE65F3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BE65F3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 sufficiently described?</w:t>
            </w:r>
          </w:p>
        </w:tc>
        <w:tc>
          <w:tcPr>
            <w:tcW w:w="1134" w:type="dxa"/>
          </w:tcPr>
          <w:p w14:paraId="073426CC" w14:textId="31008002" w:rsidR="00330845" w:rsidRPr="00330845" w:rsidRDefault="00F903F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7B3B9421" w:rsidR="00330845" w:rsidRPr="00F50513" w:rsidRDefault="00F903F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37AEBA2A" w:rsidR="00330845" w:rsidRPr="00F50513" w:rsidRDefault="00F903F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42A6B28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101CAD4F" w:rsidR="00330845" w:rsidRPr="00F50513" w:rsidRDefault="00F903F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37315A42" w:rsidR="00330845" w:rsidRPr="00F50513" w:rsidRDefault="00F903F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7B607668" w:rsidR="00330845" w:rsidRPr="00F50513" w:rsidRDefault="00F903F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3EAB6B38" w:rsidR="00330845" w:rsidRPr="00F50513" w:rsidRDefault="00F903F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 of assessment reported?</w:t>
            </w:r>
          </w:p>
        </w:tc>
        <w:tc>
          <w:tcPr>
            <w:tcW w:w="1134" w:type="dxa"/>
          </w:tcPr>
          <w:p w14:paraId="65CB105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513D0B80" w:rsidR="00330845" w:rsidRPr="00330845" w:rsidRDefault="00F903F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Sample size appropriate?</w:t>
            </w:r>
          </w:p>
        </w:tc>
        <w:tc>
          <w:tcPr>
            <w:tcW w:w="1134" w:type="dxa"/>
          </w:tcPr>
          <w:p w14:paraId="0A21197C" w14:textId="2DEF0445" w:rsidR="00330845" w:rsidRPr="00330845" w:rsidRDefault="00F903F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45838B94" w:rsidR="00330845" w:rsidRPr="00F50513" w:rsidRDefault="00F903F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628E95AA" w:rsidR="00330845" w:rsidRPr="00F50513" w:rsidRDefault="00F903F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 for confounding?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13107FFD" w:rsidR="00330845" w:rsidRPr="00330845" w:rsidRDefault="00F903F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7B0ACF98" w:rsidR="00330845" w:rsidRPr="00F50513" w:rsidRDefault="00F903F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8CAED62" w:rsidR="00330845" w:rsidRPr="00F50513" w:rsidRDefault="00F903F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BE65F3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BE65F3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1161D9"/>
    <w:rsid w:val="00330845"/>
    <w:rsid w:val="003F238A"/>
    <w:rsid w:val="004D3A6A"/>
    <w:rsid w:val="0061561E"/>
    <w:rsid w:val="00BA410C"/>
    <w:rsid w:val="00BE65F3"/>
    <w:rsid w:val="00F50513"/>
    <w:rsid w:val="00F9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2021-01-06T11:38:00Z</dcterms:created>
  <dcterms:modified xsi:type="dcterms:W3CDTF">2021-01-06T12:25:00Z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